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许昌市中心医院</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许昌市中心医院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许昌市中心医院概况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中心医院创建于1912年,至今已有百余年历史，是一家集医疗、教学、科研、预防保健、康复和急救为一体的综合性三级甲等公立医院，是河南科技大学附属医院，河南中医药大学第一附属医院许昌分院，河南中医药大学教学医院，国家住院医师、全科医师规范化培训基地，国家胸痛中心、高级卒中中心、脑卒中筛查与防治基地，国家健康促进与教育优秀实践基地，全国临床药师规培学员培训中心，全国健康管理示范基地。</w:t>
        <w:br/>
        <w:t xml:space="preserve">    在许昌市委、市政府的坚强领导和许昌市卫健委的大力支持下，医院充分发挥公立医院的公益性，以党的建设高质量推动医院发展高质量，形成了“一院四区”集团化协同发展格局。鹿鸣湖院区占地256亩，总建筑面积304224.6㎡，规划床位1500张,开放床位2200张，为综合性医院；华佗路院区占地37亩，编制床位1500张，为公立中医院及妇儿中心；七一路院区占地7.2亩，编制床位200张，转型发展为康复医院；许昌市公共卫生医疗中心（传染病医院）拟设置床位300张，预留方舱医院床位300张，为市公共卫生医疗中心。</w:t>
        <w:br/>
        <w:t xml:space="preserve">    医院学科种类齐全。设有75个临床科室和18个医技科室及SICU、CCU、NICU、EICU、PICU、RICU及卒中单元等重症监护病房，2023年度年门急诊量170万人次，出院人数10.95万人,住院手术量5.7万台次。</w:t>
        <w:br/>
        <w:t xml:space="preserve">    医院技术力量雄厚。现有职工2996人，其中高级职称502人，中级职称1091人，研究生以上学历580人(其中博士4人)。享受国务院特贴1人，市政府特贴9人，省、市优秀学术技术带头人29人，首届许昌市优秀专家20人，首届提名优秀专家6人，相关专业的专家担任许昌市医学会45个专业委员会的主任委员，整体人才储备与医疗水平达到历史新高。</w:t>
        <w:br/>
        <w:t xml:space="preserve">    医院医疗设备先进。现拥有多种先进医疗设备6600余台（件），总价值4.8 亿元，拥有现代化的手术室净化系统、中心制氧供氧系统、智慧药房系统和静脉配置中心，配置直线加速器、SPET—CT等国内肿瘤放射治疗高精尖设备，拥有极致CT、车载CT等大型CT设备12台，3.0T核磁共振等磁共振设备6台，能够出色完成各种复杂扫描和脏器成像，拥有先进的DSA、体外碎石机、DR、钼靶、数字化胃肠机、骨密度仪等设备满足临床科室的影像检查需要和群众多元化的就诊需求，高精尖的设备集群，极大提高了医院的综合诊断能力和整体治疗水平。</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许昌市中心医院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119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临床科室、医技科室、医辅科室及行管后勤科室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许昌市中心医院</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许昌市中心医院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4,681.22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148,089.86</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649.74</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159,250.27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153,420.83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159,250.27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5,831.79</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30.08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32.43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159,282.70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159,282.70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153,420.83</w:t>
            </w:r>
          </w:p>
        </w:tc>
        <w:tc>
          <w:tcPr>
            <w:tcW w:w="1440" w:type="dxa"/>
            <w:tcBorders/>
            <w:vAlign w:val="center"/>
          </w:tcPr>
          <w:p>
            <w:pPr>
              <w:jc w:val="right"/>
            </w:pPr>
            <w:r>
              <w:rPr>
                <w:rFonts w:ascii="宋体" w:eastAsia="宋体" w:hAnsi="宋体" w:cs="宋体"/>
                <w:b/>
                <w:i w:val="0"/>
                <w:color w:val="000000"/>
                <w:sz w:val="17"/>
              </w:rPr>
              <w:t xml:space="preserve">4,681.22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148,089.86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649.74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153,420.83</w:t>
            </w:r>
          </w:p>
        </w:tc>
        <w:tc>
          <w:tcPr>
            <w:tcW w:w="1440" w:type="dxa"/>
            <w:tcBorders/>
            <w:vAlign w:val="center"/>
          </w:tcPr>
          <w:p>
            <w:pPr>
              <w:jc w:val="right"/>
            </w:pPr>
            <w:r>
              <w:rPr>
                <w:rFonts w:ascii="宋体" w:eastAsia="宋体" w:hAnsi="宋体" w:cs="宋体"/>
                <w:b w:val="0"/>
                <w:i w:val="0"/>
                <w:color w:val="000000"/>
                <w:sz w:val="17"/>
              </w:rPr>
              <w:t xml:space="preserve">4,681.22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148,089.86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649.74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150,293.09</w:t>
            </w:r>
          </w:p>
        </w:tc>
        <w:tc>
          <w:tcPr>
            <w:tcW w:w="1440" w:type="dxa"/>
            <w:tcBorders/>
            <w:vAlign w:val="center"/>
          </w:tcPr>
          <w:p>
            <w:pPr>
              <w:jc w:val="right"/>
            </w:pPr>
            <w:r>
              <w:rPr>
                <w:rFonts w:ascii="宋体" w:eastAsia="宋体" w:hAnsi="宋体" w:cs="宋体"/>
                <w:b w:val="0"/>
                <w:i w:val="0"/>
                <w:color w:val="000000"/>
                <w:sz w:val="17"/>
              </w:rPr>
              <w:t xml:space="preserve">1,553.48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148,089.86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649.74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综合医院</w:t>
            </w:r>
          </w:p>
        </w:tc>
        <w:tc>
          <w:tcPr>
            <w:tcW w:w="1440" w:type="dxa"/>
            <w:tcBorders/>
            <w:vAlign w:val="center"/>
          </w:tcPr>
          <w:p>
            <w:pPr>
              <w:jc w:val="right"/>
            </w:pPr>
            <w:r>
              <w:rPr>
                <w:rFonts w:ascii="宋体" w:eastAsia="宋体" w:hAnsi="宋体" w:cs="宋体"/>
                <w:b w:val="0"/>
                <w:i w:val="0"/>
                <w:color w:val="000000"/>
                <w:sz w:val="17"/>
              </w:rPr>
              <w:t xml:space="preserve">148,902.51</w:t>
            </w:r>
          </w:p>
        </w:tc>
        <w:tc>
          <w:tcPr>
            <w:tcW w:w="1440" w:type="dxa"/>
            <w:tcBorders/>
            <w:vAlign w:val="center"/>
          </w:tcPr>
          <w:p>
            <w:pPr>
              <w:jc w:val="right"/>
            </w:pPr>
            <w:r>
              <w:rPr>
                <w:rFonts w:ascii="宋体" w:eastAsia="宋体" w:hAnsi="宋体" w:cs="宋体"/>
                <w:b w:val="0"/>
                <w:i w:val="0"/>
                <w:color w:val="000000"/>
                <w:sz w:val="17"/>
              </w:rPr>
              <w:t xml:space="preserve">162.91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148,089.86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649.74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其他公立医院支出</w:t>
            </w:r>
          </w:p>
        </w:tc>
        <w:tc>
          <w:tcPr>
            <w:tcW w:w="1440" w:type="dxa"/>
            <w:tcBorders/>
            <w:vAlign w:val="center"/>
          </w:tcPr>
          <w:p>
            <w:pPr>
              <w:jc w:val="right"/>
            </w:pPr>
            <w:r>
              <w:rPr>
                <w:rFonts w:ascii="宋体" w:eastAsia="宋体" w:hAnsi="宋体" w:cs="宋体"/>
                <w:b w:val="0"/>
                <w:i w:val="0"/>
                <w:color w:val="000000"/>
                <w:sz w:val="17"/>
              </w:rPr>
              <w:t xml:space="preserve">1,390.58</w:t>
            </w:r>
          </w:p>
        </w:tc>
        <w:tc>
          <w:tcPr>
            <w:tcW w:w="1440" w:type="dxa"/>
            <w:tcBorders/>
            <w:vAlign w:val="center"/>
          </w:tcPr>
          <w:p>
            <w:pPr>
              <w:jc w:val="right"/>
            </w:pPr>
            <w:r>
              <w:rPr>
                <w:rFonts w:ascii="宋体" w:eastAsia="宋体" w:hAnsi="宋体" w:cs="宋体"/>
                <w:b w:val="0"/>
                <w:i w:val="0"/>
                <w:color w:val="000000"/>
                <w:sz w:val="17"/>
              </w:rPr>
              <w:t xml:space="preserve">1,390.58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2,466.43</w:t>
            </w:r>
          </w:p>
        </w:tc>
        <w:tc>
          <w:tcPr>
            <w:tcW w:w="1440" w:type="dxa"/>
            <w:tcBorders/>
            <w:vAlign w:val="center"/>
          </w:tcPr>
          <w:p>
            <w:pPr>
              <w:jc w:val="right"/>
            </w:pPr>
            <w:r>
              <w:rPr>
                <w:rFonts w:ascii="宋体" w:eastAsia="宋体" w:hAnsi="宋体" w:cs="宋体"/>
                <w:b w:val="0"/>
                <w:i w:val="0"/>
                <w:color w:val="000000"/>
                <w:sz w:val="17"/>
              </w:rPr>
              <w:t xml:space="preserve">2,466.43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80.75</w:t>
            </w:r>
          </w:p>
        </w:tc>
        <w:tc>
          <w:tcPr>
            <w:tcW w:w="1440" w:type="dxa"/>
            <w:tcBorders/>
            <w:vAlign w:val="center"/>
          </w:tcPr>
          <w:p>
            <w:pPr>
              <w:jc w:val="right"/>
            </w:pPr>
            <w:r>
              <w:rPr>
                <w:rFonts w:ascii="宋体" w:eastAsia="宋体" w:hAnsi="宋体" w:cs="宋体"/>
                <w:b w:val="0"/>
                <w:i w:val="0"/>
                <w:color w:val="000000"/>
                <w:sz w:val="17"/>
              </w:rPr>
              <w:t xml:space="preserve">80.75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180.94</w:t>
            </w:r>
          </w:p>
        </w:tc>
        <w:tc>
          <w:tcPr>
            <w:tcW w:w="1440" w:type="dxa"/>
            <w:tcBorders/>
            <w:vAlign w:val="center"/>
          </w:tcPr>
          <w:p>
            <w:pPr>
              <w:jc w:val="right"/>
            </w:pPr>
            <w:r>
              <w:rPr>
                <w:rFonts w:ascii="宋体" w:eastAsia="宋体" w:hAnsi="宋体" w:cs="宋体"/>
                <w:b w:val="0"/>
                <w:i w:val="0"/>
                <w:color w:val="000000"/>
                <w:sz w:val="17"/>
              </w:rPr>
              <w:t xml:space="preserve">180.94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2,017.08</w:t>
            </w:r>
          </w:p>
        </w:tc>
        <w:tc>
          <w:tcPr>
            <w:tcW w:w="1440" w:type="dxa"/>
            <w:tcBorders/>
            <w:vAlign w:val="center"/>
          </w:tcPr>
          <w:p>
            <w:pPr>
              <w:jc w:val="right"/>
            </w:pPr>
            <w:r>
              <w:rPr>
                <w:rFonts w:ascii="宋体" w:eastAsia="宋体" w:hAnsi="宋体" w:cs="宋体"/>
                <w:b w:val="0"/>
                <w:i w:val="0"/>
                <w:color w:val="000000"/>
                <w:sz w:val="17"/>
              </w:rPr>
              <w:t xml:space="preserve">2,017.08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其他公共卫生支出</w:t>
            </w:r>
          </w:p>
        </w:tc>
        <w:tc>
          <w:tcPr>
            <w:tcW w:w="1440" w:type="dxa"/>
            <w:tcBorders/>
            <w:vAlign w:val="center"/>
          </w:tcPr>
          <w:p>
            <w:pPr>
              <w:jc w:val="right"/>
            </w:pPr>
            <w:r>
              <w:rPr>
                <w:rFonts w:ascii="宋体" w:eastAsia="宋体" w:hAnsi="宋体" w:cs="宋体"/>
                <w:b w:val="0"/>
                <w:i w:val="0"/>
                <w:color w:val="000000"/>
                <w:sz w:val="17"/>
              </w:rPr>
              <w:t xml:space="preserve">187.66</w:t>
            </w:r>
          </w:p>
        </w:tc>
        <w:tc>
          <w:tcPr>
            <w:tcW w:w="1440" w:type="dxa"/>
            <w:tcBorders/>
            <w:vAlign w:val="center"/>
          </w:tcPr>
          <w:p>
            <w:pPr>
              <w:jc w:val="right"/>
            </w:pPr>
            <w:r>
              <w:rPr>
                <w:rFonts w:ascii="宋体" w:eastAsia="宋体" w:hAnsi="宋体" w:cs="宋体"/>
                <w:b w:val="0"/>
                <w:i w:val="0"/>
                <w:color w:val="000000"/>
                <w:sz w:val="17"/>
              </w:rPr>
              <w:t xml:space="preserve">187.66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661.31</w:t>
            </w:r>
          </w:p>
        </w:tc>
        <w:tc>
          <w:tcPr>
            <w:tcW w:w="1440" w:type="dxa"/>
            <w:tcBorders/>
            <w:vAlign w:val="center"/>
          </w:tcPr>
          <w:p>
            <w:pPr>
              <w:jc w:val="right"/>
            </w:pPr>
            <w:r>
              <w:rPr>
                <w:rFonts w:ascii="宋体" w:eastAsia="宋体" w:hAnsi="宋体" w:cs="宋体"/>
                <w:b w:val="0"/>
                <w:i w:val="0"/>
                <w:color w:val="000000"/>
                <w:sz w:val="17"/>
              </w:rPr>
              <w:t xml:space="preserve">661.31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661.31</w:t>
            </w:r>
          </w:p>
        </w:tc>
        <w:tc>
          <w:tcPr>
            <w:tcW w:w="1440" w:type="dxa"/>
            <w:tcBorders/>
            <w:vAlign w:val="center"/>
          </w:tcPr>
          <w:p>
            <w:pPr>
              <w:jc w:val="right"/>
            </w:pPr>
            <w:r>
              <w:rPr>
                <w:rFonts w:ascii="宋体" w:eastAsia="宋体" w:hAnsi="宋体" w:cs="宋体"/>
                <w:b w:val="0"/>
                <w:i w:val="0"/>
                <w:color w:val="000000"/>
                <w:sz w:val="17"/>
              </w:rPr>
              <w:t xml:space="preserve">661.31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159,250.27</w:t>
            </w:r>
          </w:p>
        </w:tc>
        <w:tc>
          <w:tcPr>
            <w:tcW w:w="1600" w:type="dxa"/>
            <w:tcBorders/>
            <w:vAlign w:val="center"/>
          </w:tcPr>
          <w:p>
            <w:pPr>
              <w:jc w:val="right"/>
            </w:pPr>
            <w:r>
              <w:rPr>
                <w:rFonts w:ascii="宋体" w:eastAsia="宋体" w:hAnsi="宋体" w:cs="宋体"/>
                <w:b/>
                <w:i w:val="0"/>
                <w:color w:val="000000"/>
                <w:sz w:val="19"/>
              </w:rPr>
              <w:t xml:space="preserve">155,106.83</w:t>
            </w:r>
          </w:p>
        </w:tc>
        <w:tc>
          <w:tcPr>
            <w:tcW w:w="1600" w:type="dxa"/>
            <w:tcBorders/>
            <w:vAlign w:val="center"/>
          </w:tcPr>
          <w:p>
            <w:pPr>
              <w:jc w:val="right"/>
            </w:pPr>
            <w:r>
              <w:rPr>
                <w:rFonts w:ascii="宋体" w:eastAsia="宋体" w:hAnsi="宋体" w:cs="宋体"/>
                <w:b/>
                <w:i w:val="0"/>
                <w:color w:val="000000"/>
                <w:sz w:val="19"/>
              </w:rPr>
              <w:t xml:space="preserve">4,143.44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159,250.27</w:t>
            </w:r>
          </w:p>
        </w:tc>
        <w:tc>
          <w:tcPr>
            <w:tcW w:w="1600" w:type="dxa"/>
            <w:tcBorders/>
            <w:vAlign w:val="center"/>
          </w:tcPr>
          <w:p>
            <w:pPr>
              <w:jc w:val="right"/>
            </w:pPr>
            <w:r>
              <w:rPr>
                <w:rFonts w:ascii="宋体" w:eastAsia="宋体" w:hAnsi="宋体" w:cs="宋体"/>
                <w:b w:val="0"/>
                <w:i w:val="0"/>
                <w:color w:val="000000"/>
                <w:sz w:val="19"/>
              </w:rPr>
              <w:t xml:space="preserve">155,106.83</w:t>
            </w:r>
          </w:p>
        </w:tc>
        <w:tc>
          <w:tcPr>
            <w:tcW w:w="1600" w:type="dxa"/>
            <w:tcBorders/>
            <w:vAlign w:val="center"/>
          </w:tcPr>
          <w:p>
            <w:pPr>
              <w:jc w:val="right"/>
            </w:pPr>
            <w:r>
              <w:rPr>
                <w:rFonts w:ascii="宋体" w:eastAsia="宋体" w:hAnsi="宋体" w:cs="宋体"/>
                <w:b w:val="0"/>
                <w:i w:val="0"/>
                <w:color w:val="000000"/>
                <w:sz w:val="19"/>
              </w:rPr>
              <w:t xml:space="preserve">4,143.44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156,122.53</w:t>
            </w:r>
          </w:p>
        </w:tc>
        <w:tc>
          <w:tcPr>
            <w:tcW w:w="1600" w:type="dxa"/>
            <w:tcBorders/>
            <w:vAlign w:val="center"/>
          </w:tcPr>
          <w:p>
            <w:pPr>
              <w:jc w:val="right"/>
            </w:pPr>
            <w:r>
              <w:rPr>
                <w:rFonts w:ascii="宋体" w:eastAsia="宋体" w:hAnsi="宋体" w:cs="宋体"/>
                <w:b w:val="0"/>
                <w:i w:val="0"/>
                <w:color w:val="000000"/>
                <w:sz w:val="19"/>
              </w:rPr>
              <w:t xml:space="preserve">155,020.32</w:t>
            </w:r>
          </w:p>
        </w:tc>
        <w:tc>
          <w:tcPr>
            <w:tcW w:w="1600" w:type="dxa"/>
            <w:tcBorders/>
            <w:vAlign w:val="center"/>
          </w:tcPr>
          <w:p>
            <w:pPr>
              <w:jc w:val="right"/>
            </w:pPr>
            <w:r>
              <w:rPr>
                <w:rFonts w:ascii="宋体" w:eastAsia="宋体" w:hAnsi="宋体" w:cs="宋体"/>
                <w:b w:val="0"/>
                <w:i w:val="0"/>
                <w:color w:val="000000"/>
                <w:sz w:val="19"/>
              </w:rPr>
              <w:t xml:space="preserve">1,102.21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综合医院</w:t>
            </w:r>
          </w:p>
        </w:tc>
        <w:tc>
          <w:tcPr>
            <w:tcW w:w="1600" w:type="dxa"/>
            <w:tcBorders/>
            <w:vAlign w:val="center"/>
          </w:tcPr>
          <w:p>
            <w:pPr>
              <w:jc w:val="right"/>
            </w:pPr>
            <w:r>
              <w:rPr>
                <w:rFonts w:ascii="宋体" w:eastAsia="宋体" w:hAnsi="宋体" w:cs="宋体"/>
                <w:b w:val="0"/>
                <w:i w:val="0"/>
                <w:color w:val="000000"/>
                <w:sz w:val="19"/>
              </w:rPr>
              <w:t xml:space="preserve">154,731.95</w:t>
            </w:r>
          </w:p>
        </w:tc>
        <w:tc>
          <w:tcPr>
            <w:tcW w:w="1600" w:type="dxa"/>
            <w:tcBorders/>
            <w:vAlign w:val="center"/>
          </w:tcPr>
          <w:p>
            <w:pPr>
              <w:jc w:val="right"/>
            </w:pPr>
            <w:r>
              <w:rPr>
                <w:rFonts w:ascii="宋体" w:eastAsia="宋体" w:hAnsi="宋体" w:cs="宋体"/>
                <w:b w:val="0"/>
                <w:i w:val="0"/>
                <w:color w:val="000000"/>
                <w:sz w:val="19"/>
              </w:rPr>
              <w:t xml:space="preserve">154,569.05</w:t>
            </w:r>
          </w:p>
        </w:tc>
        <w:tc>
          <w:tcPr>
            <w:tcW w:w="1600" w:type="dxa"/>
            <w:tcBorders/>
            <w:vAlign w:val="center"/>
          </w:tcPr>
          <w:p>
            <w:pPr>
              <w:jc w:val="right"/>
            </w:pPr>
            <w:r>
              <w:rPr>
                <w:rFonts w:ascii="宋体" w:eastAsia="宋体" w:hAnsi="宋体" w:cs="宋体"/>
                <w:b w:val="0"/>
                <w:i w:val="0"/>
                <w:color w:val="000000"/>
                <w:sz w:val="19"/>
              </w:rPr>
              <w:t xml:space="preserve">162.91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其他公立医院支出</w:t>
            </w:r>
          </w:p>
        </w:tc>
        <w:tc>
          <w:tcPr>
            <w:tcW w:w="1600" w:type="dxa"/>
            <w:tcBorders/>
            <w:vAlign w:val="center"/>
          </w:tcPr>
          <w:p>
            <w:pPr>
              <w:jc w:val="right"/>
            </w:pPr>
            <w:r>
              <w:rPr>
                <w:rFonts w:ascii="宋体" w:eastAsia="宋体" w:hAnsi="宋体" w:cs="宋体"/>
                <w:b w:val="0"/>
                <w:i w:val="0"/>
                <w:color w:val="000000"/>
                <w:sz w:val="19"/>
              </w:rPr>
              <w:t xml:space="preserve">1,390.58</w:t>
            </w:r>
          </w:p>
        </w:tc>
        <w:tc>
          <w:tcPr>
            <w:tcW w:w="1600" w:type="dxa"/>
            <w:tcBorders/>
            <w:vAlign w:val="center"/>
          </w:tcPr>
          <w:p>
            <w:pPr>
              <w:jc w:val="right"/>
            </w:pPr>
            <w:r>
              <w:rPr>
                <w:rFonts w:ascii="宋体" w:eastAsia="宋体" w:hAnsi="宋体" w:cs="宋体"/>
                <w:b w:val="0"/>
                <w:i w:val="0"/>
                <w:color w:val="000000"/>
                <w:sz w:val="19"/>
              </w:rPr>
              <w:t xml:space="preserve">451.28</w:t>
            </w:r>
          </w:p>
        </w:tc>
        <w:tc>
          <w:tcPr>
            <w:tcW w:w="1600" w:type="dxa"/>
            <w:tcBorders/>
            <w:vAlign w:val="center"/>
          </w:tcPr>
          <w:p>
            <w:pPr>
              <w:jc w:val="right"/>
            </w:pPr>
            <w:r>
              <w:rPr>
                <w:rFonts w:ascii="宋体" w:eastAsia="宋体" w:hAnsi="宋体" w:cs="宋体"/>
                <w:b w:val="0"/>
                <w:i w:val="0"/>
                <w:color w:val="000000"/>
                <w:sz w:val="19"/>
              </w:rPr>
              <w:t xml:space="preserve">939.30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2,466.43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2,466.43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80.75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180.94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2,017.08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2,017.08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其他公共卫生支出</w:t>
            </w:r>
          </w:p>
        </w:tc>
        <w:tc>
          <w:tcPr>
            <w:tcW w:w="1600" w:type="dxa"/>
            <w:tcBorders/>
            <w:vAlign w:val="center"/>
          </w:tcPr>
          <w:p>
            <w:pPr>
              <w:jc w:val="right"/>
            </w:pPr>
            <w:r>
              <w:rPr>
                <w:rFonts w:ascii="宋体" w:eastAsia="宋体" w:hAnsi="宋体" w:cs="宋体"/>
                <w:b w:val="0"/>
                <w:i w:val="0"/>
                <w:color w:val="000000"/>
                <w:sz w:val="19"/>
              </w:rPr>
              <w:t xml:space="preserve">187.66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187.66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661.31</w:t>
            </w:r>
          </w:p>
        </w:tc>
        <w:tc>
          <w:tcPr>
            <w:tcW w:w="1600" w:type="dxa"/>
            <w:tcBorders/>
            <w:vAlign w:val="center"/>
          </w:tcPr>
          <w:p>
            <w:pPr>
              <w:jc w:val="right"/>
            </w:pPr>
            <w:r>
              <w:rPr>
                <w:rFonts w:ascii="宋体" w:eastAsia="宋体" w:hAnsi="宋体" w:cs="宋体"/>
                <w:b w:val="0"/>
                <w:i w:val="0"/>
                <w:color w:val="000000"/>
                <w:sz w:val="19"/>
              </w:rPr>
              <w:t xml:space="preserve">86.51</w:t>
            </w:r>
          </w:p>
        </w:tc>
        <w:tc>
          <w:tcPr>
            <w:tcW w:w="1600" w:type="dxa"/>
            <w:tcBorders/>
            <w:vAlign w:val="center"/>
          </w:tcPr>
          <w:p>
            <w:pPr>
              <w:jc w:val="right"/>
            </w:pPr>
            <w:r>
              <w:rPr>
                <w:rFonts w:ascii="宋体" w:eastAsia="宋体" w:hAnsi="宋体" w:cs="宋体"/>
                <w:b w:val="0"/>
                <w:i w:val="0"/>
                <w:color w:val="000000"/>
                <w:sz w:val="19"/>
              </w:rPr>
              <w:t xml:space="preserve">574.80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661.31</w:t>
            </w:r>
          </w:p>
        </w:tc>
        <w:tc>
          <w:tcPr>
            <w:tcW w:w="1600" w:type="dxa"/>
            <w:tcBorders/>
            <w:vAlign w:val="center"/>
          </w:tcPr>
          <w:p>
            <w:pPr>
              <w:jc w:val="right"/>
            </w:pPr>
            <w:r>
              <w:rPr>
                <w:rFonts w:ascii="宋体" w:eastAsia="宋体" w:hAnsi="宋体" w:cs="宋体"/>
                <w:b w:val="0"/>
                <w:i w:val="0"/>
                <w:color w:val="000000"/>
                <w:sz w:val="19"/>
              </w:rPr>
              <w:t xml:space="preserve">86.51</w:t>
            </w:r>
          </w:p>
        </w:tc>
        <w:tc>
          <w:tcPr>
            <w:tcW w:w="1600" w:type="dxa"/>
            <w:tcBorders/>
            <w:vAlign w:val="center"/>
          </w:tcPr>
          <w:p>
            <w:pPr>
              <w:jc w:val="right"/>
            </w:pPr>
            <w:r>
              <w:rPr>
                <w:rFonts w:ascii="宋体" w:eastAsia="宋体" w:hAnsi="宋体" w:cs="宋体"/>
                <w:b w:val="0"/>
                <w:i w:val="0"/>
                <w:color w:val="000000"/>
                <w:sz w:val="19"/>
              </w:rPr>
              <w:t xml:space="preserve">574.80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4,681.22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4,681.22</w:t>
            </w:r>
          </w:p>
        </w:tc>
        <w:tc>
          <w:tcPr>
            <w:tcW w:w="2700" w:type="dxa"/>
            <w:tcBorders/>
            <w:vAlign w:val="center"/>
          </w:tcPr>
          <w:p>
            <w:pPr>
              <w:jc w:val="right"/>
            </w:pPr>
            <w:r>
              <w:rPr>
                <w:rFonts w:ascii="宋体" w:eastAsia="宋体" w:hAnsi="宋体" w:cs="宋体"/>
                <w:b/>
                <w:i w:val="0"/>
                <w:color w:val="000000"/>
                <w:sz w:val="25"/>
              </w:rPr>
              <w:t xml:space="preserve">537.78</w:t>
            </w:r>
          </w:p>
        </w:tc>
        <w:tc>
          <w:tcPr>
            <w:tcW w:w="2658" w:type="dxa"/>
            <w:tcBorders/>
            <w:vAlign w:val="center"/>
          </w:tcPr>
          <w:p>
            <w:pPr>
              <w:jc w:val="right"/>
            </w:pPr>
            <w:r>
              <w:rPr>
                <w:rFonts w:ascii="宋体" w:eastAsia="宋体" w:hAnsi="宋体" w:cs="宋体"/>
                <w:b/>
                <w:i w:val="0"/>
                <w:color w:val="000000"/>
                <w:sz w:val="25"/>
              </w:rPr>
              <w:t xml:space="preserve">4,143.44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4,681.22</w:t>
            </w:r>
          </w:p>
        </w:tc>
        <w:tc>
          <w:tcPr>
            <w:tcW w:w="2700" w:type="dxa"/>
            <w:tcBorders/>
            <w:vAlign w:val="center"/>
          </w:tcPr>
          <w:p>
            <w:pPr>
              <w:jc w:val="right"/>
            </w:pPr>
            <w:r>
              <w:rPr>
                <w:rFonts w:ascii="宋体" w:eastAsia="宋体" w:hAnsi="宋体" w:cs="宋体"/>
                <w:b w:val="0"/>
                <w:i w:val="0"/>
                <w:color w:val="000000"/>
                <w:sz w:val="25"/>
              </w:rPr>
              <w:t xml:space="preserve">537.78</w:t>
            </w:r>
          </w:p>
        </w:tc>
        <w:tc>
          <w:tcPr>
            <w:tcW w:w="2658" w:type="dxa"/>
            <w:tcBorders/>
            <w:vAlign w:val="center"/>
          </w:tcPr>
          <w:p>
            <w:pPr>
              <w:jc w:val="right"/>
            </w:pPr>
            <w:r>
              <w:rPr>
                <w:rFonts w:ascii="宋体" w:eastAsia="宋体" w:hAnsi="宋体" w:cs="宋体"/>
                <w:b w:val="0"/>
                <w:i w:val="0"/>
                <w:color w:val="000000"/>
                <w:sz w:val="25"/>
              </w:rPr>
              <w:t xml:space="preserve">4,143.44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1,553.48</w:t>
            </w:r>
          </w:p>
        </w:tc>
        <w:tc>
          <w:tcPr>
            <w:tcW w:w="2700" w:type="dxa"/>
            <w:tcBorders/>
            <w:vAlign w:val="center"/>
          </w:tcPr>
          <w:p>
            <w:pPr>
              <w:jc w:val="right"/>
            </w:pPr>
            <w:r>
              <w:rPr>
                <w:rFonts w:ascii="宋体" w:eastAsia="宋体" w:hAnsi="宋体" w:cs="宋体"/>
                <w:b w:val="0"/>
                <w:i w:val="0"/>
                <w:color w:val="000000"/>
                <w:sz w:val="25"/>
              </w:rPr>
              <w:t xml:space="preserve">451.28</w:t>
            </w:r>
          </w:p>
        </w:tc>
        <w:tc>
          <w:tcPr>
            <w:tcW w:w="2658" w:type="dxa"/>
            <w:tcBorders/>
            <w:vAlign w:val="center"/>
          </w:tcPr>
          <w:p>
            <w:pPr>
              <w:jc w:val="right"/>
            </w:pPr>
            <w:r>
              <w:rPr>
                <w:rFonts w:ascii="宋体" w:eastAsia="宋体" w:hAnsi="宋体" w:cs="宋体"/>
                <w:b w:val="0"/>
                <w:i w:val="0"/>
                <w:color w:val="000000"/>
                <w:sz w:val="25"/>
              </w:rPr>
              <w:t xml:space="preserve">1,102.21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综合医院</w:t>
            </w:r>
          </w:p>
        </w:tc>
        <w:tc>
          <w:tcPr>
            <w:tcW w:w="2700" w:type="dxa"/>
            <w:tcBorders/>
            <w:vAlign w:val="center"/>
          </w:tcPr>
          <w:p>
            <w:pPr>
              <w:jc w:val="right"/>
            </w:pPr>
            <w:r>
              <w:rPr>
                <w:rFonts w:ascii="宋体" w:eastAsia="宋体" w:hAnsi="宋体" w:cs="宋体"/>
                <w:b w:val="0"/>
                <w:i w:val="0"/>
                <w:color w:val="000000"/>
                <w:sz w:val="25"/>
              </w:rPr>
              <w:t xml:space="preserve">162.91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162.91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其他公立医院支出</w:t>
            </w:r>
          </w:p>
        </w:tc>
        <w:tc>
          <w:tcPr>
            <w:tcW w:w="2700" w:type="dxa"/>
            <w:tcBorders/>
            <w:vAlign w:val="center"/>
          </w:tcPr>
          <w:p>
            <w:pPr>
              <w:jc w:val="right"/>
            </w:pPr>
            <w:r>
              <w:rPr>
                <w:rFonts w:ascii="宋体" w:eastAsia="宋体" w:hAnsi="宋体" w:cs="宋体"/>
                <w:b w:val="0"/>
                <w:i w:val="0"/>
                <w:color w:val="000000"/>
                <w:sz w:val="25"/>
              </w:rPr>
              <w:t xml:space="preserve">1,390.58</w:t>
            </w:r>
          </w:p>
        </w:tc>
        <w:tc>
          <w:tcPr>
            <w:tcW w:w="2700" w:type="dxa"/>
            <w:tcBorders/>
            <w:vAlign w:val="center"/>
          </w:tcPr>
          <w:p>
            <w:pPr>
              <w:jc w:val="right"/>
            </w:pPr>
            <w:r>
              <w:rPr>
                <w:rFonts w:ascii="宋体" w:eastAsia="宋体" w:hAnsi="宋体" w:cs="宋体"/>
                <w:b w:val="0"/>
                <w:i w:val="0"/>
                <w:color w:val="000000"/>
                <w:sz w:val="25"/>
              </w:rPr>
              <w:t xml:space="preserve">451.28</w:t>
            </w:r>
          </w:p>
        </w:tc>
        <w:tc>
          <w:tcPr>
            <w:tcW w:w="2658" w:type="dxa"/>
            <w:tcBorders/>
            <w:vAlign w:val="center"/>
          </w:tcPr>
          <w:p>
            <w:pPr>
              <w:jc w:val="right"/>
            </w:pPr>
            <w:r>
              <w:rPr>
                <w:rFonts w:ascii="宋体" w:eastAsia="宋体" w:hAnsi="宋体" w:cs="宋体"/>
                <w:b w:val="0"/>
                <w:i w:val="0"/>
                <w:color w:val="000000"/>
                <w:sz w:val="25"/>
              </w:rPr>
              <w:t xml:space="preserve">939.30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2,466.43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2,466.43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80.75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80.75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180.94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180.94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2,017.08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2,017.08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其他公共卫生支出</w:t>
            </w:r>
          </w:p>
        </w:tc>
        <w:tc>
          <w:tcPr>
            <w:tcW w:w="2700" w:type="dxa"/>
            <w:tcBorders/>
            <w:vAlign w:val="center"/>
          </w:tcPr>
          <w:p>
            <w:pPr>
              <w:jc w:val="right"/>
            </w:pPr>
            <w:r>
              <w:rPr>
                <w:rFonts w:ascii="宋体" w:eastAsia="宋体" w:hAnsi="宋体" w:cs="宋体"/>
                <w:b w:val="0"/>
                <w:i w:val="0"/>
                <w:color w:val="000000"/>
                <w:sz w:val="25"/>
              </w:rPr>
              <w:t xml:space="preserve">187.66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187.66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661.31</w:t>
            </w:r>
          </w:p>
        </w:tc>
        <w:tc>
          <w:tcPr>
            <w:tcW w:w="2700" w:type="dxa"/>
            <w:tcBorders/>
            <w:vAlign w:val="center"/>
          </w:tcPr>
          <w:p>
            <w:pPr>
              <w:jc w:val="right"/>
            </w:pPr>
            <w:r>
              <w:rPr>
                <w:rFonts w:ascii="宋体" w:eastAsia="宋体" w:hAnsi="宋体" w:cs="宋体"/>
                <w:b w:val="0"/>
                <w:i w:val="0"/>
                <w:color w:val="000000"/>
                <w:sz w:val="25"/>
              </w:rPr>
              <w:t xml:space="preserve">86.51</w:t>
            </w:r>
          </w:p>
        </w:tc>
        <w:tc>
          <w:tcPr>
            <w:tcW w:w="2658" w:type="dxa"/>
            <w:tcBorders/>
            <w:vAlign w:val="center"/>
          </w:tcPr>
          <w:p>
            <w:pPr>
              <w:jc w:val="right"/>
            </w:pPr>
            <w:r>
              <w:rPr>
                <w:rFonts w:ascii="宋体" w:eastAsia="宋体" w:hAnsi="宋体" w:cs="宋体"/>
                <w:b w:val="0"/>
                <w:i w:val="0"/>
                <w:color w:val="000000"/>
                <w:sz w:val="25"/>
              </w:rPr>
              <w:t xml:space="preserve">574.80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661.31</w:t>
            </w:r>
          </w:p>
        </w:tc>
        <w:tc>
          <w:tcPr>
            <w:tcW w:w="2700" w:type="dxa"/>
            <w:tcBorders/>
            <w:vAlign w:val="center"/>
          </w:tcPr>
          <w:p>
            <w:pPr>
              <w:jc w:val="right"/>
            </w:pPr>
            <w:r>
              <w:rPr>
                <w:rFonts w:ascii="宋体" w:eastAsia="宋体" w:hAnsi="宋体" w:cs="宋体"/>
                <w:b w:val="0"/>
                <w:i w:val="0"/>
                <w:color w:val="000000"/>
                <w:sz w:val="25"/>
              </w:rPr>
              <w:t xml:space="preserve">86.51</w:t>
            </w:r>
          </w:p>
        </w:tc>
        <w:tc>
          <w:tcPr>
            <w:tcW w:w="2658" w:type="dxa"/>
            <w:tcBorders/>
            <w:vAlign w:val="center"/>
          </w:tcPr>
          <w:p>
            <w:pPr>
              <w:jc w:val="right"/>
            </w:pPr>
            <w:r>
              <w:rPr>
                <w:rFonts w:ascii="宋体" w:eastAsia="宋体" w:hAnsi="宋体" w:cs="宋体"/>
                <w:b w:val="0"/>
                <w:i w:val="0"/>
                <w:color w:val="000000"/>
                <w:sz w:val="25"/>
              </w:rPr>
              <w:t xml:space="preserve">574.80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537.78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537.78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537.78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单位：许昌市中心医院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159282.70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增加3721.51万元，增长2.39%</w:t>
      </w:r>
      <w:r>
        <w:rPr>
          <w:rFonts w:ascii="仿宋" w:eastAsia="仿宋" w:hAnsi="仿宋" w:cs="仿宋" w:hint="eastAsia"/>
          <w:kern w:val="0"/>
          <w:sz w:val="32"/>
          <w:szCs w:val="32"/>
          <w:lang w:val="en-US" w:eastAsia="zh-CN"/>
        </w:rPr>
        <w:t xml:space="preserve">。主要原因是2023年度事业收入与支出稳步增长。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153420.83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财政拨款收入4681.22万元，占3.05%；上级补助收入0.00万元，占0.00%；事业收入148089.86万元，占96.53%；经营收入0.00万元，占0.00%；附属单位上缴收入0.00万元，占0.00%；其他收入649.74万元，占0.42%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159250.27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基本支出155106.83万元，占97.40%；项目支出4143.44万元，占2.60%；上缴上级支出0.00万元，占0.00%；经营支出0.00万元，占0.00%；对附属单位补助支出0.00万元，占0.00%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4681.22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减少18975.90万元，下降80.21%</w:t>
      </w:r>
      <w:r>
        <w:rPr>
          <w:rFonts w:ascii="仿宋" w:eastAsia="仿宋" w:hAnsi="仿宋" w:cs="仿宋" w:hint="eastAsia"/>
          <w:kern w:val="0"/>
          <w:sz w:val="32"/>
          <w:szCs w:val="32"/>
          <w:lang w:val="en-US" w:eastAsia="zh-CN"/>
        </w:rPr>
        <w:t xml:space="preserve">。主要原因是2022年度收到许昌市公共卫生中心项目债券资金2亿元并全部投入项目建设。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4681.22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2.94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增加1024.10万元，增长28.00%</w:t>
      </w:r>
      <w:r>
        <w:rPr>
          <w:rFonts w:ascii="仿宋" w:eastAsia="仿宋" w:hAnsi="仿宋" w:cs="仿宋" w:hint="eastAsia"/>
          <w:kern w:val="0"/>
          <w:sz w:val="32"/>
          <w:szCs w:val="32"/>
          <w:lang w:val="en-US" w:eastAsia="zh-CN"/>
        </w:rPr>
        <w:t xml:space="preserve">。主要原因是2023年度医院承担的公共卫生服务项目较多，支出的项目资金较2022年增加。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4681.22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卫生健康支出（类）4681.22万元，占100.00%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4681.22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4681.22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1.卫生健康支出（类）公立医院（款）综合医院（项）</w:t>
      </w:r>
      <w:r>
        <w:rPr>
          <w:rFonts w:ascii="仿宋" w:eastAsia="仿宋" w:hAnsi="仿宋" w:cs="仿宋" w:hint="default"/>
          <w:kern w:val="2"/>
          <w:sz w:val="32"/>
          <w:szCs w:val="32"/>
          <w:lang w:val="en-US" w:eastAsia="zh-CN"/>
        </w:rPr>
        <w:t xml:space="preserve">年初预算数为162.91万元，决算数162.91万元,完成年初预算的100.00%，决算数与年初预算数不存在差异。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2.卫生健康支出（类）公立医院（款）其他公立医院支出（项）</w:t>
      </w:r>
      <w:r>
        <w:rPr>
          <w:rFonts w:ascii="仿宋" w:eastAsia="仿宋" w:hAnsi="仿宋" w:cs="仿宋" w:hint="default"/>
          <w:kern w:val="2"/>
          <w:sz w:val="32"/>
          <w:szCs w:val="32"/>
          <w:lang w:val="en-US" w:eastAsia="zh-CN"/>
        </w:rPr>
        <w:t xml:space="preserve">年初预算数为1390.58万元，决算数1390.58万元,完成年初预算的100.00%，决算数与年初预算数不存在差异。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3.卫生健康支出（类）公共卫生（款）基本公共卫生服务（项）</w:t>
      </w:r>
      <w:r>
        <w:rPr>
          <w:rFonts w:ascii="仿宋" w:eastAsia="仿宋" w:hAnsi="仿宋" w:cs="仿宋" w:hint="default"/>
          <w:kern w:val="2"/>
          <w:sz w:val="32"/>
          <w:szCs w:val="32"/>
          <w:lang w:val="en-US" w:eastAsia="zh-CN"/>
        </w:rPr>
        <w:t xml:space="preserve">年初预算数为80.75万元，决算数80.75万元,完成年初预算的100.00%，决算数与年初预算数不存在差异。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4.卫生健康支出（类）公共卫生（款）重大公共卫生服务（项）</w:t>
      </w:r>
      <w:r>
        <w:rPr>
          <w:rFonts w:ascii="仿宋" w:eastAsia="仿宋" w:hAnsi="仿宋" w:cs="仿宋" w:hint="default"/>
          <w:kern w:val="2"/>
          <w:sz w:val="32"/>
          <w:szCs w:val="32"/>
          <w:lang w:val="en-US" w:eastAsia="zh-CN"/>
        </w:rPr>
        <w:t xml:space="preserve">年初预算数为180.94万元，决算数180.94万元,完成年初预算的100.00%，决算数与年初预算数不存在差异。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5.卫生健康支出（类）公共卫生（款）突发公共卫生事件应急处理（项）</w:t>
      </w:r>
      <w:r>
        <w:rPr>
          <w:rFonts w:ascii="仿宋" w:eastAsia="仿宋" w:hAnsi="仿宋" w:cs="仿宋" w:hint="default"/>
          <w:kern w:val="2"/>
          <w:sz w:val="32"/>
          <w:szCs w:val="32"/>
          <w:lang w:val="en-US" w:eastAsia="zh-CN"/>
        </w:rPr>
        <w:t xml:space="preserve">年初预算数为2017.08万元，决算数2017.08万元,完成年初预算的100.00%，决算数与年初预算数不存在差异。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6.卫生健康支出（类）公共卫生（款）其他公共卫生支出（项）</w:t>
      </w:r>
      <w:r>
        <w:rPr>
          <w:rFonts w:ascii="仿宋" w:eastAsia="仿宋" w:hAnsi="仿宋" w:cs="仿宋" w:hint="default"/>
          <w:kern w:val="2"/>
          <w:sz w:val="32"/>
          <w:szCs w:val="32"/>
          <w:lang w:val="en-US" w:eastAsia="zh-CN"/>
        </w:rPr>
        <w:t xml:space="preserve">年初预算数为187.66万元，决算数187.66万元,完成年初预算的100.00%，决算数与年初预算数不存在差异。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7.卫生健康支出（类）其他卫生健康支出（款）其他卫生健康支出（项）</w:t>
      </w:r>
      <w:r>
        <w:rPr>
          <w:rFonts w:ascii="仿宋" w:eastAsia="仿宋" w:hAnsi="仿宋" w:cs="仿宋" w:hint="default"/>
          <w:kern w:val="2"/>
          <w:sz w:val="32"/>
          <w:szCs w:val="32"/>
          <w:lang w:val="en-US" w:eastAsia="zh-CN"/>
        </w:rPr>
        <w:t xml:space="preserve">年初预算数为661.31万元，决算数661.31万元,完成年初预算的100.00%，决算数与年初预算数不存在差异。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537.78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其中：人员经费537.78万元，主要包括：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办公费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1525.12</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1126.62</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398.50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809.50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53.08</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605.50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74.80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23</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18</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108</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财政拨款的公务用车保有量与国有资产车辆差异原因:决算公务用车保有量漏填。</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159,250.27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2023年，在院党委领导下，紧紧围绕全市工作大局，全面贯彻落实市委、市政府决策部署，持续推进医院高质量发展，年度主要任务全面推进。</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基于项目预期目标的实现程度，我单位对2023年度单位预算项目支出（含单位参与分配的转移支付项目）开展绩效自评，涉及项目10个，项目金额3209.93万元。其中：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下达2023年公立医院综合改革，自评得分为98分，等级为“优秀”。本项目预算执行率100%，目标完成情况：基本建立具有中国特色的权责清晰、管理科学、治理完善、运行高效、监督有力的现代医院管理制度， 建立维护公益性、调动积极性、保障可持续的运行新机制和科学合理的补偿机制。（2）下达2023年卫生健康人才培养培训资金,自评得分为98分，等级为“优秀”。本项目预算执行率100%，目标完成情况：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(3)下达2023年重大传染病防控经费,自评得分为98分，等级为“优秀”。本项目预算执行率100%，目标完成情况：有效控制艾滋病疫情、开展脑卒中早期筛查干预项目，完成以新冠肺炎为主的病毒性传染病监测。(4)新开行贷款新冠疫情防控紧急援助项目利息,自评得分为100分，等级为“优秀”。本项目预算执行率100%，目标完成情况：新开行贷款付息，按照贷款合同约定按期偿还贷款利息，未出现贷款利息逾期现象，保持良好信誉。（5）2023年地方公共服务省级补助资金-慢阻肺，自评得分为98分，等级为“优秀”。本项目预算执行率100%，目标完成情况：持续加强慢阻肺筛查及康复能力，使慢阻肺人数得到有效控制。（6）2023年市直公立医院药品零差率销售市级补助资金，自评得分为100分，等级为“优秀”。本项目预算执行率100%，目标完成情况：现代医院管理制度初步建立，医疗服务体系能力体系明显提升。（7）2023年基本公共卫生服务项目，自评得分为92分，等级为“优秀”。本项目预算执行率38%，目标完成情况：提升老龄健康与医养结合水平，提高居民健康素养，对老年病房进行升级改造，举办相关会议，组织人员参加培训。（8）许昌市公共卫生医疗中心设备购置，自评得分为96分，等级为“优秀”。本项目预算执行率100%，目标完成情况：为许昌市公共卫生医疗中心购置医疗设备，提高许昌市突发公共卫生事件应对能力，设备招标采购完成，达到使用状态。（9）2023年新冠疫情应急救治能力提升项目中央基建投资预算项目,自评得分为99分，等级为“优秀”。本项目预算执行率90.3%，目标完成情况：按照文件政策要求，实施了设备购置项目，采购了15台呼吸机和40台监护仪，提高了医院疫情应急救治能力，为满足人民群众健康需求提供重要保障。(10)许昌市中心医院鹿鸣湖院区新建发热门诊项目,自评得分为100分，等级为“优秀”。本项目预算执行率100%，目标完成情况：独立发热门诊楼完工投入使用。 防范化解重大疫情和突发公共卫生事件的能力提高。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从项目绩效自评情况来看，2023年度项目支出绩效自评等级为优。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Ind w:w="0" w:type="dxa"/>
        <w:tblLayout w:type="fixed"/>
        <w:tblCellMar>
          <w:top w:w="0" w:type="dxa"/>
          <w:left w:w="0" w:type="dxa"/>
          <w:bottom w:w="0" w:type="dxa"/>
          <w:right w:w="0" w:type="dxa"/>
        </w:tblCellMar>
        <w:tblLook w:val="0000" w:firstRow="0" w:lastRow="0" w:firstColumn="0" w:lastColumn="0" w:noHBand="0" w:noVBand="0"/>
      </w:tblPr>
      <w:tblGrid>
        <w:gridCol w:w="747"/>
        <w:gridCol w:w="912"/>
        <w:gridCol w:w="664"/>
        <w:gridCol w:w="554"/>
        <w:gridCol w:w="2006"/>
        <w:gridCol w:w="955"/>
        <w:gridCol w:w="1217"/>
        <w:gridCol w:w="551"/>
        <w:gridCol w:w="509"/>
        <w:gridCol w:w="655"/>
        <w:gridCol w:w="665"/>
        <w:gridCol w:w="1061"/>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51"/>
        </w:trPr>
        <w:tc>
          <w:tcPr>
            <w:tcW w:w="10496" w:type="dxa"/>
            <w:gridSpan w:val="12"/>
            <w:tcBorders>
              <w:top w:val="nil"/>
              <w:left w:val="nil"/>
              <w:bottom w:val="nil"/>
              <w:right w:val="nil"/>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单位整体自评表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2877" w:type="dxa"/>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单位名称</w:t>
            </w:r>
          </w:p>
        </w:tc>
        <w:tc>
          <w:tcPr>
            <w:tcW w:w="7619" w:type="dxa"/>
            <w:gridSpan w:val="8"/>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许昌市中心医院</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747"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单位整体支出情况</w:t>
            </w:r>
          </w:p>
        </w:tc>
        <w:tc>
          <w:tcPr>
            <w:tcW w:w="2130"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w="106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w="132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执行率</w:t>
            </w:r>
          </w:p>
        </w:tc>
        <w:tc>
          <w:tcPr>
            <w:tcW w:w="106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130"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单位预算总额（万元）</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159250.27</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159250.27</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159180.81</w:t>
            </w:r>
          </w:p>
        </w:tc>
        <w:tc>
          <w:tcPr>
            <w:tcW w:w="106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w="132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99.96%</w:t>
            </w:r>
          </w:p>
        </w:tc>
        <w:tc>
          <w:tcPr>
            <w:tcW w:w="106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9.5</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130"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资金来源：</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）政府预算资金</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4,681.22</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4,681.22</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4,611.76</w:t>
            </w:r>
          </w:p>
        </w:tc>
        <w:tc>
          <w:tcPr>
            <w:tcW w:w="106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w="132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98.52%</w:t>
            </w:r>
          </w:p>
        </w:tc>
        <w:tc>
          <w:tcPr>
            <w:tcW w:w="106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130"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06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w="132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06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130"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154569.05 </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154569.05 </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154569.05 </w:t>
            </w:r>
          </w:p>
        </w:tc>
        <w:tc>
          <w:tcPr>
            <w:tcW w:w="106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w="1320"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w="106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747"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年度履职目标</w:t>
            </w:r>
          </w:p>
        </w:tc>
        <w:tc>
          <w:tcPr>
            <w:tcW w:w="5091" w:type="dxa"/>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w="4658" w:type="dxa"/>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759"/>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091" w:type="dxa"/>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坚持以习近平新时代中国特色社会主义思想为指导，全面贯彻落实党的二十大精神，以党的建设高质量推动医院发展高质量，医院各项工作取得明显成效。</w:t>
            </w:r>
          </w:p>
        </w:tc>
        <w:tc>
          <w:tcPr>
            <w:tcW w:w="4658" w:type="dxa"/>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医院各项工作取得明显成效</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年上半年河南</w:t>
            </w:r>
            <w:r>
              <w:rPr>
                <w:rFonts w:ascii="宋体" w:eastAsia="宋体" w:hAnsi="宋体" w:cs="宋体"/>
                <w:i w:val="0"/>
                <w:color w:val="000000"/>
                <w:kern w:val="0"/>
                <w:sz w:val="18"/>
                <w:szCs w:val="18"/>
                <w:u w:val="none"/>
                <w:bdr w:val="none" w:sz="0" w:space="0" w:color="auto"/>
                <w:lang w:val="en-US" w:eastAsia="zh-CN" w:bidi="en-AU"/>
              </w:rPr>
              <w:t xml:space="preserve">省</w:t>
            </w:r>
            <w:r>
              <w:rPr>
                <w:rFonts w:ascii="宋体" w:eastAsia="宋体" w:hAnsi="宋体" w:cs="宋体"/>
                <w:i w:val="0"/>
                <w:color w:val="000000"/>
                <w:kern w:val="0"/>
                <w:sz w:val="18"/>
                <w:szCs w:val="18"/>
                <w:u w:val="none"/>
                <w:bdr w:val="none" w:sz="0" w:space="0" w:color="auto"/>
                <w:lang w:val="en-US" w:eastAsia="zh-CN" w:bidi="en-AU"/>
              </w:rPr>
              <w:t xml:space="preserve">DR</w:t>
            </w:r>
            <w:r>
              <w:rPr>
                <w:rFonts w:ascii="宋体" w:eastAsia="宋体" w:hAnsi="宋体" w:cs="宋体"/>
                <w:i w:val="0"/>
                <w:color w:val="000000"/>
                <w:kern w:val="0"/>
                <w:sz w:val="18"/>
                <w:szCs w:val="18"/>
                <w:u w:val="none"/>
                <w:bdr w:val="none" w:sz="0" w:space="0" w:color="auto"/>
                <w:lang w:val="en-US" w:eastAsia="zh-CN" w:bidi="en-AU"/>
              </w:rPr>
              <w:t xml:space="preserve">G</w:t>
            </w:r>
            <w:r>
              <w:rPr>
                <w:rFonts w:ascii="宋体" w:eastAsia="宋体" w:hAnsi="宋体" w:cs="宋体"/>
                <w:i w:val="0"/>
                <w:color w:val="000000"/>
                <w:kern w:val="0"/>
                <w:sz w:val="18"/>
                <w:szCs w:val="18"/>
                <w:u w:val="none"/>
                <w:bdr w:val="none" w:sz="0" w:space="0" w:color="auto"/>
                <w:lang w:val="en-US" w:eastAsia="zh-CN" w:bidi="en-AU"/>
              </w:rPr>
              <w:t xml:space="preserve">绩效考核成绩位居全省</w:t>
            </w:r>
            <w:r>
              <w:rPr>
                <w:rFonts w:ascii="宋体" w:eastAsia="宋体" w:hAnsi="宋体" w:cs="宋体"/>
                <w:i w:val="0"/>
                <w:color w:val="000000"/>
                <w:kern w:val="0"/>
                <w:sz w:val="18"/>
                <w:szCs w:val="18"/>
                <w:u w:val="none"/>
                <w:bdr w:val="none" w:sz="0" w:space="0" w:color="auto"/>
                <w:lang w:val="en-US" w:eastAsia="zh-CN" w:bidi="en-AU"/>
              </w:rPr>
              <w:t xml:space="preserve">第</w:t>
            </w:r>
            <w:r>
              <w:rPr>
                <w:rFonts w:ascii="宋体" w:eastAsia="宋体" w:hAnsi="宋体" w:cs="宋体"/>
                <w:i w:val="0"/>
                <w:color w:val="000000"/>
                <w:kern w:val="0"/>
                <w:sz w:val="18"/>
                <w:szCs w:val="18"/>
                <w:u w:val="none"/>
                <w:bdr w:val="none" w:sz="0" w:space="0" w:color="auto"/>
                <w:lang w:val="en-US" w:eastAsia="zh-CN" w:bidi="en-AU"/>
              </w:rPr>
              <w:t xml:space="preserve">4</w:t>
            </w:r>
            <w:r>
              <w:rPr>
                <w:rFonts w:ascii="宋体" w:eastAsia="宋体" w:hAnsi="宋体" w:cs="宋体"/>
                <w:i w:val="0"/>
                <w:color w:val="000000"/>
                <w:kern w:val="0"/>
                <w:sz w:val="18"/>
                <w:szCs w:val="18"/>
                <w:u w:val="none"/>
                <w:bdr w:val="none" w:sz="0" w:space="0" w:color="auto"/>
                <w:lang w:val="en-US" w:eastAsia="zh-CN" w:bidi="en-AU"/>
              </w:rPr>
              <w:t xml:space="preserve">名，地市级医院排名</w:t>
            </w:r>
            <w:r>
              <w:rPr>
                <w:rFonts w:ascii="宋体" w:eastAsia="宋体" w:hAnsi="宋体" w:cs="宋体"/>
                <w:i w:val="0"/>
                <w:color w:val="000000"/>
                <w:kern w:val="0"/>
                <w:sz w:val="18"/>
                <w:szCs w:val="18"/>
                <w:u w:val="none"/>
                <w:bdr w:val="none" w:sz="0" w:space="0" w:color="auto"/>
                <w:lang w:val="en-US" w:eastAsia="zh-CN" w:bidi="en-AU"/>
              </w:rPr>
              <w:t xml:space="preserve">第</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位，医院蝉联河南</w:t>
            </w:r>
            <w:r>
              <w:rPr>
                <w:rFonts w:ascii="宋体" w:eastAsia="宋体" w:hAnsi="宋体" w:cs="宋体"/>
                <w:i w:val="0"/>
                <w:color w:val="000000"/>
                <w:kern w:val="0"/>
                <w:sz w:val="18"/>
                <w:szCs w:val="18"/>
                <w:u w:val="none"/>
                <w:bdr w:val="none" w:sz="0" w:space="0" w:color="auto"/>
                <w:lang w:val="en-US" w:eastAsia="zh-CN" w:bidi="en-AU"/>
              </w:rPr>
              <w:t xml:space="preserve">省</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群众满意医</w:t>
            </w:r>
            <w:r>
              <w:rPr>
                <w:rFonts w:ascii="宋体" w:eastAsia="宋体" w:hAnsi="宋体" w:cs="宋体"/>
                <w:i w:val="0"/>
                <w:color w:val="000000"/>
                <w:kern w:val="0"/>
                <w:sz w:val="18"/>
                <w:szCs w:val="18"/>
                <w:u w:val="none"/>
                <w:bdr w:val="none" w:sz="0" w:space="0" w:color="auto"/>
                <w:lang w:val="en-US" w:eastAsia="zh-CN" w:bidi="en-AU"/>
              </w:rPr>
              <w:t xml:space="preserve">院</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747"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年度主要任务</w:t>
            </w:r>
          </w:p>
        </w:tc>
        <w:tc>
          <w:tcPr>
            <w:tcW w:w="157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任务名称</w:t>
            </w:r>
          </w:p>
        </w:tc>
        <w:tc>
          <w:tcPr>
            <w:tcW w:w="3515"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主要内容</w:t>
            </w:r>
          </w:p>
        </w:tc>
        <w:tc>
          <w:tcPr>
            <w:tcW w:w="4658" w:type="dxa"/>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144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7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医院高质量发展</w:t>
            </w:r>
          </w:p>
        </w:tc>
        <w:tc>
          <w:tcPr>
            <w:tcW w:w="3515" w:type="dxa"/>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党的建设全面加强</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推</w:t>
            </w:r>
            <w:r>
              <w:rPr>
                <w:rFonts w:ascii="宋体" w:eastAsia="宋体" w:hAnsi="宋体" w:cs="宋体"/>
                <w:i w:val="0"/>
                <w:color w:val="000000"/>
                <w:kern w:val="0"/>
                <w:sz w:val="18"/>
                <w:szCs w:val="18"/>
                <w:u w:val="none"/>
                <w:bdr w:val="none" w:sz="0" w:space="0" w:color="auto"/>
                <w:lang w:val="en-US" w:eastAsia="zh-CN" w:bidi="en-AU"/>
              </w:rPr>
              <w:t xml:space="preserve">进</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一院四</w:t>
            </w:r>
            <w:r>
              <w:rPr>
                <w:rFonts w:ascii="宋体" w:eastAsia="宋体" w:hAnsi="宋体" w:cs="宋体"/>
                <w:i w:val="0"/>
                <w:color w:val="000000"/>
                <w:kern w:val="0"/>
                <w:sz w:val="18"/>
                <w:szCs w:val="18"/>
                <w:u w:val="none"/>
                <w:bdr w:val="none" w:sz="0" w:space="0" w:color="auto"/>
                <w:lang w:val="en-US" w:eastAsia="zh-CN" w:bidi="en-AU"/>
              </w:rPr>
              <w:t xml:space="preserve">区</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错位发展</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推进城市医疗集团建设</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4</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服务能力明显提升</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5</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学科建设形成集群</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科研教学水平提升</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7</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以优异成绩通过三甲复审</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8</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运营管理向精细化迈进</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开展清廉医院创建。</w:t>
            </w:r>
          </w:p>
        </w:tc>
        <w:tc>
          <w:tcPr>
            <w:tcW w:w="4658" w:type="dxa"/>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年，在院党委领导下，紧紧围绕全市工作大局，全面贯彻落实市委、市政府决策部署，持续推进医院高质量发展，年度主要任务全面推进。</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74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w="1218"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偏差度</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w="747"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w="912"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投入管理指标</w:t>
            </w:r>
          </w:p>
        </w:tc>
        <w:tc>
          <w:tcPr>
            <w:tcW w:w="1218" w:type="dxa"/>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工作目标管理</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三甲复审通过</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通过</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通过</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医院高质量发展</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218" w:type="dxa"/>
            <w:gridSpan w:val="2"/>
            <w:vMerge w:val="restart"/>
            <w:tcBorders>
              <w:top w:val="nil"/>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预算和财务管理</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全面预算管理制度是否执行</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全面执行</w:t>
            </w:r>
          </w:p>
        </w:tc>
        <w:tc>
          <w:tcPr>
            <w:tcW w:w="1217"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全面执行</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nil"/>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资产规模持续增加</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持续增加</w:t>
            </w:r>
          </w:p>
        </w:tc>
        <w:tc>
          <w:tcPr>
            <w:tcW w:w="1217"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持续增加</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nil"/>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财务管理规范化</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规范化</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规范化</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218"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绩效管理</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按照主管部门要求上报项目绩效自评表</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按要求上报</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按要求上报</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912" w:type="dxa"/>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w="1218" w:type="dxa"/>
            <w:gridSpan w:val="2"/>
            <w:vMerge w:val="restart"/>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重点工作任务完成</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党的建设全面加强</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持续加强</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持续加强</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推</w:t>
            </w:r>
            <w:r>
              <w:rPr>
                <w:rFonts w:ascii="宋体" w:eastAsia="宋体" w:hAnsi="宋体" w:cs="宋体"/>
                <w:i w:val="0"/>
                <w:color w:val="000000"/>
                <w:kern w:val="0"/>
                <w:sz w:val="18"/>
                <w:szCs w:val="18"/>
                <w:u w:val="none"/>
                <w:bdr w:val="none" w:sz="0" w:space="0" w:color="auto"/>
                <w:lang w:val="en-US" w:eastAsia="zh-CN" w:bidi="en-AU"/>
              </w:rPr>
              <w:t xml:space="preserve">进</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一院四</w:t>
            </w:r>
            <w:r>
              <w:rPr>
                <w:rFonts w:ascii="宋体" w:eastAsia="宋体" w:hAnsi="宋体" w:cs="宋体"/>
                <w:i w:val="0"/>
                <w:color w:val="000000"/>
                <w:kern w:val="0"/>
                <w:sz w:val="18"/>
                <w:szCs w:val="18"/>
                <w:u w:val="none"/>
                <w:bdr w:val="none" w:sz="0" w:space="0" w:color="auto"/>
                <w:lang w:val="en-US" w:eastAsia="zh-CN" w:bidi="en-AU"/>
              </w:rPr>
              <w:t xml:space="preserve">区</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错位发展</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推进城市医疗集团建设</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稳步推进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稳步推进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服务能力明显提升</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逐步提升</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逐步提升</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学科建设形成集群</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科研教学水平提升</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逐步提升</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逐步提升</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以优异成绩通过三甲复审</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通过</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通过</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运营管理向精细化迈进</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持续加强</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持续加强</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开展清廉医院创建</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4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218" w:type="dxa"/>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履职目标实现</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公立医院改革</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74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多措并举促进医院医疗卫生事业发展</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持续推进</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8</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8</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740"/>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912" w:type="dxa"/>
            <w:vMerge w:val="restart"/>
            <w:tcBorders>
              <w:top w:val="nil"/>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w="1218" w:type="dxa"/>
            <w:gridSpan w:val="2"/>
            <w:vMerge w:val="restart"/>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履职效益</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医院总体规模</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合理增长</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合理增长</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nil"/>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全市医疗卫生事业发展贡献度</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较大</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最大</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nil"/>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人民群众健康意识</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显著提升</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显著提升</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nil"/>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218" w:type="dxa"/>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w:t>
            </w: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住院患者满意度</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93.56%</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vMerge/>
            <w:tcBorders>
              <w:top w:val="nil"/>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2006"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门诊患者满意度</w:t>
            </w:r>
          </w:p>
        </w:tc>
        <w:tc>
          <w:tcPr>
            <w:tcW w:w="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w="121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91.46%</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308" w:type="dxa"/>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w="55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w="50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99.5</w:t>
            </w:r>
          </w:p>
        </w:tc>
        <w:tc>
          <w:tcPr>
            <w:tcW w:w="6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1726" w:type="dxa"/>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bl>
    <w:p>
      <w:pPr>
        <w:pStyle w:val="Normal_21c100cf-f475-4196-8c8b-999aae3568a5"/>
        <w:sectPr>
          <w:pgSz w:w="11906" w:h="16838"/>
          <w:pgMar w:top="720" w:right="720" w:bottom="720" w:left="720" w:header="851" w:footer="992" w:gutter="0"/>
          <w:docGrid w:type="lines" w:linePitch="312"/>
        </w:sectPr>
      </w:pPr>
    </w:p>
    <w:tbl>
      <w:tblPr>
        <w:tblStyle w:val="NormalTable_2f0f2240-00b7-4ddd-9aab-db0fd81d5440"/>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Look w:firstRow="0" w:lastRow="0" w:firstColumn="0" w:lastColumn="0" w:noHBand="1" w:noVBand="1"/>
      </w:tblPr>
      <w:tblGrid>
        <w:gridCol w:w="592"/>
        <w:gridCol w:w="686"/>
        <w:gridCol w:w="804"/>
        <w:gridCol w:w="748"/>
        <w:gridCol w:w="833"/>
        <w:gridCol w:w="1134"/>
        <w:gridCol w:w="748"/>
        <w:gridCol w:w="645"/>
        <w:gridCol w:w="749"/>
        <w:gridCol w:w="748"/>
        <w:gridCol w:w="655"/>
        <w:gridCol w:w="1"/>
        <w:gridCol w:w="656"/>
        <w:gridCol w:w="1497"/>
      </w:tblGrid>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69"/>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下达2023年公立医院综合改革</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656" w:type="dxa"/>
            <w:gridSpan w:val="2"/>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安排科学合理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拨付符合政策规定</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资金使用合理合规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开展全过程绩效管理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113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基本建立具有中国特色的权责清晰、管理科学、治理完善、运行高效、监督有力的现代医院管理制度， 建立维护公益性、调动积极性、保障可持续的运行新机制和科学合理的补偿机制。</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基本建立具有中国特色的权责清晰、管理科学、治理完善、运行高效、监督有力的现代医院管</w:t>
            </w:r>
            <w:r>
              <w:rPr/>
              <w:br/>
            </w:r>
            <w:r>
              <w:rPr>
                <w:rFonts w:ascii="宋体" w:eastAsia="宋体" w:hAnsi="宋体" w:cs="宋体"/>
                <w:i w:val="0"/>
                <w:color w:val="000000"/>
                <w:kern w:val="0"/>
                <w:sz w:val="18"/>
                <w:szCs w:val="18"/>
                <w:u w:val="none"/>
                <w:lang w:val="en-US" w:eastAsia="zh-CN"/>
              </w:rPr>
              <w:t xml:space="preserve">理制度， 建立维护公益性、调动积极性、保障可持续的运行新机制和科学合理的补偿机制。</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公立医院综合改革补助资金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389.8万元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三级公立医院安检覆盖率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904"/>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公立医院医疗服务收入（不含药品、耗材、检查、化验收入）占医疗收入的比例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较上年提高或高于全国平均值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三级公立医院安防系统建设达标率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678"/>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按病种付费的住院参保人员占总住院参保人员的比例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较上年提高或高于全国平均值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公立医院平均住院日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较上年降低低于全国平均值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公立医院次均门诊费用增幅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较上年降低低于全国平均值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公立医院人均住院费用增幅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较上年降低低于全国平均值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三级公立医院门诊人次数与出院人次数比</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较上年降低低于全国平均值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6</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公立医院资产负债率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较上年降低低于全国平均值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7</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住院患者满意度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93.56%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门诊患者满意度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91.46%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2.5</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98</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69"/>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下达2023年卫生健康人才培养培训资金</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执行率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574.8</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802.22</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802.22</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574.8</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574.8</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574.8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227.42</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227.42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安排科学合理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拨付符合政策规定</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资金使用合理合规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开展全过程绩效管理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196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推动地方贯彻落实《国务院办公厅关于深化医教协同进一步推进医学教育改革与发展的意见》（国办发〔2017〕63号）、《国务院办公厅关于改革完善全科医生培养与使用激励机制的意见》（国办发〔2018〕3号）、《国务院办公厅关于加快医学教育创新发展的指导意见》（国办发〔2020〕34号）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加快构建适合我国国情的整合型医疗卫生服务体系。</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得分</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偏差度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住院医师规范化培训补助标准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≥3万元/人/年</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≥3万元/人/年</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住院医师规范化培训招收完成率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住院医师规范化培训结业考核通过率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89.6%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全科医生转岗培训结业考核通过率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参培住院医师业务水平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较上年增长</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15</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参培全科医生转岗人员业务水平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较上年增长</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参培学员满意度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≥80%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5</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rPr>
              <w:t xml:space="preserve">98</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bl>
    <w:tbl>
      <w:tblPr>
        <w:tblStyle w:val="NormalTable_2f0f2240-00b7-4ddd-9aab-db0fd81d5440"/>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Look w:firstRow="0" w:lastRow="0" w:firstColumn="0" w:lastColumn="0" w:noHBand="1" w:noVBand="1"/>
      </w:tblPr>
      <w:tblGrid>
        <w:gridCol w:w="592"/>
        <w:gridCol w:w="686"/>
        <w:gridCol w:w="804"/>
        <w:gridCol w:w="748"/>
        <w:gridCol w:w="833"/>
        <w:gridCol w:w="1134"/>
        <w:gridCol w:w="748"/>
        <w:gridCol w:w="645"/>
        <w:gridCol w:w="749"/>
        <w:gridCol w:w="748"/>
        <w:gridCol w:w="655"/>
        <w:gridCol w:w="656"/>
        <w:gridCol w:w="749"/>
        <w:gridCol w:w="749"/>
      </w:tblGrid>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69"/>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下达2023年重大传染病防控经费</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w:t>
            </w:r>
            <w:r>
              <w:rPr>
                <w:rFonts w:ascii="宋体" w:eastAsia="宋体" w:hAnsi="宋体" w:cs="宋体"/>
                <w:i w:val="0"/>
                <w:color w:val="000000"/>
                <w:kern w:val="0"/>
                <w:sz w:val="18"/>
                <w:szCs w:val="18"/>
                <w:u w:val="none"/>
                <w:bdr w:val="none" w:sz="0" w:space="0" w:color="auto"/>
                <w:lang w:val="en-US" w:eastAsia="zh-CN"/>
              </w:rPr>
              <w:t xml:space="preserve">4</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安排科学合理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拨付符合政策要求</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资金使用合理合规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开展全过程预算绩效管理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261"/>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目标1：继续为0-6岁适龄儿童常规接种。            </w:t>
            </w:r>
            <w:r>
              <w:rPr/>
              <w:br/>
            </w:r>
            <w:r>
              <w:rPr>
                <w:rFonts w:ascii="宋体" w:eastAsia="宋体" w:hAnsi="宋体" w:cs="宋体"/>
                <w:i w:val="0"/>
                <w:color w:val="000000"/>
                <w:kern w:val="0"/>
                <w:sz w:val="18"/>
                <w:szCs w:val="18"/>
                <w:u w:val="none"/>
                <w:bdr w:val="none" w:sz="0" w:space="0" w:color="auto"/>
                <w:lang w:val="en-US" w:eastAsia="zh-CN"/>
              </w:rPr>
              <w:t xml:space="preserve">目标2：减少艾滋病新发感染，降低艾滋病病死率，全省艾滋病疫情继续控制在低流行水平，进一步减少结核感染、患病和死亡，切实降低结核病疾病负担，提高人民群众健康水平。                                                                       </w:t>
            </w:r>
            <w:r>
              <w:rPr/>
              <w:br/>
            </w:r>
            <w:r>
              <w:rPr>
                <w:rFonts w:ascii="宋体" w:eastAsia="宋体" w:hAnsi="宋体" w:cs="宋体"/>
                <w:i w:val="0"/>
                <w:color w:val="000000"/>
                <w:kern w:val="0"/>
                <w:sz w:val="18"/>
                <w:szCs w:val="18"/>
                <w:u w:val="none"/>
                <w:bdr w:val="none" w:sz="0" w:space="0" w:color="auto"/>
                <w:lang w:val="en-US" w:eastAsia="zh-CN"/>
              </w:rPr>
              <w:t xml:space="preserve">目标3：开展重大慢性病早期筛查干预项目，落实慢性病及其相关危险因素监测。加强严重精神障碍患者筛查、登记报告和随访服务，开展农村地区贫困癫痫患者筛查登记和随访管理。</w:t>
            </w:r>
            <w:r>
              <w:rPr/>
              <w:br/>
            </w:r>
            <w:r>
              <w:rPr>
                <w:rFonts w:ascii="宋体" w:eastAsia="宋体" w:hAnsi="宋体" w:cs="宋体"/>
                <w:i w:val="0"/>
                <w:color w:val="000000"/>
                <w:kern w:val="0"/>
                <w:sz w:val="18"/>
                <w:szCs w:val="18"/>
                <w:u w:val="none"/>
                <w:bdr w:val="none" w:sz="0" w:space="0" w:color="auto"/>
                <w:lang w:val="en-US" w:eastAsia="zh-CN"/>
              </w:rPr>
              <w:t xml:space="preserve">目标4：分别完成以新冠肺炎为主的病毒性传染病监测、基于国家致病菌识别网的细菌性传染病监测、重点区域病媒生物监测。</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有效控制艾滋病疫情、开展脑卒中早期筛查干预项目，完成以新冠肺炎为主的病毒性传染病监测。</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重大传染病防控经费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180.94万元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脑卒中高危人群筛查干预任务完成率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艾滋病感染孕产妇所生儿童抗病毒用药比例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有效控制艾滋病疫情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艾滋病疫情处于低流行水平</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居民健康水平提高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中长期</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6</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公共卫生均等化水平提高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中长期</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6</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6</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提高慢阻肺人群的规范化管理水平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2"/>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脑卒中高危人群筛查和干预人群满意度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86"/>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98</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新开行贷款新冠疫情防控紧急援助项目利息</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项目总金额45.81万元用于新开行贷款付息，按照贷款合同约定按期偿还贷款利息，不出现贷款利息逾期现象，保持良好信誉。</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已按照时间节点支付利息</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贷款利息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45.81</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rPr>
              <w:t xml:space="preserve">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支付完成率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rPr>
              <w:t xml:space="preserve">100%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按时间节点支付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按时</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按时</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不出现逾期，保持良好形象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未出现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未出现</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公众满意度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≥95%</w:t>
            </w:r>
          </w:p>
        </w:tc>
        <w:tc>
          <w:tcPr>
            <w:tcW w:w="13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98%</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2023年地方公共服务省级补助资金-慢阻肺</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安排科学合理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拨付符合政策要求</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资金使用合理合规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开展全过程预算绩效管理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2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加强慢阻肺筛查及康复能力</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持续加强慢阻肺筛查及康复能力</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慢阻肺防控经费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5.5万元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慢阻肺筛查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1635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0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对组织动员、项目具体实施、项目数据质量进行质控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持续开展</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居民健康水平提高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中长期</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公共卫生均等化水平提高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中长期</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提高慢阻肺人群的规范化管理水平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慢阻肺筛查人群满意度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98</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2023年市直公立医院药品零差率销售市级补助资金</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466.6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0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建立现代医院管理制度，医疗服务体系能力体系提升，就医秩序得到改善。</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现代医院管理制度初步建立，医疗服务体系能力体系明显提升。</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医疗服务收入占公立医院医疗收入的比例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较上年提高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医院取消西药、中成药药品加成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取消</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完成</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出院患者手术占比</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较上年提高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时效指标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保证城市公立医院综合改革有效进行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有效进行</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持续进行</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提升医疗服务能力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持续提升</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患者就诊满意度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2023年基本公共卫生服务项目</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80.75</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80.75</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30.69</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38.01</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80.75</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80.75</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30.69</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38.01</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提升老龄健康与医养结合水平，提高居民健康素养</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对老年病房进行升级改造，举办相关会议，组织人员参加培训。</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老年病房升级改造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29.51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29.51</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承办老年医疗护理康复技能竞赛相关会议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1次</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1次</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20"/>
                <w:szCs w:val="20"/>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20"/>
                <w:szCs w:val="20"/>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居民健康素养水平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不断提高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基本公共卫生服务水平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逐步提升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病人满意度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≥90% </w:t>
            </w:r>
          </w:p>
        </w:tc>
        <w:tc>
          <w:tcPr>
            <w:tcW w:w="13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92</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许昌市公共卫生医疗中心设备购置</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4</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4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为许昌市公共卫生医疗中心购置医疗设备，提高许昌市突发公共卫生事件应对能力</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设备招标采购完成，达到使用状态。</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购置成本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500.66万元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指标1：多旋ct机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指标2：摄影x射线机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指标3：冷藏箱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指标4：呼吸机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1台</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指标5：医用普通病床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123张</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123张</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设备验收合格率</w:t>
            </w:r>
          </w:p>
        </w:tc>
        <w:tc>
          <w:tcPr>
            <w:tcW w:w="113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100%</w:t>
            </w: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20"/>
                <w:szCs w:val="20"/>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2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医院发热病人的就诊与治疗环境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不断提高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4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防范化解重大疫情和突发公共卫生事件的能力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逐步提升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病人满意度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≥90% </w:t>
            </w:r>
          </w:p>
        </w:tc>
        <w:tc>
          <w:tcPr>
            <w:tcW w:w="13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96</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2023年新冠疫情应急救治能力提升项目中央基建投资预算项目</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180.6</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90.3</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200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180.6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90.3</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11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为贯彻落实党中央、国务院决策部署，更好应对新冠肺炎医疗救治工作，保健康、防重症，根据《关于印发做好医疗资源准备工作方案的通知》（联防联控机制综发【2022】112号）要求，推动方舱医院升级改造为亚（准）定点医院，三级医院加强可转换ICU建设，提高应急救治能力，满足人民群众健康需求提供重要保障。</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按照文件政策要求，实施了设备购置项目，采购了15台呼吸机和40台监护仪，提高了医院疫情应急救治能力，为满足人民群众健康需求提供重要保障。</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6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新冠疫情应急救治能力提升项目中央基建投资金额</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≤238万元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≤238万元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医疗仪器设备购置数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15台呼吸机和30台监护仪</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15台呼吸机和30台监护仪</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支持项目数量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年度计划投资完成率</w:t>
            </w:r>
          </w:p>
        </w:tc>
        <w:tc>
          <w:tcPr>
            <w:tcW w:w="113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100%</w:t>
            </w: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中央预算内投资支付率</w:t>
            </w:r>
          </w:p>
        </w:tc>
        <w:tc>
          <w:tcPr>
            <w:tcW w:w="113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≥65%</w:t>
            </w: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90.30%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项目开工率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≥90%</w:t>
            </w: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医疗卫生资金配置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不断提高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改善医疗卫生基础设施条件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逐步提升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病人满意度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≥80% </w:t>
            </w:r>
          </w:p>
        </w:tc>
        <w:tc>
          <w:tcPr>
            <w:tcW w:w="13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99</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8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0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833"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1134"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4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8"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5"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656"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c>
          <w:tcPr>
            <w:tcW w:w="749" w:type="dxa"/>
            <w:tcBorders>
              <w:top w:val="nil"/>
              <w:left w:val="nil"/>
              <w:bottom w:val="nil"/>
              <w:right w:val="nil"/>
            </w:tcBorders>
            <w:shd w:val="clear" w:color="auto" w:fill="auto"/>
            <w:noWrap w:val="1"/>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22"/>
                <w:szCs w:val="22"/>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10496" w:type="dxa"/>
            <w:gridSpan w:val="14"/>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rPr>
              <w:t xml:space="preserve">项目单位自评表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项目名称</w:t>
            </w:r>
          </w:p>
        </w:tc>
        <w:tc>
          <w:tcPr>
            <w:tcW w:w="921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许昌市中心医院鹿鸣湖院区新建发热门诊项目</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主管部门</w:t>
            </w:r>
          </w:p>
        </w:tc>
        <w:tc>
          <w:tcPr>
            <w:tcW w:w="351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许昌市卫生健康委员会</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实施单位</w:t>
            </w:r>
          </w:p>
        </w:tc>
        <w:tc>
          <w:tcPr>
            <w:tcW w:w="430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许昌市中心医院</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项目资金（万元）</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年初预算数</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全年预算数</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全年执行数</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执行率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年度资金总额（万元）：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655" w:type="dxa"/>
            <w:tcBorders>
              <w:top w:val="nil"/>
              <w:left w:val="nil"/>
              <w:bottom w:val="nil"/>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政府性预算资金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财政专户管理资金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单位资金</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资金管理情况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情况说明</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存在问题和改进措施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安排科学。</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拨付合规。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使用规范性</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使用规范。</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预算绩效管理情况</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预算绩效管理良好。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355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年度总体目标</w:t>
            </w: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预期目标</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实际完成情况</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420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独立发热门诊楼完工投入使用。</w:t>
            </w:r>
          </w:p>
        </w:tc>
        <w:tc>
          <w:tcPr>
            <w:tcW w:w="569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独立发热门诊楼完工投入使用。</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绩效指标</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二级指标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年度指标值</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实际完成值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分值</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得分</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偏差度 %</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偏差原因分析及改进措施</w:t>
            </w: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新冠疫情应急救治能力提升项目中央基建投资金额</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765.07万元</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765.07万元</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生态环境成本指标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产出指标</w:t>
            </w:r>
          </w:p>
        </w:tc>
        <w:tc>
          <w:tcPr>
            <w:tcW w:w="80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数量指标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独立的发热门诊楼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一幢</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一幢</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留观床位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11个</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11个</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建筑面积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1965㎡</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1965㎡</w:t>
            </w: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质量指标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符合发热门诊设置管理规范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符合</w:t>
            </w:r>
          </w:p>
        </w:tc>
        <w:tc>
          <w:tcPr>
            <w:tcW w:w="139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符合</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工程验收合格情况</w:t>
            </w:r>
          </w:p>
        </w:tc>
        <w:tc>
          <w:tcPr>
            <w:tcW w:w="113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合格</w:t>
            </w: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合格</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经济效益指标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54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社会效益指标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防范化解重大疫情和突发公共卫生事件的能力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不断提高</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提高</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 医院发热病人的就诊与治疗环境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1393" w:type="dxa"/>
            <w:gridSpan w:val="2"/>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逐步提升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提升许昌市发热类疾病的救治能力和水平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逐步提升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5</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74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生态效益指标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93" w:type="dxa"/>
            <w:gridSpan w:val="2"/>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45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服务对象满意度指标</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病人满意度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hint="eastAsia"/>
                <w:i w:val="0"/>
                <w:color w:val="000000"/>
                <w:sz w:val="20"/>
                <w:szCs w:val="20"/>
                <w:u w:val="none"/>
              </w:rPr>
            </w:pPr>
            <w:r>
              <w:rPr>
                <w:rFonts w:ascii="宋体" w:eastAsia="宋体" w:hAnsi="宋体" w:cs="宋体" w:hint="eastAsia"/>
                <w:i w:val="0"/>
                <w:color w:val="000000"/>
                <w:kern w:val="0"/>
                <w:sz w:val="20"/>
                <w:szCs w:val="20"/>
                <w:u w:val="none"/>
                <w:bdr w:val="none" w:sz="0" w:space="0" w:color="auto"/>
                <w:lang w:val="en-US" w:eastAsia="zh-CN"/>
              </w:rPr>
              <w:t xml:space="preserve">≥80% </w:t>
            </w:r>
          </w:p>
        </w:tc>
        <w:tc>
          <w:tcPr>
            <w:tcW w:w="139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95%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0.00%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r>
        <w:tblPrEx>
          <w:tblW w:w="104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总分</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rPr>
              <w:t xml:space="preserve">100</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_21c100cf-f475-4196-8c8b-999aae3568a5"/>
              <w:jc w:val="center"/>
              <w:rPr>
                <w:rFonts w:ascii="宋体" w:eastAsia="宋体" w:hAnsi="宋体" w:cs="宋体" w:hint="eastAsia"/>
                <w:i w:val="0"/>
                <w:color w:val="000000"/>
                <w:sz w:val="18"/>
                <w:szCs w:val="18"/>
                <w:u w:val="none"/>
              </w:rPr>
            </w:pPr>
          </w:p>
        </w:tc>
      </w:tr>
    </w:tbl>
    <w:p>
      <w:pPr>
        <w:pStyle w:val="Normal_21c100cf-f475-4196-8c8b-999aae3568a5"/>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1c100cf-f475-4196-8c8b-999aae3568a5">
    <w:name w:val="Normal_21c100cf-f475-4196-8c8b-999aae3568a5"/>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table" w:styleId="NormalTable_2f0f2240-00b7-4ddd-9aab-db0fd81d5440">
    <w:name w:val="Normal Table_2f0f2240-00b7-4ddd-9aab-db0fd81d5440"/>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