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河南省农业广播电视学校许昌市分校</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河南省农业广播电视学校许昌市分校</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河南省农业广播电视学校许昌市分校概况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通过广播电视为农民提供培训服务，提供农业信息，促进农业发展。农业技术中专学历教育，“绿色证书”与“跨世纪青年农民培训工程”教育培训，农业科技结合培训，农民科技教育培训。（二）农村基层干部培训，农业实用技术培训，农业信息体系建设，农业信息收集，整理与信息资源开发，农业信息进村入户服务，农村农业信息管理。</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河南省农业广播电视学校许昌市分校</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办公室、财务科、信息综合科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河南省农业广播电视学校许昌市分校</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2023年度，根据许编（2023）4号文，将河南省农业广播电视学校许昌市分校（许昌市农业信息中心、许昌市农民科技教育培训中心）更名为许昌市农村发展服务中心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河南省农业广播电视学校许昌市分校</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单位：河南省农业广播电视学校许昌市分校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246.39</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1.36</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23.20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7.19</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200.71</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13.92</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246.39</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246.39</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0.10</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0.10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246.49</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246.49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单位：河南省农业广播电视学校许昌市分校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246.39</w:t>
            </w:r>
          </w:p>
        </w:tc>
        <w:tc>
          <w:tcPr>
            <w:tcW w:w="1440" w:type="dxa"/>
            <w:tcBorders/>
            <w:vAlign w:val="center"/>
          </w:tcPr>
          <w:p>
            <w:pPr>
              <w:jc w:val="right"/>
            </w:pPr>
            <w:r>
              <w:rPr>
                <w:rFonts w:ascii="宋体" w:eastAsia="宋体" w:hAnsi="宋体" w:cs="宋体"/>
                <w:b/>
                <w:i w:val="0"/>
                <w:color w:val="000000"/>
                <w:sz w:val="17"/>
              </w:rPr>
              <w:t xml:space="preserve">246.39</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1.36</w:t>
            </w:r>
          </w:p>
        </w:tc>
        <w:tc>
          <w:tcPr>
            <w:tcW w:w="1440" w:type="dxa"/>
            <w:tcBorders/>
            <w:vAlign w:val="center"/>
          </w:tcPr>
          <w:p>
            <w:pPr>
              <w:jc w:val="right"/>
            </w:pPr>
            <w:r>
              <w:rPr>
                <w:rFonts w:ascii="宋体" w:eastAsia="宋体" w:hAnsi="宋体" w:cs="宋体"/>
                <w:b w:val="0"/>
                <w:i w:val="0"/>
                <w:color w:val="000000"/>
                <w:sz w:val="17"/>
              </w:rPr>
              <w:t xml:space="preserve">1.36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1.36</w:t>
            </w:r>
          </w:p>
        </w:tc>
        <w:tc>
          <w:tcPr>
            <w:tcW w:w="1440" w:type="dxa"/>
            <w:tcBorders/>
            <w:vAlign w:val="center"/>
          </w:tcPr>
          <w:p>
            <w:pPr>
              <w:jc w:val="right"/>
            </w:pPr>
            <w:r>
              <w:rPr>
                <w:rFonts w:ascii="宋体" w:eastAsia="宋体" w:hAnsi="宋体" w:cs="宋体"/>
                <w:b w:val="0"/>
                <w:i w:val="0"/>
                <w:color w:val="000000"/>
                <w:sz w:val="17"/>
              </w:rPr>
              <w:t xml:space="preserve">1.36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1.36</w:t>
            </w:r>
          </w:p>
        </w:tc>
        <w:tc>
          <w:tcPr>
            <w:tcW w:w="1440" w:type="dxa"/>
            <w:tcBorders/>
            <w:vAlign w:val="center"/>
          </w:tcPr>
          <w:p>
            <w:pPr>
              <w:jc w:val="right"/>
            </w:pPr>
            <w:r>
              <w:rPr>
                <w:rFonts w:ascii="宋体" w:eastAsia="宋体" w:hAnsi="宋体" w:cs="宋体"/>
                <w:b w:val="0"/>
                <w:i w:val="0"/>
                <w:color w:val="000000"/>
                <w:sz w:val="17"/>
              </w:rPr>
              <w:t xml:space="preserve">1.36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23.20</w:t>
            </w:r>
          </w:p>
        </w:tc>
        <w:tc>
          <w:tcPr>
            <w:tcW w:w="1440" w:type="dxa"/>
            <w:tcBorders/>
            <w:vAlign w:val="center"/>
          </w:tcPr>
          <w:p>
            <w:pPr>
              <w:jc w:val="right"/>
            </w:pPr>
            <w:r>
              <w:rPr>
                <w:rFonts w:ascii="宋体" w:eastAsia="宋体" w:hAnsi="宋体" w:cs="宋体"/>
                <w:b w:val="0"/>
                <w:i w:val="0"/>
                <w:color w:val="000000"/>
                <w:sz w:val="17"/>
              </w:rPr>
              <w:t xml:space="preserve">23.20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23.20</w:t>
            </w:r>
          </w:p>
        </w:tc>
        <w:tc>
          <w:tcPr>
            <w:tcW w:w="1440" w:type="dxa"/>
            <w:tcBorders/>
            <w:vAlign w:val="center"/>
          </w:tcPr>
          <w:p>
            <w:pPr>
              <w:jc w:val="right"/>
            </w:pPr>
            <w:r>
              <w:rPr>
                <w:rFonts w:ascii="宋体" w:eastAsia="宋体" w:hAnsi="宋体" w:cs="宋体"/>
                <w:b w:val="0"/>
                <w:i w:val="0"/>
                <w:color w:val="000000"/>
                <w:sz w:val="17"/>
              </w:rPr>
              <w:t xml:space="preserve">23.20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8.27</w:t>
            </w:r>
          </w:p>
        </w:tc>
        <w:tc>
          <w:tcPr>
            <w:tcW w:w="1440" w:type="dxa"/>
            <w:tcBorders/>
            <w:vAlign w:val="center"/>
          </w:tcPr>
          <w:p>
            <w:pPr>
              <w:jc w:val="right"/>
            </w:pPr>
            <w:r>
              <w:rPr>
                <w:rFonts w:ascii="宋体" w:eastAsia="宋体" w:hAnsi="宋体" w:cs="宋体"/>
                <w:b w:val="0"/>
                <w:i w:val="0"/>
                <w:color w:val="000000"/>
                <w:sz w:val="17"/>
              </w:rPr>
              <w:t xml:space="preserve">8.27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14.93</w:t>
            </w:r>
          </w:p>
        </w:tc>
        <w:tc>
          <w:tcPr>
            <w:tcW w:w="1440" w:type="dxa"/>
            <w:tcBorders/>
            <w:vAlign w:val="center"/>
          </w:tcPr>
          <w:p>
            <w:pPr>
              <w:jc w:val="right"/>
            </w:pPr>
            <w:r>
              <w:rPr>
                <w:rFonts w:ascii="宋体" w:eastAsia="宋体" w:hAnsi="宋体" w:cs="宋体"/>
                <w:b w:val="0"/>
                <w:i w:val="0"/>
                <w:color w:val="000000"/>
                <w:sz w:val="17"/>
              </w:rPr>
              <w:t xml:space="preserve">14.93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7.19</w:t>
            </w:r>
          </w:p>
        </w:tc>
        <w:tc>
          <w:tcPr>
            <w:tcW w:w="1440" w:type="dxa"/>
            <w:tcBorders/>
            <w:vAlign w:val="center"/>
          </w:tcPr>
          <w:p>
            <w:pPr>
              <w:jc w:val="right"/>
            </w:pPr>
            <w:r>
              <w:rPr>
                <w:rFonts w:ascii="宋体" w:eastAsia="宋体" w:hAnsi="宋体" w:cs="宋体"/>
                <w:b w:val="0"/>
                <w:i w:val="0"/>
                <w:color w:val="000000"/>
                <w:sz w:val="17"/>
              </w:rPr>
              <w:t xml:space="preserve">7.19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7.19</w:t>
            </w:r>
          </w:p>
        </w:tc>
        <w:tc>
          <w:tcPr>
            <w:tcW w:w="1440" w:type="dxa"/>
            <w:tcBorders/>
            <w:vAlign w:val="center"/>
          </w:tcPr>
          <w:p>
            <w:pPr>
              <w:jc w:val="right"/>
            </w:pPr>
            <w:r>
              <w:rPr>
                <w:rFonts w:ascii="宋体" w:eastAsia="宋体" w:hAnsi="宋体" w:cs="宋体"/>
                <w:b w:val="0"/>
                <w:i w:val="0"/>
                <w:color w:val="000000"/>
                <w:sz w:val="17"/>
              </w:rPr>
              <w:t xml:space="preserve">7.19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7.19</w:t>
            </w:r>
          </w:p>
        </w:tc>
        <w:tc>
          <w:tcPr>
            <w:tcW w:w="1440" w:type="dxa"/>
            <w:tcBorders/>
            <w:vAlign w:val="center"/>
          </w:tcPr>
          <w:p>
            <w:pPr>
              <w:jc w:val="right"/>
            </w:pPr>
            <w:r>
              <w:rPr>
                <w:rFonts w:ascii="宋体" w:eastAsia="宋体" w:hAnsi="宋体" w:cs="宋体"/>
                <w:b w:val="0"/>
                <w:i w:val="0"/>
                <w:color w:val="000000"/>
                <w:sz w:val="17"/>
              </w:rPr>
              <w:t xml:space="preserve">7.19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200.71</w:t>
            </w:r>
          </w:p>
        </w:tc>
        <w:tc>
          <w:tcPr>
            <w:tcW w:w="1440" w:type="dxa"/>
            <w:tcBorders/>
            <w:vAlign w:val="center"/>
          </w:tcPr>
          <w:p>
            <w:pPr>
              <w:jc w:val="right"/>
            </w:pPr>
            <w:r>
              <w:rPr>
                <w:rFonts w:ascii="宋体" w:eastAsia="宋体" w:hAnsi="宋体" w:cs="宋体"/>
                <w:b w:val="0"/>
                <w:i w:val="0"/>
                <w:color w:val="000000"/>
                <w:sz w:val="17"/>
              </w:rPr>
              <w:t xml:space="preserve">200.71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农业农村</w:t>
            </w:r>
          </w:p>
        </w:tc>
        <w:tc>
          <w:tcPr>
            <w:tcW w:w="1440" w:type="dxa"/>
            <w:tcBorders/>
            <w:vAlign w:val="center"/>
          </w:tcPr>
          <w:p>
            <w:pPr>
              <w:jc w:val="right"/>
            </w:pPr>
            <w:r>
              <w:rPr>
                <w:rFonts w:ascii="宋体" w:eastAsia="宋体" w:hAnsi="宋体" w:cs="宋体"/>
                <w:b w:val="0"/>
                <w:i w:val="0"/>
                <w:color w:val="000000"/>
                <w:sz w:val="17"/>
              </w:rPr>
              <w:t xml:space="preserve">200.71</w:t>
            </w:r>
          </w:p>
        </w:tc>
        <w:tc>
          <w:tcPr>
            <w:tcW w:w="1440" w:type="dxa"/>
            <w:tcBorders/>
            <w:vAlign w:val="center"/>
          </w:tcPr>
          <w:p>
            <w:pPr>
              <w:jc w:val="right"/>
            </w:pPr>
            <w:r>
              <w:rPr>
                <w:rFonts w:ascii="宋体" w:eastAsia="宋体" w:hAnsi="宋体" w:cs="宋体"/>
                <w:b w:val="0"/>
                <w:i w:val="0"/>
                <w:color w:val="000000"/>
                <w:sz w:val="17"/>
              </w:rPr>
              <w:t xml:space="preserve">200.71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200.71</w:t>
            </w:r>
          </w:p>
        </w:tc>
        <w:tc>
          <w:tcPr>
            <w:tcW w:w="1440" w:type="dxa"/>
            <w:tcBorders/>
            <w:vAlign w:val="center"/>
          </w:tcPr>
          <w:p>
            <w:pPr>
              <w:jc w:val="right"/>
            </w:pPr>
            <w:r>
              <w:rPr>
                <w:rFonts w:ascii="宋体" w:eastAsia="宋体" w:hAnsi="宋体" w:cs="宋体"/>
                <w:b w:val="0"/>
                <w:i w:val="0"/>
                <w:color w:val="000000"/>
                <w:sz w:val="17"/>
              </w:rPr>
              <w:t xml:space="preserve">200.71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13.92</w:t>
            </w:r>
          </w:p>
        </w:tc>
        <w:tc>
          <w:tcPr>
            <w:tcW w:w="1440" w:type="dxa"/>
            <w:tcBorders/>
            <w:vAlign w:val="center"/>
          </w:tcPr>
          <w:p>
            <w:pPr>
              <w:jc w:val="right"/>
            </w:pPr>
            <w:r>
              <w:rPr>
                <w:rFonts w:ascii="宋体" w:eastAsia="宋体" w:hAnsi="宋体" w:cs="宋体"/>
                <w:b w:val="0"/>
                <w:i w:val="0"/>
                <w:color w:val="000000"/>
                <w:sz w:val="17"/>
              </w:rPr>
              <w:t xml:space="preserve">13.92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13.92</w:t>
            </w:r>
          </w:p>
        </w:tc>
        <w:tc>
          <w:tcPr>
            <w:tcW w:w="1440" w:type="dxa"/>
            <w:tcBorders/>
            <w:vAlign w:val="center"/>
          </w:tcPr>
          <w:p>
            <w:pPr>
              <w:jc w:val="right"/>
            </w:pPr>
            <w:r>
              <w:rPr>
                <w:rFonts w:ascii="宋体" w:eastAsia="宋体" w:hAnsi="宋体" w:cs="宋体"/>
                <w:b w:val="0"/>
                <w:i w:val="0"/>
                <w:color w:val="000000"/>
                <w:sz w:val="17"/>
              </w:rPr>
              <w:t xml:space="preserve">13.92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13.92</w:t>
            </w:r>
          </w:p>
        </w:tc>
        <w:tc>
          <w:tcPr>
            <w:tcW w:w="1440" w:type="dxa"/>
            <w:tcBorders/>
            <w:vAlign w:val="center"/>
          </w:tcPr>
          <w:p>
            <w:pPr>
              <w:jc w:val="right"/>
            </w:pPr>
            <w:r>
              <w:rPr>
                <w:rFonts w:ascii="宋体" w:eastAsia="宋体" w:hAnsi="宋体" w:cs="宋体"/>
                <w:b w:val="0"/>
                <w:i w:val="0"/>
                <w:color w:val="000000"/>
                <w:sz w:val="17"/>
              </w:rPr>
              <w:t xml:space="preserve">13.92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单位：河南省农业广播电视学校许昌市分校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246.39</w:t>
            </w:r>
          </w:p>
        </w:tc>
        <w:tc>
          <w:tcPr>
            <w:tcW w:w="1600" w:type="dxa"/>
            <w:tcBorders/>
            <w:vAlign w:val="center"/>
          </w:tcPr>
          <w:p>
            <w:pPr>
              <w:jc w:val="right"/>
            </w:pPr>
            <w:r>
              <w:rPr>
                <w:rFonts w:ascii="宋体" w:eastAsia="宋体" w:hAnsi="宋体" w:cs="宋体"/>
                <w:b/>
                <w:i w:val="0"/>
                <w:color w:val="000000"/>
                <w:sz w:val="19"/>
              </w:rPr>
              <w:t xml:space="preserve">246.39</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1.36</w:t>
            </w:r>
          </w:p>
        </w:tc>
        <w:tc>
          <w:tcPr>
            <w:tcW w:w="1600" w:type="dxa"/>
            <w:tcBorders/>
            <w:vAlign w:val="center"/>
          </w:tcPr>
          <w:p>
            <w:pPr>
              <w:jc w:val="right"/>
            </w:pPr>
            <w:r>
              <w:rPr>
                <w:rFonts w:ascii="宋体" w:eastAsia="宋体" w:hAnsi="宋体" w:cs="宋体"/>
                <w:b w:val="0"/>
                <w:i w:val="0"/>
                <w:color w:val="000000"/>
                <w:sz w:val="19"/>
              </w:rPr>
              <w:t xml:space="preserve">1.36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1.36</w:t>
            </w:r>
          </w:p>
        </w:tc>
        <w:tc>
          <w:tcPr>
            <w:tcW w:w="1600" w:type="dxa"/>
            <w:tcBorders/>
            <w:vAlign w:val="center"/>
          </w:tcPr>
          <w:p>
            <w:pPr>
              <w:jc w:val="right"/>
            </w:pPr>
            <w:r>
              <w:rPr>
                <w:rFonts w:ascii="宋体" w:eastAsia="宋体" w:hAnsi="宋体" w:cs="宋体"/>
                <w:b w:val="0"/>
                <w:i w:val="0"/>
                <w:color w:val="000000"/>
                <w:sz w:val="19"/>
              </w:rPr>
              <w:t xml:space="preserve">1.36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1.36</w:t>
            </w:r>
          </w:p>
        </w:tc>
        <w:tc>
          <w:tcPr>
            <w:tcW w:w="1600" w:type="dxa"/>
            <w:tcBorders/>
            <w:vAlign w:val="center"/>
          </w:tcPr>
          <w:p>
            <w:pPr>
              <w:jc w:val="right"/>
            </w:pPr>
            <w:r>
              <w:rPr>
                <w:rFonts w:ascii="宋体" w:eastAsia="宋体" w:hAnsi="宋体" w:cs="宋体"/>
                <w:b w:val="0"/>
                <w:i w:val="0"/>
                <w:color w:val="000000"/>
                <w:sz w:val="19"/>
              </w:rPr>
              <w:t xml:space="preserve">1.36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23.20</w:t>
            </w:r>
          </w:p>
        </w:tc>
        <w:tc>
          <w:tcPr>
            <w:tcW w:w="1600" w:type="dxa"/>
            <w:tcBorders/>
            <w:vAlign w:val="center"/>
          </w:tcPr>
          <w:p>
            <w:pPr>
              <w:jc w:val="right"/>
            </w:pPr>
            <w:r>
              <w:rPr>
                <w:rFonts w:ascii="宋体" w:eastAsia="宋体" w:hAnsi="宋体" w:cs="宋体"/>
                <w:b w:val="0"/>
                <w:i w:val="0"/>
                <w:color w:val="000000"/>
                <w:sz w:val="19"/>
              </w:rPr>
              <w:t xml:space="preserve">23.20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23.20</w:t>
            </w:r>
          </w:p>
        </w:tc>
        <w:tc>
          <w:tcPr>
            <w:tcW w:w="1600" w:type="dxa"/>
            <w:tcBorders/>
            <w:vAlign w:val="center"/>
          </w:tcPr>
          <w:p>
            <w:pPr>
              <w:jc w:val="right"/>
            </w:pPr>
            <w:r>
              <w:rPr>
                <w:rFonts w:ascii="宋体" w:eastAsia="宋体" w:hAnsi="宋体" w:cs="宋体"/>
                <w:b w:val="0"/>
                <w:i w:val="0"/>
                <w:color w:val="000000"/>
                <w:sz w:val="19"/>
              </w:rPr>
              <w:t xml:space="preserve">23.20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8.27</w:t>
            </w:r>
          </w:p>
        </w:tc>
        <w:tc>
          <w:tcPr>
            <w:tcW w:w="1600" w:type="dxa"/>
            <w:tcBorders/>
            <w:vAlign w:val="center"/>
          </w:tcPr>
          <w:p>
            <w:pPr>
              <w:jc w:val="right"/>
            </w:pPr>
            <w:r>
              <w:rPr>
                <w:rFonts w:ascii="宋体" w:eastAsia="宋体" w:hAnsi="宋体" w:cs="宋体"/>
                <w:b w:val="0"/>
                <w:i w:val="0"/>
                <w:color w:val="000000"/>
                <w:sz w:val="19"/>
              </w:rPr>
              <w:t xml:space="preserve">8.27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14.93</w:t>
            </w:r>
          </w:p>
        </w:tc>
        <w:tc>
          <w:tcPr>
            <w:tcW w:w="1600" w:type="dxa"/>
            <w:tcBorders/>
            <w:vAlign w:val="center"/>
          </w:tcPr>
          <w:p>
            <w:pPr>
              <w:jc w:val="right"/>
            </w:pPr>
            <w:r>
              <w:rPr>
                <w:rFonts w:ascii="宋体" w:eastAsia="宋体" w:hAnsi="宋体" w:cs="宋体"/>
                <w:b w:val="0"/>
                <w:i w:val="0"/>
                <w:color w:val="000000"/>
                <w:sz w:val="19"/>
              </w:rPr>
              <w:t xml:space="preserve">14.93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7.19</w:t>
            </w:r>
          </w:p>
        </w:tc>
        <w:tc>
          <w:tcPr>
            <w:tcW w:w="1600" w:type="dxa"/>
            <w:tcBorders/>
            <w:vAlign w:val="center"/>
          </w:tcPr>
          <w:p>
            <w:pPr>
              <w:jc w:val="right"/>
            </w:pPr>
            <w:r>
              <w:rPr>
                <w:rFonts w:ascii="宋体" w:eastAsia="宋体" w:hAnsi="宋体" w:cs="宋体"/>
                <w:b w:val="0"/>
                <w:i w:val="0"/>
                <w:color w:val="000000"/>
                <w:sz w:val="19"/>
              </w:rPr>
              <w:t xml:space="preserve">7.19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7.19</w:t>
            </w:r>
          </w:p>
        </w:tc>
        <w:tc>
          <w:tcPr>
            <w:tcW w:w="1600" w:type="dxa"/>
            <w:tcBorders/>
            <w:vAlign w:val="center"/>
          </w:tcPr>
          <w:p>
            <w:pPr>
              <w:jc w:val="right"/>
            </w:pPr>
            <w:r>
              <w:rPr>
                <w:rFonts w:ascii="宋体" w:eastAsia="宋体" w:hAnsi="宋体" w:cs="宋体"/>
                <w:b w:val="0"/>
                <w:i w:val="0"/>
                <w:color w:val="000000"/>
                <w:sz w:val="19"/>
              </w:rPr>
              <w:t xml:space="preserve">7.19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7.19</w:t>
            </w:r>
          </w:p>
        </w:tc>
        <w:tc>
          <w:tcPr>
            <w:tcW w:w="1600" w:type="dxa"/>
            <w:tcBorders/>
            <w:vAlign w:val="center"/>
          </w:tcPr>
          <w:p>
            <w:pPr>
              <w:jc w:val="right"/>
            </w:pPr>
            <w:r>
              <w:rPr>
                <w:rFonts w:ascii="宋体" w:eastAsia="宋体" w:hAnsi="宋体" w:cs="宋体"/>
                <w:b w:val="0"/>
                <w:i w:val="0"/>
                <w:color w:val="000000"/>
                <w:sz w:val="19"/>
              </w:rPr>
              <w:t xml:space="preserve">7.19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200.71</w:t>
            </w:r>
          </w:p>
        </w:tc>
        <w:tc>
          <w:tcPr>
            <w:tcW w:w="1600" w:type="dxa"/>
            <w:tcBorders/>
            <w:vAlign w:val="center"/>
          </w:tcPr>
          <w:p>
            <w:pPr>
              <w:jc w:val="right"/>
            </w:pPr>
            <w:r>
              <w:rPr>
                <w:rFonts w:ascii="宋体" w:eastAsia="宋体" w:hAnsi="宋体" w:cs="宋体"/>
                <w:b w:val="0"/>
                <w:i w:val="0"/>
                <w:color w:val="000000"/>
                <w:sz w:val="19"/>
              </w:rPr>
              <w:t xml:space="preserve">200.71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农业农村</w:t>
            </w:r>
          </w:p>
        </w:tc>
        <w:tc>
          <w:tcPr>
            <w:tcW w:w="1600" w:type="dxa"/>
            <w:tcBorders/>
            <w:vAlign w:val="center"/>
          </w:tcPr>
          <w:p>
            <w:pPr>
              <w:jc w:val="right"/>
            </w:pPr>
            <w:r>
              <w:rPr>
                <w:rFonts w:ascii="宋体" w:eastAsia="宋体" w:hAnsi="宋体" w:cs="宋体"/>
                <w:b w:val="0"/>
                <w:i w:val="0"/>
                <w:color w:val="000000"/>
                <w:sz w:val="19"/>
              </w:rPr>
              <w:t xml:space="preserve">200.71</w:t>
            </w:r>
          </w:p>
        </w:tc>
        <w:tc>
          <w:tcPr>
            <w:tcW w:w="1600" w:type="dxa"/>
            <w:tcBorders/>
            <w:vAlign w:val="center"/>
          </w:tcPr>
          <w:p>
            <w:pPr>
              <w:jc w:val="right"/>
            </w:pPr>
            <w:r>
              <w:rPr>
                <w:rFonts w:ascii="宋体" w:eastAsia="宋体" w:hAnsi="宋体" w:cs="宋体"/>
                <w:b w:val="0"/>
                <w:i w:val="0"/>
                <w:color w:val="000000"/>
                <w:sz w:val="19"/>
              </w:rPr>
              <w:t xml:space="preserve">200.71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200.71</w:t>
            </w:r>
          </w:p>
        </w:tc>
        <w:tc>
          <w:tcPr>
            <w:tcW w:w="1600" w:type="dxa"/>
            <w:tcBorders/>
            <w:vAlign w:val="center"/>
          </w:tcPr>
          <w:p>
            <w:pPr>
              <w:jc w:val="right"/>
            </w:pPr>
            <w:r>
              <w:rPr>
                <w:rFonts w:ascii="宋体" w:eastAsia="宋体" w:hAnsi="宋体" w:cs="宋体"/>
                <w:b w:val="0"/>
                <w:i w:val="0"/>
                <w:color w:val="000000"/>
                <w:sz w:val="19"/>
              </w:rPr>
              <w:t xml:space="preserve">200.71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13.92</w:t>
            </w:r>
          </w:p>
        </w:tc>
        <w:tc>
          <w:tcPr>
            <w:tcW w:w="1600" w:type="dxa"/>
            <w:tcBorders/>
            <w:vAlign w:val="center"/>
          </w:tcPr>
          <w:p>
            <w:pPr>
              <w:jc w:val="right"/>
            </w:pPr>
            <w:r>
              <w:rPr>
                <w:rFonts w:ascii="宋体" w:eastAsia="宋体" w:hAnsi="宋体" w:cs="宋体"/>
                <w:b w:val="0"/>
                <w:i w:val="0"/>
                <w:color w:val="000000"/>
                <w:sz w:val="19"/>
              </w:rPr>
              <w:t xml:space="preserve">13.92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13.92</w:t>
            </w:r>
          </w:p>
        </w:tc>
        <w:tc>
          <w:tcPr>
            <w:tcW w:w="1600" w:type="dxa"/>
            <w:tcBorders/>
            <w:vAlign w:val="center"/>
          </w:tcPr>
          <w:p>
            <w:pPr>
              <w:jc w:val="right"/>
            </w:pPr>
            <w:r>
              <w:rPr>
                <w:rFonts w:ascii="宋体" w:eastAsia="宋体" w:hAnsi="宋体" w:cs="宋体"/>
                <w:b w:val="0"/>
                <w:i w:val="0"/>
                <w:color w:val="000000"/>
                <w:sz w:val="19"/>
              </w:rPr>
              <w:t xml:space="preserve">13.92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13.92</w:t>
            </w:r>
          </w:p>
        </w:tc>
        <w:tc>
          <w:tcPr>
            <w:tcW w:w="1600" w:type="dxa"/>
            <w:tcBorders/>
            <w:vAlign w:val="center"/>
          </w:tcPr>
          <w:p>
            <w:pPr>
              <w:jc w:val="right"/>
            </w:pPr>
            <w:r>
              <w:rPr>
                <w:rFonts w:ascii="宋体" w:eastAsia="宋体" w:hAnsi="宋体" w:cs="宋体"/>
                <w:b w:val="0"/>
                <w:i w:val="0"/>
                <w:color w:val="000000"/>
                <w:sz w:val="19"/>
              </w:rPr>
              <w:t xml:space="preserve">13.92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单位：河南省农业广播电视学校许昌市分校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246.39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1.36</w:t>
            </w:r>
          </w:p>
        </w:tc>
        <w:tc>
          <w:tcPr>
            <w:tcW w:w="1420" w:type="dxa"/>
            <w:tcBorders/>
            <w:vAlign w:val="center"/>
          </w:tcPr>
          <w:p>
            <w:pPr>
              <w:jc w:val="right"/>
            </w:pPr>
            <w:r>
              <w:rPr>
                <w:rFonts w:ascii="宋体" w:eastAsia="宋体" w:hAnsi="宋体" w:cs="宋体"/>
                <w:b w:val="0"/>
                <w:i w:val="0"/>
                <w:color w:val="000000"/>
                <w:sz w:val="18"/>
              </w:rPr>
              <w:t xml:space="preserve">1.36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23.20</w:t>
            </w:r>
          </w:p>
        </w:tc>
        <w:tc>
          <w:tcPr>
            <w:tcW w:w="1420" w:type="dxa"/>
            <w:tcBorders/>
            <w:vAlign w:val="center"/>
          </w:tcPr>
          <w:p>
            <w:pPr>
              <w:jc w:val="right"/>
            </w:pPr>
            <w:r>
              <w:rPr>
                <w:rFonts w:ascii="宋体" w:eastAsia="宋体" w:hAnsi="宋体" w:cs="宋体"/>
                <w:b w:val="0"/>
                <w:i w:val="0"/>
                <w:color w:val="000000"/>
                <w:sz w:val="18"/>
              </w:rPr>
              <w:t xml:space="preserve">23.20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7.19</w:t>
            </w:r>
          </w:p>
        </w:tc>
        <w:tc>
          <w:tcPr>
            <w:tcW w:w="1420" w:type="dxa"/>
            <w:tcBorders/>
            <w:vAlign w:val="center"/>
          </w:tcPr>
          <w:p>
            <w:pPr>
              <w:jc w:val="right"/>
            </w:pPr>
            <w:r>
              <w:rPr>
                <w:rFonts w:ascii="宋体" w:eastAsia="宋体" w:hAnsi="宋体" w:cs="宋体"/>
                <w:b w:val="0"/>
                <w:i w:val="0"/>
                <w:color w:val="000000"/>
                <w:sz w:val="18"/>
              </w:rPr>
              <w:t xml:space="preserve">7.19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200.71</w:t>
            </w:r>
          </w:p>
        </w:tc>
        <w:tc>
          <w:tcPr>
            <w:tcW w:w="1420" w:type="dxa"/>
            <w:tcBorders/>
            <w:vAlign w:val="center"/>
          </w:tcPr>
          <w:p>
            <w:pPr>
              <w:jc w:val="right"/>
            </w:pPr>
            <w:r>
              <w:rPr>
                <w:rFonts w:ascii="宋体" w:eastAsia="宋体" w:hAnsi="宋体" w:cs="宋体"/>
                <w:b w:val="0"/>
                <w:i w:val="0"/>
                <w:color w:val="000000"/>
                <w:sz w:val="18"/>
              </w:rPr>
              <w:t xml:space="preserve">200.71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13.92</w:t>
            </w:r>
          </w:p>
        </w:tc>
        <w:tc>
          <w:tcPr>
            <w:tcW w:w="1420" w:type="dxa"/>
            <w:tcBorders/>
            <w:vAlign w:val="center"/>
          </w:tcPr>
          <w:p>
            <w:pPr>
              <w:jc w:val="right"/>
            </w:pPr>
            <w:r>
              <w:rPr>
                <w:rFonts w:ascii="宋体" w:eastAsia="宋体" w:hAnsi="宋体" w:cs="宋体"/>
                <w:b w:val="0"/>
                <w:i w:val="0"/>
                <w:color w:val="000000"/>
                <w:sz w:val="18"/>
              </w:rPr>
              <w:t xml:space="preserve">13.92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246.39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246.39</w:t>
            </w:r>
          </w:p>
        </w:tc>
        <w:tc>
          <w:tcPr>
            <w:tcW w:w="1420" w:type="dxa"/>
            <w:tcBorders/>
            <w:vAlign w:val="center"/>
          </w:tcPr>
          <w:p>
            <w:pPr>
              <w:jc w:val="right"/>
            </w:pPr>
            <w:r>
              <w:rPr>
                <w:rFonts w:ascii="宋体" w:eastAsia="宋体" w:hAnsi="宋体" w:cs="宋体"/>
                <w:b w:val="0"/>
                <w:i w:val="0"/>
                <w:color w:val="000000"/>
                <w:sz w:val="18"/>
              </w:rPr>
              <w:t xml:space="preserve">246.39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246.39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246.39</w:t>
            </w:r>
          </w:p>
        </w:tc>
        <w:tc>
          <w:tcPr>
            <w:tcW w:w="1420" w:type="dxa"/>
            <w:tcBorders/>
            <w:vAlign w:val="center"/>
          </w:tcPr>
          <w:p>
            <w:pPr>
              <w:jc w:val="right"/>
            </w:pPr>
            <w:r>
              <w:rPr>
                <w:rFonts w:ascii="宋体" w:eastAsia="宋体" w:hAnsi="宋体" w:cs="宋体"/>
                <w:b w:val="0"/>
                <w:i w:val="0"/>
                <w:color w:val="000000"/>
                <w:sz w:val="18"/>
              </w:rPr>
              <w:t xml:space="preserve">246.39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单位：河南省农业广播电视学校许昌市分校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246.39</w:t>
            </w:r>
          </w:p>
        </w:tc>
        <w:tc>
          <w:tcPr>
            <w:tcW w:w="2700" w:type="dxa"/>
            <w:tcBorders/>
            <w:vAlign w:val="center"/>
          </w:tcPr>
          <w:p>
            <w:pPr>
              <w:jc w:val="right"/>
            </w:pPr>
            <w:r>
              <w:rPr>
                <w:rFonts w:ascii="宋体" w:eastAsia="宋体" w:hAnsi="宋体" w:cs="宋体"/>
                <w:b/>
                <w:i w:val="0"/>
                <w:color w:val="000000"/>
                <w:sz w:val="25"/>
              </w:rPr>
              <w:t xml:space="preserve">246.39</w:t>
            </w:r>
          </w:p>
        </w:tc>
        <w:tc>
          <w:tcPr>
            <w:tcW w:w="2658" w:type="dxa"/>
            <w:tcBorders/>
            <w:vAlign w:val="center"/>
          </w:tcPr>
          <w:p>
            <w:pPr>
              <w:jc w:val="right"/>
            </w:pPr>
            <w:r>
              <w:rPr>
                <w:rFonts w:ascii="宋体" w:eastAsia="宋体" w:hAnsi="宋体" w:cs="宋体"/>
                <w:b/>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1.36</w:t>
            </w:r>
          </w:p>
        </w:tc>
        <w:tc>
          <w:tcPr>
            <w:tcW w:w="2700" w:type="dxa"/>
            <w:tcBorders/>
            <w:vAlign w:val="center"/>
          </w:tcPr>
          <w:p>
            <w:pPr>
              <w:jc w:val="right"/>
            </w:pPr>
            <w:r>
              <w:rPr>
                <w:rFonts w:ascii="宋体" w:eastAsia="宋体" w:hAnsi="宋体" w:cs="宋体"/>
                <w:b w:val="0"/>
                <w:i w:val="0"/>
                <w:color w:val="000000"/>
                <w:sz w:val="25"/>
              </w:rPr>
              <w:t xml:space="preserve">1.36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1.36</w:t>
            </w:r>
          </w:p>
        </w:tc>
        <w:tc>
          <w:tcPr>
            <w:tcW w:w="2700" w:type="dxa"/>
            <w:tcBorders/>
            <w:vAlign w:val="center"/>
          </w:tcPr>
          <w:p>
            <w:pPr>
              <w:jc w:val="right"/>
            </w:pPr>
            <w:r>
              <w:rPr>
                <w:rFonts w:ascii="宋体" w:eastAsia="宋体" w:hAnsi="宋体" w:cs="宋体"/>
                <w:b w:val="0"/>
                <w:i w:val="0"/>
                <w:color w:val="000000"/>
                <w:sz w:val="25"/>
              </w:rPr>
              <w:t xml:space="preserve">1.36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1.36</w:t>
            </w:r>
          </w:p>
        </w:tc>
        <w:tc>
          <w:tcPr>
            <w:tcW w:w="2700" w:type="dxa"/>
            <w:tcBorders/>
            <w:vAlign w:val="center"/>
          </w:tcPr>
          <w:p>
            <w:pPr>
              <w:jc w:val="right"/>
            </w:pPr>
            <w:r>
              <w:rPr>
                <w:rFonts w:ascii="宋体" w:eastAsia="宋体" w:hAnsi="宋体" w:cs="宋体"/>
                <w:b w:val="0"/>
                <w:i w:val="0"/>
                <w:color w:val="000000"/>
                <w:sz w:val="25"/>
              </w:rPr>
              <w:t xml:space="preserve">1.36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23.20</w:t>
            </w:r>
          </w:p>
        </w:tc>
        <w:tc>
          <w:tcPr>
            <w:tcW w:w="2700" w:type="dxa"/>
            <w:tcBorders/>
            <w:vAlign w:val="center"/>
          </w:tcPr>
          <w:p>
            <w:pPr>
              <w:jc w:val="right"/>
            </w:pPr>
            <w:r>
              <w:rPr>
                <w:rFonts w:ascii="宋体" w:eastAsia="宋体" w:hAnsi="宋体" w:cs="宋体"/>
                <w:b w:val="0"/>
                <w:i w:val="0"/>
                <w:color w:val="000000"/>
                <w:sz w:val="25"/>
              </w:rPr>
              <w:t xml:space="preserve">23.20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23.20</w:t>
            </w:r>
          </w:p>
        </w:tc>
        <w:tc>
          <w:tcPr>
            <w:tcW w:w="2700" w:type="dxa"/>
            <w:tcBorders/>
            <w:vAlign w:val="center"/>
          </w:tcPr>
          <w:p>
            <w:pPr>
              <w:jc w:val="right"/>
            </w:pPr>
            <w:r>
              <w:rPr>
                <w:rFonts w:ascii="宋体" w:eastAsia="宋体" w:hAnsi="宋体" w:cs="宋体"/>
                <w:b w:val="0"/>
                <w:i w:val="0"/>
                <w:color w:val="000000"/>
                <w:sz w:val="25"/>
              </w:rPr>
              <w:t xml:space="preserve">23.20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8.27</w:t>
            </w:r>
          </w:p>
        </w:tc>
        <w:tc>
          <w:tcPr>
            <w:tcW w:w="2700" w:type="dxa"/>
            <w:tcBorders/>
            <w:vAlign w:val="center"/>
          </w:tcPr>
          <w:p>
            <w:pPr>
              <w:jc w:val="right"/>
            </w:pPr>
            <w:r>
              <w:rPr>
                <w:rFonts w:ascii="宋体" w:eastAsia="宋体" w:hAnsi="宋体" w:cs="宋体"/>
                <w:b w:val="0"/>
                <w:i w:val="0"/>
                <w:color w:val="000000"/>
                <w:sz w:val="25"/>
              </w:rPr>
              <w:t xml:space="preserve">8.27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14.93</w:t>
            </w:r>
          </w:p>
        </w:tc>
        <w:tc>
          <w:tcPr>
            <w:tcW w:w="2700" w:type="dxa"/>
            <w:tcBorders/>
            <w:vAlign w:val="center"/>
          </w:tcPr>
          <w:p>
            <w:pPr>
              <w:jc w:val="right"/>
            </w:pPr>
            <w:r>
              <w:rPr>
                <w:rFonts w:ascii="宋体" w:eastAsia="宋体" w:hAnsi="宋体" w:cs="宋体"/>
                <w:b w:val="0"/>
                <w:i w:val="0"/>
                <w:color w:val="000000"/>
                <w:sz w:val="25"/>
              </w:rPr>
              <w:t xml:space="preserve">14.93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7.19</w:t>
            </w:r>
          </w:p>
        </w:tc>
        <w:tc>
          <w:tcPr>
            <w:tcW w:w="2700" w:type="dxa"/>
            <w:tcBorders/>
            <w:vAlign w:val="center"/>
          </w:tcPr>
          <w:p>
            <w:pPr>
              <w:jc w:val="right"/>
            </w:pPr>
            <w:r>
              <w:rPr>
                <w:rFonts w:ascii="宋体" w:eastAsia="宋体" w:hAnsi="宋体" w:cs="宋体"/>
                <w:b w:val="0"/>
                <w:i w:val="0"/>
                <w:color w:val="000000"/>
                <w:sz w:val="25"/>
              </w:rPr>
              <w:t xml:space="preserve">7.19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7.19</w:t>
            </w:r>
          </w:p>
        </w:tc>
        <w:tc>
          <w:tcPr>
            <w:tcW w:w="2700" w:type="dxa"/>
            <w:tcBorders/>
            <w:vAlign w:val="center"/>
          </w:tcPr>
          <w:p>
            <w:pPr>
              <w:jc w:val="right"/>
            </w:pPr>
            <w:r>
              <w:rPr>
                <w:rFonts w:ascii="宋体" w:eastAsia="宋体" w:hAnsi="宋体" w:cs="宋体"/>
                <w:b w:val="0"/>
                <w:i w:val="0"/>
                <w:color w:val="000000"/>
                <w:sz w:val="25"/>
              </w:rPr>
              <w:t xml:space="preserve">7.19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7.19</w:t>
            </w:r>
          </w:p>
        </w:tc>
        <w:tc>
          <w:tcPr>
            <w:tcW w:w="2700" w:type="dxa"/>
            <w:tcBorders/>
            <w:vAlign w:val="center"/>
          </w:tcPr>
          <w:p>
            <w:pPr>
              <w:jc w:val="right"/>
            </w:pPr>
            <w:r>
              <w:rPr>
                <w:rFonts w:ascii="宋体" w:eastAsia="宋体" w:hAnsi="宋体" w:cs="宋体"/>
                <w:b w:val="0"/>
                <w:i w:val="0"/>
                <w:color w:val="000000"/>
                <w:sz w:val="25"/>
              </w:rPr>
              <w:t xml:space="preserve">7.19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200.71</w:t>
            </w:r>
          </w:p>
        </w:tc>
        <w:tc>
          <w:tcPr>
            <w:tcW w:w="2700" w:type="dxa"/>
            <w:tcBorders/>
            <w:vAlign w:val="center"/>
          </w:tcPr>
          <w:p>
            <w:pPr>
              <w:jc w:val="right"/>
            </w:pPr>
            <w:r>
              <w:rPr>
                <w:rFonts w:ascii="宋体" w:eastAsia="宋体" w:hAnsi="宋体" w:cs="宋体"/>
                <w:b w:val="0"/>
                <w:i w:val="0"/>
                <w:color w:val="000000"/>
                <w:sz w:val="25"/>
              </w:rPr>
              <w:t xml:space="preserve">200.71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农业农村</w:t>
            </w:r>
          </w:p>
        </w:tc>
        <w:tc>
          <w:tcPr>
            <w:tcW w:w="2700" w:type="dxa"/>
            <w:tcBorders/>
            <w:vAlign w:val="center"/>
          </w:tcPr>
          <w:p>
            <w:pPr>
              <w:jc w:val="right"/>
            </w:pPr>
            <w:r>
              <w:rPr>
                <w:rFonts w:ascii="宋体" w:eastAsia="宋体" w:hAnsi="宋体" w:cs="宋体"/>
                <w:b w:val="0"/>
                <w:i w:val="0"/>
                <w:color w:val="000000"/>
                <w:sz w:val="25"/>
              </w:rPr>
              <w:t xml:space="preserve">200.71</w:t>
            </w:r>
          </w:p>
        </w:tc>
        <w:tc>
          <w:tcPr>
            <w:tcW w:w="2700" w:type="dxa"/>
            <w:tcBorders/>
            <w:vAlign w:val="center"/>
          </w:tcPr>
          <w:p>
            <w:pPr>
              <w:jc w:val="right"/>
            </w:pPr>
            <w:r>
              <w:rPr>
                <w:rFonts w:ascii="宋体" w:eastAsia="宋体" w:hAnsi="宋体" w:cs="宋体"/>
                <w:b w:val="0"/>
                <w:i w:val="0"/>
                <w:color w:val="000000"/>
                <w:sz w:val="25"/>
              </w:rPr>
              <w:t xml:space="preserve">200.71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200.71</w:t>
            </w:r>
          </w:p>
        </w:tc>
        <w:tc>
          <w:tcPr>
            <w:tcW w:w="2700" w:type="dxa"/>
            <w:tcBorders/>
            <w:vAlign w:val="center"/>
          </w:tcPr>
          <w:p>
            <w:pPr>
              <w:jc w:val="right"/>
            </w:pPr>
            <w:r>
              <w:rPr>
                <w:rFonts w:ascii="宋体" w:eastAsia="宋体" w:hAnsi="宋体" w:cs="宋体"/>
                <w:b w:val="0"/>
                <w:i w:val="0"/>
                <w:color w:val="000000"/>
                <w:sz w:val="25"/>
              </w:rPr>
              <w:t xml:space="preserve">200.71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13.92</w:t>
            </w:r>
          </w:p>
        </w:tc>
        <w:tc>
          <w:tcPr>
            <w:tcW w:w="2700" w:type="dxa"/>
            <w:tcBorders/>
            <w:vAlign w:val="center"/>
          </w:tcPr>
          <w:p>
            <w:pPr>
              <w:jc w:val="right"/>
            </w:pPr>
            <w:r>
              <w:rPr>
                <w:rFonts w:ascii="宋体" w:eastAsia="宋体" w:hAnsi="宋体" w:cs="宋体"/>
                <w:b w:val="0"/>
                <w:i w:val="0"/>
                <w:color w:val="000000"/>
                <w:sz w:val="25"/>
              </w:rPr>
              <w:t xml:space="preserve">13.92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13.92</w:t>
            </w:r>
          </w:p>
        </w:tc>
        <w:tc>
          <w:tcPr>
            <w:tcW w:w="2700" w:type="dxa"/>
            <w:tcBorders/>
            <w:vAlign w:val="center"/>
          </w:tcPr>
          <w:p>
            <w:pPr>
              <w:jc w:val="right"/>
            </w:pPr>
            <w:r>
              <w:rPr>
                <w:rFonts w:ascii="宋体" w:eastAsia="宋体" w:hAnsi="宋体" w:cs="宋体"/>
                <w:b w:val="0"/>
                <w:i w:val="0"/>
                <w:color w:val="000000"/>
                <w:sz w:val="25"/>
              </w:rPr>
              <w:t xml:space="preserve">13.92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13.92</w:t>
            </w:r>
          </w:p>
        </w:tc>
        <w:tc>
          <w:tcPr>
            <w:tcW w:w="2700" w:type="dxa"/>
            <w:tcBorders/>
            <w:vAlign w:val="center"/>
          </w:tcPr>
          <w:p>
            <w:pPr>
              <w:jc w:val="right"/>
            </w:pPr>
            <w:r>
              <w:rPr>
                <w:rFonts w:ascii="宋体" w:eastAsia="宋体" w:hAnsi="宋体" w:cs="宋体"/>
                <w:b w:val="0"/>
                <w:i w:val="0"/>
                <w:color w:val="000000"/>
                <w:sz w:val="25"/>
              </w:rPr>
              <w:t xml:space="preserve">13.92</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单位：河南省农业广播电视学校许昌市分校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229.56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8.55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77.95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2.64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92.17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22.15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14.93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0.58</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0.30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7.19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1.25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0.96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13.92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0.14</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8.27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8.27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1.36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1.36</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0.22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237.84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8.55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单位：河南省农业广播电视学校许昌市分校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单位：河南省农业广播电视学校许昌市分校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单位：河南省农业广播电视学校许昌市分校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246.49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增加23.65万元，增长10.61%</w:t>
      </w:r>
      <w:r>
        <w:rPr>
          <w:rFonts w:ascii="仿宋" w:eastAsia="仿宋" w:hAnsi="仿宋" w:cs="仿宋" w:hint="eastAsia"/>
          <w:kern w:val="0"/>
          <w:sz w:val="32"/>
          <w:szCs w:val="32"/>
          <w:lang w:val="en-US" w:eastAsia="zh-CN"/>
        </w:rPr>
        <w:t xml:space="preserve">。主要原因是机构改革，人员增加。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246.39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财政拨款收入246.39万元，占100.00%；上级补助收入0.00万元，占0.00%；事业收入0.00万元，占0.00%；经营收入0.00万元，占0.00%；附属单位上缴收入0.00万元，占0.00%；其他收入0.00万元，占0.00%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246.39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基本支出246.39万元，占100.00%；项目支出0.00万元，占0.00%；上缴上级支出0.00万元，占0.00%；经营支出0.00万元，占0.00%；对附属单位补助支出0.00万元，占0.00%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246.39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增加23.64万元，增长10.61%</w:t>
      </w:r>
      <w:r>
        <w:rPr>
          <w:rFonts w:ascii="仿宋" w:eastAsia="仿宋" w:hAnsi="仿宋" w:cs="仿宋" w:hint="eastAsia"/>
          <w:kern w:val="0"/>
          <w:sz w:val="32"/>
          <w:szCs w:val="32"/>
          <w:lang w:val="en-US" w:eastAsia="zh-CN"/>
        </w:rPr>
        <w:t xml:space="preserve">。主要原因是机构改革，人员增加。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246.39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增加23.64万元，增长10.61%</w:t>
      </w:r>
      <w:r>
        <w:rPr>
          <w:rFonts w:ascii="仿宋" w:eastAsia="仿宋" w:hAnsi="仿宋" w:cs="仿宋" w:hint="eastAsia"/>
          <w:kern w:val="0"/>
          <w:sz w:val="32"/>
          <w:szCs w:val="32"/>
          <w:lang w:val="en-US" w:eastAsia="zh-CN"/>
        </w:rPr>
        <w:t xml:space="preserve">。主要原因是机构改革，人员增加。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246.39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一般公共服务支出（类）1.36万元，占0.55%；社会保障和就业支出（类）23.20万元，占9.42%；卫生健康支出（类）7.19万元，占2.92%；农林水支出（类）200.71万元，占81.46%；住房保障支出（类）13.92万元，占5.65%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236.09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246.39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104.36</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年初预算数为1.36万元，决算数1.36万元,完成年初预算的100.00%，决算数与年初预算数不存在差异。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年初预算数为8.27万元，决算数8.27万元,完成年初预算的100.00%，决算数与年初预算数不存在差异。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年初预算数为14.93万元，决算数14.93万元,完成年初预算的100.00%，决算数与年初预算数不存在差异。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年初预算数为7.31万元，决算数7.19万元,完成年初预算的98.36%，决算数与年初预算数存在差异的主要原因是厉行节约，减少不必要支出。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5.农林水支出（类）农业农村（款）事业运行（项）</w:t>
      </w:r>
      <w:r>
        <w:rPr>
          <w:rFonts w:ascii="仿宋" w:eastAsia="仿宋" w:hAnsi="仿宋" w:cs="仿宋" w:hint="default"/>
          <w:kern w:val="2"/>
          <w:sz w:val="32"/>
          <w:szCs w:val="32"/>
          <w:lang w:val="en-US" w:eastAsia="zh-CN"/>
        </w:rPr>
        <w:t xml:space="preserve">年初预算数为190.30万元，决算数200.71万元,完成年初预算的105.47%，决算数与年初预算数存在差异的主要原因是机构改革，人员增加。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年初预算数为13.93万元，决算数13.92万元,完成年初预算的99.93%，决算数与年初预算数存在差异的主要原因是厉行节约，减少不必要支出。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246.39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其中：人员经费237.84万元，主要包括：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公用经费8.55万元，主要包括：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 </w:t>
      </w: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主要用于车辆用油、车辆维修保养、车辆保险与年检。</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19.02</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bookmarkStart w:id="0" w:name="_GoBack"/>
      <w:bookmarkEnd w:id="0"/>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执行良好，绩效完成较好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15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firstRow="0" w:lastRow="0" w:firstColumn="0" w:lastColumn="0" w:noHBand="1" w:noVBand="1"/>
      </w:tblPr>
      <w:tblGrid>
        <w:gridCol w:w="1180"/>
        <w:gridCol w:w="1440"/>
        <w:gridCol w:w="1040"/>
        <w:gridCol w:w="880"/>
        <w:gridCol w:w="2360"/>
        <w:gridCol w:w="1500"/>
        <w:gridCol w:w="1900"/>
        <w:gridCol w:w="880"/>
        <w:gridCol w:w="800"/>
        <w:gridCol w:w="1020"/>
        <w:gridCol w:w="1040"/>
        <w:gridCol w:w="1680"/>
      </w:tblGrid>
      <w:tr>
        <w:trPr>
          <w:trHeight w:val="653"/>
        </w:trPr>
        <w:tc>
          <w:tcPr>
            <w:tcW w:w="15720" w:type="dxa"/>
            <w:gridSpan w:val="12"/>
            <w:tcBorders>
              <w:top w:val="nil"/>
              <w:left w:val="nil"/>
              <w:bottom w:val="nil"/>
              <w:right w:val="nil"/>
            </w:tcBorders>
            <w:vAlign w:val="center"/>
          </w:tcPr>
          <w:p>
            <w:pPr>
              <w:pStyle w:val="Normal_f9e72b76-a147-4787-a07b-2fb45e2ba46c"/>
              <w:widowControl/>
              <w:ind w:firstLine="0"/>
              <w:jc w:val="center"/>
              <w:rPr>
                <w:rFonts w:ascii="宋体" w:hAnsi="宋体" w:cs="宋体"/>
                <w:b/>
                <w:bCs/>
                <w:kern w:val="0"/>
                <w:sz w:val="38"/>
                <w:szCs w:val="38"/>
              </w:rPr>
            </w:pPr>
            <w:r>
              <w:rPr>
                <w:rFonts w:ascii="宋体" w:hAnsi="宋体" w:cs="宋体" w:hint="eastAsia"/>
                <w:b/>
                <w:bCs/>
                <w:kern w:val="0"/>
                <w:sz w:val="38"/>
                <w:szCs w:val="38"/>
                <w:lang w:eastAsia="zh-CN"/>
              </w:rPr>
              <w:t xml:space="preserve">单位</w:t>
            </w:r>
            <w:r>
              <w:rPr>
                <w:rFonts w:ascii="宋体" w:hAnsi="宋体" w:cs="宋体" w:hint="eastAsia"/>
                <w:b/>
                <w:bCs/>
                <w:kern w:val="0"/>
                <w:sz w:val="38"/>
                <w:szCs w:val="38"/>
              </w:rPr>
              <w:t xml:space="preserve">整体自评表</w:t>
            </w:r>
          </w:p>
        </w:tc>
      </w:tr>
      <w:tr>
        <w:trPr>
          <w:trHeight w:val="327"/>
        </w:trPr>
        <w:tc>
          <w:tcPr>
            <w:tcW w:w="4540" w:type="dxa"/>
            <w:gridSpan w:val="4"/>
            <w:tcBorders>
              <w:top w:val="single" w:sz="4" w:space="0" w:color="000000"/>
              <w:left w:val="single" w:sz="4" w:space="0" w:color="000000"/>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部门（单位）名称</w:t>
            </w:r>
          </w:p>
        </w:tc>
        <w:tc>
          <w:tcPr>
            <w:tcW w:w="11180" w:type="dxa"/>
            <w:gridSpan w:val="8"/>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both"/>
              <w:rPr>
                <w:rFonts w:ascii="宋体" w:eastAsia="宋体" w:hAnsi="宋体" w:cs="宋体" w:hint="eastAsia"/>
                <w:kern w:val="0"/>
                <w:sz w:val="18"/>
                <w:szCs w:val="18"/>
                <w:lang w:val="en-US" w:eastAsia="zh-CN"/>
              </w:rPr>
            </w:pPr>
            <w:r>
              <w:rPr>
                <w:rFonts w:ascii="宋体" w:hAnsi="宋体" w:cs="宋体" w:hint="eastAsia"/>
                <w:kern w:val="0"/>
                <w:sz w:val="18"/>
                <w:szCs w:val="18"/>
                <w:lang w:val="en-US" w:eastAsia="zh-CN"/>
              </w:rPr>
              <w:t xml:space="preserve">河南省农业广播电视学校许昌市分校</w:t>
            </w:r>
          </w:p>
        </w:tc>
      </w:tr>
      <w:tr>
        <w:trPr>
          <w:trHeight w:val="327"/>
        </w:trPr>
        <w:tc>
          <w:tcPr>
            <w:tcW w:w="1180" w:type="dxa"/>
            <w:vMerge w:val="restart"/>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lang w:eastAsia="zh-CN"/>
              </w:rPr>
              <w:t xml:space="preserve">单位</w:t>
            </w:r>
            <w:r>
              <w:rPr>
                <w:rFonts w:ascii="宋体" w:hAnsi="宋体" w:cs="宋体" w:hint="eastAsia"/>
                <w:kern w:val="0"/>
                <w:sz w:val="18"/>
                <w:szCs w:val="18"/>
              </w:rPr>
              <w:t xml:space="preserve">整体支出情况</w:t>
            </w:r>
          </w:p>
        </w:tc>
        <w:tc>
          <w:tcPr>
            <w:tcW w:w="3360" w:type="dxa"/>
            <w:gridSpan w:val="3"/>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　</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年初预算数</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全年预算数</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全年执行数</w:t>
            </w:r>
          </w:p>
        </w:tc>
        <w:tc>
          <w:tcPr>
            <w:tcW w:w="168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分值</w:t>
            </w:r>
          </w:p>
        </w:tc>
        <w:tc>
          <w:tcPr>
            <w:tcW w:w="206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执行率</w:t>
            </w:r>
          </w:p>
        </w:tc>
        <w:tc>
          <w:tcPr>
            <w:tcW w:w="168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得分</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3360" w:type="dxa"/>
            <w:gridSpan w:val="3"/>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lang w:eastAsia="zh-CN"/>
              </w:rPr>
              <w:t xml:space="preserve">单位</w:t>
            </w:r>
            <w:r>
              <w:rPr>
                <w:rFonts w:ascii="宋体" w:hAnsi="宋体" w:cs="宋体" w:hint="eastAsia"/>
                <w:kern w:val="0"/>
                <w:sz w:val="18"/>
                <w:szCs w:val="18"/>
              </w:rPr>
              <w:t xml:space="preserve">预算总额（万元）</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eastAsia="宋体" w:hAnsi="宋体" w:cs="宋体" w:hint="eastAsia"/>
                <w:kern w:val="0"/>
                <w:sz w:val="18"/>
                <w:szCs w:val="18"/>
                <w:lang w:eastAsia="zh-CN"/>
              </w:rPr>
            </w:pPr>
            <w:r>
              <w:rPr>
                <w:rFonts w:ascii="宋体" w:hAnsi="宋体" w:cs="宋体" w:hint="eastAsia"/>
                <w:kern w:val="0"/>
                <w:sz w:val="18"/>
                <w:szCs w:val="18"/>
                <w:lang w:val="en-US" w:eastAsia="zh-CN"/>
              </w:rPr>
              <w:t xml:space="preserve">236.1</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eastAsia="宋体" w:hAnsi="宋体" w:cs="宋体" w:hint="eastAsia"/>
                <w:kern w:val="0"/>
                <w:sz w:val="18"/>
                <w:szCs w:val="18"/>
                <w:lang w:eastAsia="zh-CN"/>
              </w:rPr>
            </w:pPr>
            <w:r>
              <w:rPr>
                <w:rFonts w:ascii="宋体" w:hAnsi="宋体" w:cs="宋体" w:hint="eastAsia"/>
                <w:kern w:val="0"/>
                <w:sz w:val="18"/>
                <w:szCs w:val="18"/>
                <w:lang w:val="en-US" w:eastAsia="zh-CN"/>
              </w:rPr>
              <w:t xml:space="preserve">236.1</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eastAsia="宋体" w:hAnsi="宋体" w:cs="宋体" w:hint="eastAsia"/>
                <w:kern w:val="0"/>
                <w:sz w:val="18"/>
                <w:szCs w:val="18"/>
                <w:lang w:eastAsia="zh-CN"/>
              </w:rPr>
            </w:pPr>
            <w:r>
              <w:rPr>
                <w:rFonts w:ascii="宋体" w:hAnsi="宋体" w:cs="宋体" w:hint="eastAsia"/>
                <w:kern w:val="0"/>
                <w:sz w:val="18"/>
                <w:szCs w:val="18"/>
                <w:lang w:val="en-US" w:eastAsia="zh-CN"/>
              </w:rPr>
              <w:t xml:space="preserve">246.39</w:t>
            </w:r>
          </w:p>
        </w:tc>
        <w:tc>
          <w:tcPr>
            <w:tcW w:w="168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w:t>
            </w:r>
          </w:p>
        </w:tc>
        <w:tc>
          <w:tcPr>
            <w:tcW w:w="206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168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3360" w:type="dxa"/>
            <w:gridSpan w:val="3"/>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r>
              <w:rPr>
                <w:rFonts w:ascii="宋体" w:hAnsi="宋体" w:cs="宋体" w:hint="eastAsia"/>
                <w:kern w:val="0"/>
                <w:sz w:val="18"/>
                <w:szCs w:val="18"/>
              </w:rPr>
              <w:t xml:space="preserve">资金来源：（1）政府预算资金</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eastAsia="宋体" w:hAnsi="宋体" w:cs="宋体" w:hint="eastAsia"/>
                <w:kern w:val="0"/>
                <w:sz w:val="18"/>
                <w:szCs w:val="18"/>
                <w:lang w:eastAsia="zh-CN"/>
              </w:rPr>
            </w:pPr>
            <w:r>
              <w:rPr>
                <w:rFonts w:ascii="宋体" w:hAnsi="宋体" w:cs="宋体" w:hint="eastAsia"/>
                <w:kern w:val="0"/>
                <w:sz w:val="18"/>
                <w:szCs w:val="18"/>
                <w:lang w:val="en-US" w:eastAsia="zh-CN"/>
              </w:rPr>
              <w:t xml:space="preserve">236.1</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eastAsia="宋体" w:hAnsi="宋体" w:cs="宋体" w:hint="eastAsia"/>
                <w:kern w:val="0"/>
                <w:sz w:val="18"/>
                <w:szCs w:val="18"/>
                <w:lang w:eastAsia="zh-CN"/>
              </w:rPr>
            </w:pPr>
            <w:r>
              <w:rPr>
                <w:rFonts w:ascii="宋体" w:hAnsi="宋体" w:cs="宋体" w:hint="eastAsia"/>
                <w:kern w:val="0"/>
                <w:sz w:val="18"/>
                <w:szCs w:val="18"/>
                <w:lang w:val="en-US" w:eastAsia="zh-CN"/>
              </w:rPr>
              <w:t xml:space="preserve">236.1</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eastAsia="宋体" w:hAnsi="宋体" w:cs="宋体" w:hint="eastAsia"/>
                <w:kern w:val="0"/>
                <w:sz w:val="18"/>
                <w:szCs w:val="18"/>
                <w:lang w:eastAsia="zh-CN"/>
              </w:rPr>
            </w:pPr>
            <w:r>
              <w:rPr>
                <w:rFonts w:ascii="宋体" w:hAnsi="宋体" w:cs="宋体" w:hint="eastAsia"/>
                <w:kern w:val="0"/>
                <w:sz w:val="18"/>
                <w:szCs w:val="18"/>
                <w:lang w:val="en-US" w:eastAsia="zh-CN"/>
              </w:rPr>
              <w:t xml:space="preserve">246.3</w:t>
            </w:r>
            <w:r>
              <w:rPr>
                <w:rFonts w:ascii="宋体" w:hAnsi="宋体" w:cs="宋体" w:hint="eastAsia"/>
                <w:kern w:val="0"/>
                <w:sz w:val="18"/>
                <w:szCs w:val="18"/>
                <w:lang w:val="en-US" w:eastAsia="zh-CN"/>
              </w:rPr>
              <w:t xml:space="preserve">9</w:t>
            </w:r>
          </w:p>
        </w:tc>
        <w:tc>
          <w:tcPr>
            <w:tcW w:w="168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w:t>
            </w:r>
          </w:p>
        </w:tc>
        <w:tc>
          <w:tcPr>
            <w:tcW w:w="206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168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3360" w:type="dxa"/>
            <w:gridSpan w:val="3"/>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r>
              <w:rPr>
                <w:rFonts w:ascii="宋体" w:hAnsi="宋体" w:cs="宋体" w:hint="eastAsia"/>
                <w:kern w:val="0"/>
                <w:sz w:val="18"/>
                <w:szCs w:val="18"/>
              </w:rPr>
              <w:t xml:space="preserve">     （2）财政专户管理资金</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w:t>
            </w:r>
          </w:p>
        </w:tc>
        <w:tc>
          <w:tcPr>
            <w:tcW w:w="168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w:t>
            </w:r>
          </w:p>
        </w:tc>
        <w:tc>
          <w:tcPr>
            <w:tcW w:w="206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w:t>
            </w:r>
          </w:p>
        </w:tc>
        <w:tc>
          <w:tcPr>
            <w:tcW w:w="168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3360" w:type="dxa"/>
            <w:gridSpan w:val="3"/>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r>
              <w:rPr>
                <w:rFonts w:ascii="宋体" w:hAnsi="宋体" w:cs="宋体" w:hint="eastAsia"/>
                <w:kern w:val="0"/>
                <w:sz w:val="18"/>
                <w:szCs w:val="18"/>
              </w:rPr>
              <w:t xml:space="preserve">     （3）单位资金</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w:t>
            </w:r>
          </w:p>
        </w:tc>
        <w:tc>
          <w:tcPr>
            <w:tcW w:w="168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w:t>
            </w:r>
          </w:p>
        </w:tc>
        <w:tc>
          <w:tcPr>
            <w:tcW w:w="206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w:t>
            </w:r>
          </w:p>
        </w:tc>
        <w:tc>
          <w:tcPr>
            <w:tcW w:w="168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w:t>
            </w:r>
          </w:p>
        </w:tc>
      </w:tr>
      <w:tr>
        <w:trPr>
          <w:trHeight w:val="327"/>
        </w:trPr>
        <w:tc>
          <w:tcPr>
            <w:tcW w:w="1180" w:type="dxa"/>
            <w:vMerge w:val="restart"/>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年度履职目标</w:t>
            </w:r>
          </w:p>
        </w:tc>
        <w:tc>
          <w:tcPr>
            <w:tcW w:w="7220" w:type="dxa"/>
            <w:gridSpan w:val="5"/>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预期目标</w:t>
            </w:r>
          </w:p>
        </w:tc>
        <w:tc>
          <w:tcPr>
            <w:tcW w:w="7320" w:type="dxa"/>
            <w:gridSpan w:val="6"/>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实际完成情况</w:t>
            </w:r>
          </w:p>
        </w:tc>
      </w:tr>
      <w:tr>
        <w:trPr>
          <w:trHeight w:val="758"/>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7220" w:type="dxa"/>
            <w:gridSpan w:val="5"/>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r>
              <w:rPr>
                <w:rFonts w:ascii="宋体" w:hAnsi="宋体" w:cs="宋体" w:hint="eastAsia"/>
                <w:kern w:val="0"/>
                <w:sz w:val="18"/>
                <w:szCs w:val="18"/>
              </w:rPr>
              <w:t xml:space="preserve">通过广播电视为农民提供培训服务，提供农业信息，促进农业发展。农业技术中专学历教育，“绿色证书”与“跨世纪青年农民培训工程”教育培训，农业科技结合培训，农民科技教育培训。</w:t>
            </w:r>
          </w:p>
        </w:tc>
        <w:tc>
          <w:tcPr>
            <w:tcW w:w="7320" w:type="dxa"/>
            <w:gridSpan w:val="6"/>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完成农业技术中专学历教育、农民科技教育培训、农业信息体系建设</w:t>
            </w:r>
          </w:p>
        </w:tc>
      </w:tr>
      <w:tr>
        <w:trPr>
          <w:trHeight w:val="327"/>
        </w:trPr>
        <w:tc>
          <w:tcPr>
            <w:tcW w:w="1180" w:type="dxa"/>
            <w:vMerge w:val="restart"/>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年度主要任务</w:t>
            </w:r>
          </w:p>
        </w:tc>
        <w:tc>
          <w:tcPr>
            <w:tcW w:w="248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任务名称</w:t>
            </w:r>
          </w:p>
        </w:tc>
        <w:tc>
          <w:tcPr>
            <w:tcW w:w="4740" w:type="dxa"/>
            <w:gridSpan w:val="3"/>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主要内容</w:t>
            </w:r>
          </w:p>
        </w:tc>
        <w:tc>
          <w:tcPr>
            <w:tcW w:w="7320" w:type="dxa"/>
            <w:gridSpan w:val="6"/>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实际完成情况</w:t>
            </w:r>
          </w:p>
        </w:tc>
      </w:tr>
      <w:tr>
        <w:trPr>
          <w:trHeight w:val="810"/>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248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r>
              <w:rPr>
                <w:rFonts w:ascii="宋体" w:hAnsi="宋体" w:cs="宋体" w:hint="eastAsia"/>
                <w:kern w:val="0"/>
                <w:sz w:val="18"/>
                <w:szCs w:val="18"/>
              </w:rPr>
              <w:t xml:space="preserve">农业技术中专学历教育</w:t>
            </w:r>
            <w:r>
              <w:rPr/>
              <w:br/>
            </w:r>
            <w:r>
              <w:rPr>
                <w:rFonts w:ascii="宋体" w:hAnsi="宋体" w:cs="宋体" w:hint="eastAsia"/>
                <w:kern w:val="0"/>
                <w:sz w:val="18"/>
                <w:szCs w:val="18"/>
              </w:rPr>
              <w:t xml:space="preserve">农民科技教育培训</w:t>
            </w:r>
            <w:r>
              <w:rPr/>
              <w:br/>
            </w:r>
            <w:r>
              <w:rPr>
                <w:rFonts w:ascii="宋体" w:hAnsi="宋体" w:cs="宋体" w:hint="eastAsia"/>
                <w:kern w:val="0"/>
                <w:sz w:val="18"/>
                <w:szCs w:val="18"/>
              </w:rPr>
              <w:t xml:space="preserve">农业信息体系建设</w:t>
            </w:r>
          </w:p>
        </w:tc>
        <w:tc>
          <w:tcPr>
            <w:tcW w:w="4740" w:type="dxa"/>
            <w:gridSpan w:val="3"/>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r>
              <w:rPr>
                <w:rFonts w:ascii="宋体" w:hAnsi="宋体" w:cs="宋体" w:hint="eastAsia"/>
                <w:kern w:val="0"/>
                <w:sz w:val="18"/>
                <w:szCs w:val="18"/>
              </w:rPr>
              <w:t xml:space="preserve">农业技术中专教育、农民科技教育培训，年度履职目标是否符合国家、省委省政府战略部署和发展规划，与国家、省宏观政策、行业政策一致；</w:t>
            </w:r>
          </w:p>
        </w:tc>
        <w:tc>
          <w:tcPr>
            <w:tcW w:w="7320" w:type="dxa"/>
            <w:gridSpan w:val="6"/>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完成农业技术中专学历教育、农民科技教育培训、农业信息体系建设</w:t>
            </w:r>
          </w:p>
        </w:tc>
      </w:tr>
      <w:tr>
        <w:trPr>
          <w:trHeight w:val="327"/>
        </w:trPr>
        <w:tc>
          <w:tcPr>
            <w:tcW w:w="1180" w:type="dxa"/>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　</w:t>
            </w:r>
          </w:p>
        </w:tc>
        <w:tc>
          <w:tcPr>
            <w:tcW w:w="144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一级指标</w:t>
            </w:r>
          </w:p>
        </w:tc>
        <w:tc>
          <w:tcPr>
            <w:tcW w:w="19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二级指标</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三级指标</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年度指标值</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实际完成值</w:t>
            </w:r>
          </w:p>
        </w:tc>
        <w:tc>
          <w:tcPr>
            <w:tcW w:w="88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分值</w:t>
            </w:r>
          </w:p>
        </w:tc>
        <w:tc>
          <w:tcPr>
            <w:tcW w:w="80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得分</w:t>
            </w:r>
          </w:p>
        </w:tc>
        <w:tc>
          <w:tcPr>
            <w:tcW w:w="102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偏差度</w:t>
            </w:r>
          </w:p>
        </w:tc>
        <w:tc>
          <w:tcPr>
            <w:tcW w:w="27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偏差原因分析及改进措施</w:t>
            </w:r>
          </w:p>
        </w:tc>
      </w:tr>
      <w:tr>
        <w:trPr>
          <w:trHeight w:val="327"/>
        </w:trPr>
        <w:tc>
          <w:tcPr>
            <w:tcW w:w="1180" w:type="dxa"/>
            <w:vMerge w:val="restart"/>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绩效指标</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投入管理指标</w:t>
            </w:r>
          </w:p>
        </w:tc>
        <w:tc>
          <w:tcPr>
            <w:tcW w:w="19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工作目标管理</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年度履职目标相关性</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相关</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w:t>
            </w:r>
          </w:p>
        </w:tc>
        <w:tc>
          <w:tcPr>
            <w:tcW w:w="80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w:t>
            </w:r>
          </w:p>
        </w:tc>
        <w:tc>
          <w:tcPr>
            <w:tcW w:w="102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19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预算和财务管理</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资金使用合规性</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合规</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合规</w:t>
            </w:r>
          </w:p>
        </w:tc>
        <w:tc>
          <w:tcPr>
            <w:tcW w:w="88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15</w:t>
            </w:r>
          </w:p>
        </w:tc>
        <w:tc>
          <w:tcPr>
            <w:tcW w:w="80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15</w:t>
            </w:r>
          </w:p>
        </w:tc>
        <w:tc>
          <w:tcPr>
            <w:tcW w:w="102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19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绩效管理</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绩效目标编制完成率</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w:t>
            </w:r>
          </w:p>
        </w:tc>
        <w:tc>
          <w:tcPr>
            <w:tcW w:w="80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w:t>
            </w:r>
          </w:p>
        </w:tc>
        <w:tc>
          <w:tcPr>
            <w:tcW w:w="102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产出指标</w:t>
            </w:r>
          </w:p>
        </w:tc>
        <w:tc>
          <w:tcPr>
            <w:tcW w:w="19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重点工作任务完成</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农民科技教育培训完成率</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15</w:t>
            </w:r>
          </w:p>
        </w:tc>
        <w:tc>
          <w:tcPr>
            <w:tcW w:w="80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15</w:t>
            </w:r>
          </w:p>
        </w:tc>
        <w:tc>
          <w:tcPr>
            <w:tcW w:w="102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19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履职目标实现</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农民科技教育培训完成率</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15</w:t>
            </w:r>
          </w:p>
        </w:tc>
        <w:tc>
          <w:tcPr>
            <w:tcW w:w="80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15</w:t>
            </w:r>
          </w:p>
        </w:tc>
        <w:tc>
          <w:tcPr>
            <w:tcW w:w="102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效益指标</w:t>
            </w:r>
          </w:p>
        </w:tc>
        <w:tc>
          <w:tcPr>
            <w:tcW w:w="19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履职效益</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社会效益</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良好</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良好</w:t>
            </w:r>
          </w:p>
        </w:tc>
        <w:tc>
          <w:tcPr>
            <w:tcW w:w="88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15</w:t>
            </w:r>
          </w:p>
        </w:tc>
        <w:tc>
          <w:tcPr>
            <w:tcW w:w="80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15</w:t>
            </w:r>
          </w:p>
        </w:tc>
        <w:tc>
          <w:tcPr>
            <w:tcW w:w="102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19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满意度</w:t>
            </w:r>
          </w:p>
        </w:tc>
        <w:tc>
          <w:tcPr>
            <w:tcW w:w="236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服务对象满意度</w:t>
            </w:r>
          </w:p>
        </w:tc>
        <w:tc>
          <w:tcPr>
            <w:tcW w:w="15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1900" w:type="dxa"/>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88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20</w:t>
            </w:r>
          </w:p>
        </w:tc>
        <w:tc>
          <w:tcPr>
            <w:tcW w:w="80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20</w:t>
            </w:r>
          </w:p>
        </w:tc>
        <w:tc>
          <w:tcPr>
            <w:tcW w:w="102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0.00%</w:t>
            </w:r>
          </w:p>
        </w:tc>
        <w:tc>
          <w:tcPr>
            <w:tcW w:w="27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　</w:t>
            </w:r>
          </w:p>
        </w:tc>
      </w:tr>
      <w:tr>
        <w:trPr>
          <w:trHeight w:val="327"/>
        </w:trPr>
        <w:tc>
          <w:tcPr>
            <w:tcW w:w="1180" w:type="dxa"/>
            <w:vMerge/>
            <w:tcBorders>
              <w:top w:val="nil"/>
              <w:left w:val="single" w:sz="4" w:space="0" w:color="000000"/>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p>
        </w:tc>
        <w:tc>
          <w:tcPr>
            <w:tcW w:w="9120" w:type="dxa"/>
            <w:gridSpan w:val="6"/>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总分</w:t>
            </w:r>
          </w:p>
        </w:tc>
        <w:tc>
          <w:tcPr>
            <w:tcW w:w="88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800" w:type="dxa"/>
            <w:tcBorders>
              <w:top w:val="nil"/>
              <w:left w:val="nil"/>
              <w:bottom w:val="single" w:sz="4" w:space="0" w:color="000000"/>
              <w:right w:val="single" w:sz="4" w:space="0" w:color="000000"/>
            </w:tcBorders>
            <w:vAlign w:val="center"/>
          </w:tcPr>
          <w:p>
            <w:pPr>
              <w:pStyle w:val="Normal_f9e72b76-a147-4787-a07b-2fb45e2ba46c"/>
              <w:widowControl/>
              <w:ind w:firstLine="0"/>
              <w:jc w:val="center"/>
              <w:rPr>
                <w:rFonts w:ascii="宋体" w:hAnsi="宋体" w:cs="宋体"/>
                <w:kern w:val="0"/>
                <w:sz w:val="18"/>
                <w:szCs w:val="18"/>
              </w:rPr>
            </w:pPr>
            <w:r>
              <w:rPr>
                <w:rFonts w:ascii="宋体" w:hAnsi="宋体" w:cs="宋体" w:hint="eastAsia"/>
                <w:kern w:val="0"/>
                <w:sz w:val="18"/>
                <w:szCs w:val="18"/>
              </w:rPr>
              <w:t xml:space="preserve">100</w:t>
            </w:r>
          </w:p>
        </w:tc>
        <w:tc>
          <w:tcPr>
            <w:tcW w:w="1020" w:type="dxa"/>
            <w:tcBorders>
              <w:top w:val="nil"/>
              <w:left w:val="nil"/>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r>
              <w:rPr>
                <w:rFonts w:ascii="宋体" w:hAnsi="宋体" w:cs="宋体" w:hint="eastAsia"/>
                <w:kern w:val="0"/>
                <w:sz w:val="18"/>
                <w:szCs w:val="18"/>
              </w:rPr>
              <w:t xml:space="preserve">　</w:t>
            </w:r>
          </w:p>
        </w:tc>
        <w:tc>
          <w:tcPr>
            <w:tcW w:w="2720" w:type="dxa"/>
            <w:gridSpan w:val="2"/>
            <w:tcBorders>
              <w:top w:val="single" w:sz="4" w:space="0" w:color="000000"/>
              <w:left w:val="nil"/>
              <w:bottom w:val="single" w:sz="4" w:space="0" w:color="000000"/>
              <w:right w:val="single" w:sz="4" w:space="0" w:color="000000"/>
            </w:tcBorders>
            <w:vAlign w:val="center"/>
          </w:tcPr>
          <w:p>
            <w:pPr>
              <w:pStyle w:val="Normal_f9e72b76-a147-4787-a07b-2fb45e2ba46c"/>
              <w:widowControl/>
              <w:ind w:firstLine="0"/>
              <w:jc w:val="left"/>
              <w:rPr>
                <w:rFonts w:ascii="宋体" w:hAnsi="宋体" w:cs="宋体"/>
                <w:kern w:val="0"/>
                <w:sz w:val="18"/>
                <w:szCs w:val="18"/>
              </w:rPr>
            </w:pPr>
            <w:r>
              <w:rPr>
                <w:rFonts w:ascii="宋体" w:hAnsi="宋体" w:cs="宋体" w:hint="eastAsia"/>
                <w:kern w:val="0"/>
                <w:sz w:val="18"/>
                <w:szCs w:val="18"/>
              </w:rPr>
              <w:t xml:space="preserve">　</w:t>
            </w:r>
          </w:p>
        </w:tc>
      </w:tr>
    </w:tbl>
    <w:p>
      <w:pPr>
        <w:pStyle w:val="Normal_d905462f-7ea5-4508-8d7b-077946cd1268"/>
        <w:widowControl/>
        <w:spacing w:before="0" w:beforeAutospacing="0" w:after="0" w:afterAutospacing="0" w:line="590" w:lineRule="exact"/>
        <w:ind w:right="0"/>
        <w:jc w:val="left"/>
        <w:rPr>
          <w:rFonts w:ascii="仿宋" w:eastAsia="仿宋" w:hAnsi="仿宋" w:cs="仿宋" w:hint="eastAsia"/>
        </w:rPr>
        <w:sectPr>
          <w:footerReference w:type="default" r:id="rId6"/>
          <w:pgSz w:w="16838" w:h="11906" w:orient="landscape"/>
          <w:pgMar w:top="720" w:right="720" w:bottom="720" w:left="720" w:header="851" w:footer="992" w:gutter="0"/>
          <w:cols w:num="1" w:space="720">
            <w:col w:w="15398" w:space="720"/>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7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_2a1bfd9d-36dd-4df7-9969-4f4097022da4"/>
    </w:pPr>
    <w:r>
      <w:pict>
        <v:shape id="文本框 1" o:spid="_x0000_s3679" type="#_x0000_t202" style="height:2in;margin-left:0;margin-top:0;mso-position-horizontal:center;mso-position-horizontal-relative:margin;mso-wrap-style:none;position:absolute;rotation:0;width:2in;z-index:251658240" coordsize="21600,21600" o:preferrelative="t" filled="f" fillcolor="#fff" stroked="f">
          <v:fill color2="#fff" focus="0"/>
          <v:textbox style="mso-fit-shape-to-text:t" inset="0,0,0,0">
            <w:txbxContent>
              <w:p>
                <w:pPr>
                  <w:pStyle w:val="Footer_2a1bfd9d-36dd-4df7-9969-4f4097022da4"/>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w10:wrap anchorx="margin"/>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customStyle="1" w:styleId="Normal_f9e72b76-a147-4787-a07b-2fb45e2ba46c">
    <w:name w:val="Normal_f9e72b76-a147-4787-a07b-2fb45e2ba46c"/>
    <w:qFormat/>
    <w:pPr>
      <w:widowControl w:val="0"/>
      <w:ind w:firstLine="454"/>
      <w:jc w:val="both"/>
    </w:pPr>
    <w:rPr>
      <w:kern w:val="2"/>
      <w:sz w:val="21"/>
      <w:szCs w:val="22"/>
      <w:lang w:val="en-US" w:eastAsia="zh-CN" w:bidi="ar-SA"/>
    </w:rPr>
  </w:style>
  <w:style w:type="paragraph" w:styleId="Normal_d905462f-7ea5-4508-8d7b-077946cd1268">
    <w:name w:val="Normal_d905462f-7ea5-4508-8d7b-077946cd1268"/>
    <w:qFormat/>
    <w:pPr>
      <w:widowControl w:val="0"/>
      <w:jc w:val="both"/>
    </w:pPr>
    <w:rPr>
      <w:rFonts w:ascii="宋体" w:eastAsia="仿宋_GB2312" w:hAnsi="宋体" w:cs="黑体"/>
      <w:kern w:val="2"/>
      <w:sz w:val="32"/>
      <w:szCs w:val="24"/>
      <w:lang w:val="en-US" w:eastAsia="zh-CN" w:bidi="ar-SA"/>
    </w:rPr>
  </w:style>
  <w:style w:type="paragraph" w:customStyle="1" w:styleId="Footer_2a1bfd9d-36dd-4df7-9969-4f4097022da4">
    <w:name w:val="Footer_2a1bfd9d-36dd-4df7-9969-4f4097022da4"/>
    <w:basedOn w:val="Normal_d905462f-7ea5-4508-8d7b-077946cd1268"/>
    <w:qFormat/>
    <w:pPr>
      <w:tabs>
        <w:tab w:val="center" w:pos="4153"/>
        <w:tab w:val="right" w:pos="8306"/>
      </w:tabs>
      <w:snapToGrid w:val="0"/>
      <w:jc w:val="left"/>
    </w:pPr>
    <w:rPr>
      <w:sz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