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中国民主同盟许昌市委员会部门决算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中国民主同盟许昌市委员会概况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中国民主同盟许昌市委员会概况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（一）负责领导全市各级民盟组织贯彻执行民盟中央、民盟省委决策和民盟市委、常委和主委会议决定。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（二）切实履行参政党职能，把促进发展作为参政议政的第一要务，有效的组织参政议政活动，充分发挥组织群体作用。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（三）切实加强自身建设，不断加强思想建设、组织建设和干部队伍建设。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（四）完善参政党机制，坚持民主集中制，使盟务工作做到制度化、规范化、程序化。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（五）维护盟员及其联系人士的合法权益和合理要求，调动盟员和所联系人士的积极性，努力推进社会主义物质文明、政治文明和精神文明建设。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（六）掌握我市盟务工作的全面情况，督促检查各项盟务工作的贯彻落实，正确处理协调盟内外的各种关系。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（七）注重政治力量，按组织发展原则发展盟员，加强对人才库的管理，积极物色中青年骨干，积极选拔、培养、推荐后备干部。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（八）完成民盟河南省委和中共许昌市委所交办的其他各项事务。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中国民主同盟许昌市委员会内设机构1个,包括：办公室。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从决算单位构成看，中国民主同盟许昌市委员会部门决算包括：本级决算（1个）。</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中国民主同盟许昌市委员会(本级)</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70.88</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63.02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70.88</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70.88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70.88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70.88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70.88</w:t>
            </w:r>
          </w:p>
        </w:tc>
        <w:tc>
          <w:tcPr>
            <w:tcW w:w="1440" w:type="dxa"/>
            <w:vAlign w:val="center"/>
          </w:tcPr>
          <w:p>
            <w:pPr>
              <w:jc w:val="right"/>
            </w:pPr>
            <w:r>
              <w:rPr>
                <w:rFonts w:ascii="宋体" w:hAnsi="宋体" w:eastAsia="宋体" w:cs="宋体"/>
                <w:b/>
                <w:i w:val="0"/>
                <w:color w:val="000000"/>
                <w:sz w:val="17"/>
              </w:rPr>
              <w:t>70.88</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63.02</w:t>
            </w:r>
          </w:p>
        </w:tc>
        <w:tc>
          <w:tcPr>
            <w:tcW w:w="1440" w:type="dxa"/>
            <w:vAlign w:val="center"/>
          </w:tcPr>
          <w:p>
            <w:pPr>
              <w:jc w:val="right"/>
            </w:pPr>
            <w:r>
              <w:rPr>
                <w:rFonts w:ascii="宋体" w:hAnsi="宋体" w:eastAsia="宋体" w:cs="宋体"/>
                <w:b w:val="0"/>
                <w:i w:val="0"/>
                <w:color w:val="000000"/>
                <w:sz w:val="17"/>
              </w:rPr>
              <w:t>63.02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w:t>
            </w:r>
          </w:p>
        </w:tc>
        <w:tc>
          <w:tcPr>
            <w:tcW w:w="3140" w:type="dxa"/>
            <w:vAlign w:val="center"/>
          </w:tcPr>
          <w:p>
            <w:pPr>
              <w:jc w:val="left"/>
            </w:pPr>
            <w:r>
              <w:rPr>
                <w:rFonts w:ascii="宋体" w:hAnsi="宋体" w:eastAsia="宋体" w:cs="宋体"/>
                <w:b w:val="0"/>
                <w:i w:val="0"/>
                <w:color w:val="000000"/>
                <w:sz w:val="17"/>
              </w:rPr>
              <w:t>民主党派及工商联事务</w:t>
            </w:r>
          </w:p>
        </w:tc>
        <w:tc>
          <w:tcPr>
            <w:tcW w:w="1440" w:type="dxa"/>
            <w:vAlign w:val="center"/>
          </w:tcPr>
          <w:p>
            <w:pPr>
              <w:jc w:val="right"/>
            </w:pPr>
            <w:r>
              <w:rPr>
                <w:rFonts w:ascii="宋体" w:hAnsi="宋体" w:eastAsia="宋体" w:cs="宋体"/>
                <w:b w:val="0"/>
                <w:i w:val="0"/>
                <w:color w:val="000000"/>
                <w:sz w:val="17"/>
              </w:rPr>
              <w:t>62.23</w:t>
            </w:r>
          </w:p>
        </w:tc>
        <w:tc>
          <w:tcPr>
            <w:tcW w:w="1440" w:type="dxa"/>
            <w:vAlign w:val="center"/>
          </w:tcPr>
          <w:p>
            <w:pPr>
              <w:jc w:val="right"/>
            </w:pPr>
            <w:r>
              <w:rPr>
                <w:rFonts w:ascii="宋体" w:hAnsi="宋体" w:eastAsia="宋体" w:cs="宋体"/>
                <w:b w:val="0"/>
                <w:i w:val="0"/>
                <w:color w:val="000000"/>
                <w:sz w:val="17"/>
              </w:rPr>
              <w:t>62.23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2012801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62.23</w:t>
            </w:r>
          </w:p>
        </w:tc>
        <w:tc>
          <w:tcPr>
            <w:tcW w:w="1440" w:type="dxa"/>
            <w:vAlign w:val="center"/>
          </w:tcPr>
          <w:p>
            <w:pPr>
              <w:jc w:val="right"/>
            </w:pPr>
            <w:r>
              <w:rPr>
                <w:rFonts w:ascii="宋体" w:hAnsi="宋体" w:eastAsia="宋体" w:cs="宋体"/>
                <w:b w:val="0"/>
                <w:i w:val="0"/>
                <w:color w:val="000000"/>
                <w:sz w:val="17"/>
              </w:rPr>
              <w:t>62.23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0.11</w:t>
            </w:r>
          </w:p>
        </w:tc>
        <w:tc>
          <w:tcPr>
            <w:tcW w:w="1440" w:type="dxa"/>
            <w:vAlign w:val="center"/>
          </w:tcPr>
          <w:p>
            <w:pPr>
              <w:jc w:val="right"/>
            </w:pPr>
            <w:r>
              <w:rPr>
                <w:rFonts w:ascii="宋体" w:hAnsi="宋体" w:eastAsia="宋体" w:cs="宋体"/>
                <w:b w:val="0"/>
                <w:i w:val="0"/>
                <w:color w:val="000000"/>
                <w:sz w:val="17"/>
              </w:rPr>
              <w:t>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0.11</w:t>
            </w:r>
          </w:p>
        </w:tc>
        <w:tc>
          <w:tcPr>
            <w:tcW w:w="1440" w:type="dxa"/>
            <w:vAlign w:val="center"/>
          </w:tcPr>
          <w:p>
            <w:pPr>
              <w:jc w:val="right"/>
            </w:pPr>
            <w:r>
              <w:rPr>
                <w:rFonts w:ascii="宋体" w:hAnsi="宋体" w:eastAsia="宋体" w:cs="宋体"/>
                <w:b w:val="0"/>
                <w:i w:val="0"/>
                <w:color w:val="000000"/>
                <w:sz w:val="17"/>
              </w:rPr>
              <w:t>0.11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2.80</w:t>
            </w:r>
          </w:p>
        </w:tc>
        <w:tc>
          <w:tcPr>
            <w:tcW w:w="1440" w:type="dxa"/>
            <w:vAlign w:val="center"/>
          </w:tcPr>
          <w:p>
            <w:pPr>
              <w:jc w:val="right"/>
            </w:pPr>
            <w:r>
              <w:rPr>
                <w:rFonts w:ascii="宋体" w:hAnsi="宋体" w:eastAsia="宋体" w:cs="宋体"/>
                <w:b w:val="0"/>
                <w:i w:val="0"/>
                <w:color w:val="000000"/>
                <w:sz w:val="17"/>
              </w:rPr>
              <w:t>2.80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2.80</w:t>
            </w:r>
          </w:p>
        </w:tc>
        <w:tc>
          <w:tcPr>
            <w:tcW w:w="1440" w:type="dxa"/>
            <w:vAlign w:val="center"/>
          </w:tcPr>
          <w:p>
            <w:pPr>
              <w:jc w:val="right"/>
            </w:pPr>
            <w:r>
              <w:rPr>
                <w:rFonts w:ascii="宋体" w:hAnsi="宋体" w:eastAsia="宋体" w:cs="宋体"/>
                <w:b w:val="0"/>
                <w:i w:val="0"/>
                <w:color w:val="000000"/>
                <w:sz w:val="17"/>
              </w:rPr>
              <w:t>2.80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2.80</w:t>
            </w:r>
          </w:p>
        </w:tc>
        <w:tc>
          <w:tcPr>
            <w:tcW w:w="1440" w:type="dxa"/>
            <w:vAlign w:val="center"/>
          </w:tcPr>
          <w:p>
            <w:pPr>
              <w:jc w:val="right"/>
            </w:pPr>
            <w:r>
              <w:rPr>
                <w:rFonts w:ascii="宋体" w:hAnsi="宋体" w:eastAsia="宋体" w:cs="宋体"/>
                <w:b w:val="0"/>
                <w:i w:val="0"/>
                <w:color w:val="000000"/>
                <w:sz w:val="17"/>
              </w:rPr>
              <w:t>2.80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2.51</w:t>
            </w:r>
          </w:p>
        </w:tc>
        <w:tc>
          <w:tcPr>
            <w:tcW w:w="1440" w:type="dxa"/>
            <w:vAlign w:val="center"/>
          </w:tcPr>
          <w:p>
            <w:pPr>
              <w:jc w:val="right"/>
            </w:pPr>
            <w:r>
              <w:rPr>
                <w:rFonts w:ascii="宋体" w:hAnsi="宋体" w:eastAsia="宋体" w:cs="宋体"/>
                <w:b w:val="0"/>
                <w:i w:val="0"/>
                <w:color w:val="000000"/>
                <w:sz w:val="17"/>
              </w:rPr>
              <w:t>2.51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2.51</w:t>
            </w:r>
          </w:p>
        </w:tc>
        <w:tc>
          <w:tcPr>
            <w:tcW w:w="1440" w:type="dxa"/>
            <w:vAlign w:val="center"/>
          </w:tcPr>
          <w:p>
            <w:pPr>
              <w:jc w:val="right"/>
            </w:pPr>
            <w:r>
              <w:rPr>
                <w:rFonts w:ascii="宋体" w:hAnsi="宋体" w:eastAsia="宋体" w:cs="宋体"/>
                <w:b w:val="0"/>
                <w:i w:val="0"/>
                <w:color w:val="000000"/>
                <w:sz w:val="17"/>
              </w:rPr>
              <w:t>2.51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1.28</w:t>
            </w:r>
          </w:p>
        </w:tc>
        <w:tc>
          <w:tcPr>
            <w:tcW w:w="1440" w:type="dxa"/>
            <w:vAlign w:val="center"/>
          </w:tcPr>
          <w:p>
            <w:pPr>
              <w:jc w:val="right"/>
            </w:pPr>
            <w:r>
              <w:rPr>
                <w:rFonts w:ascii="宋体" w:hAnsi="宋体" w:eastAsia="宋体" w:cs="宋体"/>
                <w:b w:val="0"/>
                <w:i w:val="0"/>
                <w:color w:val="000000"/>
                <w:sz w:val="17"/>
              </w:rPr>
              <w:t>1.28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2.55</w:t>
            </w:r>
          </w:p>
        </w:tc>
        <w:tc>
          <w:tcPr>
            <w:tcW w:w="1440" w:type="dxa"/>
            <w:vAlign w:val="center"/>
          </w:tcPr>
          <w:p>
            <w:pPr>
              <w:jc w:val="right"/>
            </w:pPr>
            <w:r>
              <w:rPr>
                <w:rFonts w:ascii="宋体" w:hAnsi="宋体" w:eastAsia="宋体" w:cs="宋体"/>
                <w:b w:val="0"/>
                <w:i w:val="0"/>
                <w:color w:val="000000"/>
                <w:sz w:val="17"/>
              </w:rPr>
              <w:t>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2.55</w:t>
            </w:r>
          </w:p>
        </w:tc>
        <w:tc>
          <w:tcPr>
            <w:tcW w:w="1440" w:type="dxa"/>
            <w:vAlign w:val="center"/>
          </w:tcPr>
          <w:p>
            <w:pPr>
              <w:jc w:val="right"/>
            </w:pPr>
            <w:r>
              <w:rPr>
                <w:rFonts w:ascii="宋体" w:hAnsi="宋体" w:eastAsia="宋体" w:cs="宋体"/>
                <w:b w:val="0"/>
                <w:i w:val="0"/>
                <w:color w:val="000000"/>
                <w:sz w:val="17"/>
              </w:rPr>
              <w:t>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2.55</w:t>
            </w:r>
          </w:p>
        </w:tc>
        <w:tc>
          <w:tcPr>
            <w:tcW w:w="1440" w:type="dxa"/>
            <w:vAlign w:val="center"/>
          </w:tcPr>
          <w:p>
            <w:pPr>
              <w:jc w:val="right"/>
            </w:pPr>
            <w:r>
              <w:rPr>
                <w:rFonts w:ascii="宋体" w:hAnsi="宋体" w:eastAsia="宋体" w:cs="宋体"/>
                <w:b w:val="0"/>
                <w:i w:val="0"/>
                <w:color w:val="000000"/>
                <w:sz w:val="17"/>
              </w:rPr>
              <w:t>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70.88</w:t>
            </w:r>
          </w:p>
        </w:tc>
        <w:tc>
          <w:tcPr>
            <w:tcW w:w="1600" w:type="dxa"/>
            <w:vAlign w:val="center"/>
          </w:tcPr>
          <w:p>
            <w:pPr>
              <w:jc w:val="right"/>
            </w:pPr>
            <w:r>
              <w:rPr>
                <w:rFonts w:ascii="宋体" w:hAnsi="宋体" w:eastAsia="宋体" w:cs="宋体"/>
                <w:b/>
                <w:i w:val="0"/>
                <w:color w:val="000000"/>
                <w:sz w:val="19"/>
              </w:rPr>
              <w:t>70.88</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63.02</w:t>
            </w:r>
          </w:p>
        </w:tc>
        <w:tc>
          <w:tcPr>
            <w:tcW w:w="1600" w:type="dxa"/>
            <w:vAlign w:val="center"/>
          </w:tcPr>
          <w:p>
            <w:pPr>
              <w:jc w:val="right"/>
            </w:pPr>
            <w:r>
              <w:rPr>
                <w:rFonts w:ascii="宋体" w:hAnsi="宋体" w:eastAsia="宋体" w:cs="宋体"/>
                <w:b w:val="0"/>
                <w:i w:val="0"/>
                <w:color w:val="000000"/>
                <w:sz w:val="19"/>
              </w:rPr>
              <w:t>63.02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w:t>
            </w:r>
          </w:p>
        </w:tc>
        <w:tc>
          <w:tcPr>
            <w:tcW w:w="3480" w:type="dxa"/>
            <w:vAlign w:val="center"/>
          </w:tcPr>
          <w:p>
            <w:pPr>
              <w:jc w:val="left"/>
            </w:pPr>
            <w:r>
              <w:rPr>
                <w:rFonts w:ascii="宋体" w:hAnsi="宋体" w:eastAsia="宋体" w:cs="宋体"/>
                <w:b w:val="0"/>
                <w:i w:val="0"/>
                <w:color w:val="000000"/>
                <w:sz w:val="19"/>
              </w:rPr>
              <w:t>民主党派及工商联事务</w:t>
            </w:r>
          </w:p>
        </w:tc>
        <w:tc>
          <w:tcPr>
            <w:tcW w:w="1600" w:type="dxa"/>
            <w:vAlign w:val="center"/>
          </w:tcPr>
          <w:p>
            <w:pPr>
              <w:jc w:val="right"/>
            </w:pPr>
            <w:r>
              <w:rPr>
                <w:rFonts w:ascii="宋体" w:hAnsi="宋体" w:eastAsia="宋体" w:cs="宋体"/>
                <w:b w:val="0"/>
                <w:i w:val="0"/>
                <w:color w:val="000000"/>
                <w:sz w:val="19"/>
              </w:rPr>
              <w:t>62.23</w:t>
            </w:r>
          </w:p>
        </w:tc>
        <w:tc>
          <w:tcPr>
            <w:tcW w:w="1600" w:type="dxa"/>
            <w:vAlign w:val="center"/>
          </w:tcPr>
          <w:p>
            <w:pPr>
              <w:jc w:val="right"/>
            </w:pPr>
            <w:r>
              <w:rPr>
                <w:rFonts w:ascii="宋体" w:hAnsi="宋体" w:eastAsia="宋体" w:cs="宋体"/>
                <w:b w:val="0"/>
                <w:i w:val="0"/>
                <w:color w:val="000000"/>
                <w:sz w:val="19"/>
              </w:rPr>
              <w:t>62.23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2012801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62.23</w:t>
            </w:r>
          </w:p>
        </w:tc>
        <w:tc>
          <w:tcPr>
            <w:tcW w:w="1600" w:type="dxa"/>
            <w:vAlign w:val="center"/>
          </w:tcPr>
          <w:p>
            <w:pPr>
              <w:jc w:val="right"/>
            </w:pPr>
            <w:r>
              <w:rPr>
                <w:rFonts w:ascii="宋体" w:hAnsi="宋体" w:eastAsia="宋体" w:cs="宋体"/>
                <w:b w:val="0"/>
                <w:i w:val="0"/>
                <w:color w:val="000000"/>
                <w:sz w:val="19"/>
              </w:rPr>
              <w:t>62.23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0.11</w:t>
            </w:r>
          </w:p>
        </w:tc>
        <w:tc>
          <w:tcPr>
            <w:tcW w:w="1600" w:type="dxa"/>
            <w:vAlign w:val="center"/>
          </w:tcPr>
          <w:p>
            <w:pPr>
              <w:jc w:val="right"/>
            </w:pPr>
            <w:r>
              <w:rPr>
                <w:rFonts w:ascii="宋体" w:hAnsi="宋体" w:eastAsia="宋体" w:cs="宋体"/>
                <w:b w:val="0"/>
                <w:i w:val="0"/>
                <w:color w:val="000000"/>
                <w:sz w:val="19"/>
              </w:rPr>
              <w:t>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0.11</w:t>
            </w:r>
          </w:p>
        </w:tc>
        <w:tc>
          <w:tcPr>
            <w:tcW w:w="1600" w:type="dxa"/>
            <w:vAlign w:val="center"/>
          </w:tcPr>
          <w:p>
            <w:pPr>
              <w:jc w:val="right"/>
            </w:pPr>
            <w:r>
              <w:rPr>
                <w:rFonts w:ascii="宋体" w:hAnsi="宋体" w:eastAsia="宋体" w:cs="宋体"/>
                <w:b w:val="0"/>
                <w:i w:val="0"/>
                <w:color w:val="000000"/>
                <w:sz w:val="19"/>
              </w:rPr>
              <w:t>0.11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2.80</w:t>
            </w:r>
          </w:p>
        </w:tc>
        <w:tc>
          <w:tcPr>
            <w:tcW w:w="1600" w:type="dxa"/>
            <w:vAlign w:val="center"/>
          </w:tcPr>
          <w:p>
            <w:pPr>
              <w:jc w:val="right"/>
            </w:pPr>
            <w:r>
              <w:rPr>
                <w:rFonts w:ascii="宋体" w:hAnsi="宋体" w:eastAsia="宋体" w:cs="宋体"/>
                <w:b w:val="0"/>
                <w:i w:val="0"/>
                <w:color w:val="000000"/>
                <w:sz w:val="19"/>
              </w:rPr>
              <w:t>2.80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2.80</w:t>
            </w:r>
          </w:p>
        </w:tc>
        <w:tc>
          <w:tcPr>
            <w:tcW w:w="1600" w:type="dxa"/>
            <w:vAlign w:val="center"/>
          </w:tcPr>
          <w:p>
            <w:pPr>
              <w:jc w:val="right"/>
            </w:pPr>
            <w:r>
              <w:rPr>
                <w:rFonts w:ascii="宋体" w:hAnsi="宋体" w:eastAsia="宋体" w:cs="宋体"/>
                <w:b w:val="0"/>
                <w:i w:val="0"/>
                <w:color w:val="000000"/>
                <w:sz w:val="19"/>
              </w:rPr>
              <w:t>2.80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2.80</w:t>
            </w:r>
          </w:p>
        </w:tc>
        <w:tc>
          <w:tcPr>
            <w:tcW w:w="1600" w:type="dxa"/>
            <w:vAlign w:val="center"/>
          </w:tcPr>
          <w:p>
            <w:pPr>
              <w:jc w:val="right"/>
            </w:pPr>
            <w:r>
              <w:rPr>
                <w:rFonts w:ascii="宋体" w:hAnsi="宋体" w:eastAsia="宋体" w:cs="宋体"/>
                <w:b w:val="0"/>
                <w:i w:val="0"/>
                <w:color w:val="000000"/>
                <w:sz w:val="19"/>
              </w:rPr>
              <w:t>2.80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2.51</w:t>
            </w:r>
          </w:p>
        </w:tc>
        <w:tc>
          <w:tcPr>
            <w:tcW w:w="1600" w:type="dxa"/>
            <w:vAlign w:val="center"/>
          </w:tcPr>
          <w:p>
            <w:pPr>
              <w:jc w:val="right"/>
            </w:pPr>
            <w:r>
              <w:rPr>
                <w:rFonts w:ascii="宋体" w:hAnsi="宋体" w:eastAsia="宋体" w:cs="宋体"/>
                <w:b w:val="0"/>
                <w:i w:val="0"/>
                <w:color w:val="000000"/>
                <w:sz w:val="19"/>
              </w:rPr>
              <w:t>2.51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2.51</w:t>
            </w:r>
          </w:p>
        </w:tc>
        <w:tc>
          <w:tcPr>
            <w:tcW w:w="1600" w:type="dxa"/>
            <w:vAlign w:val="center"/>
          </w:tcPr>
          <w:p>
            <w:pPr>
              <w:jc w:val="right"/>
            </w:pPr>
            <w:r>
              <w:rPr>
                <w:rFonts w:ascii="宋体" w:hAnsi="宋体" w:eastAsia="宋体" w:cs="宋体"/>
                <w:b w:val="0"/>
                <w:i w:val="0"/>
                <w:color w:val="000000"/>
                <w:sz w:val="19"/>
              </w:rPr>
              <w:t>2.51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1.28</w:t>
            </w:r>
          </w:p>
        </w:tc>
        <w:tc>
          <w:tcPr>
            <w:tcW w:w="1600" w:type="dxa"/>
            <w:vAlign w:val="center"/>
          </w:tcPr>
          <w:p>
            <w:pPr>
              <w:jc w:val="right"/>
            </w:pPr>
            <w:r>
              <w:rPr>
                <w:rFonts w:ascii="宋体" w:hAnsi="宋体" w:eastAsia="宋体" w:cs="宋体"/>
                <w:b w:val="0"/>
                <w:i w:val="0"/>
                <w:color w:val="000000"/>
                <w:sz w:val="19"/>
              </w:rPr>
              <w:t>1.28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2.55</w:t>
            </w:r>
          </w:p>
        </w:tc>
        <w:tc>
          <w:tcPr>
            <w:tcW w:w="1600" w:type="dxa"/>
            <w:vAlign w:val="center"/>
          </w:tcPr>
          <w:p>
            <w:pPr>
              <w:jc w:val="right"/>
            </w:pPr>
            <w:r>
              <w:rPr>
                <w:rFonts w:ascii="宋体" w:hAnsi="宋体" w:eastAsia="宋体" w:cs="宋体"/>
                <w:b w:val="0"/>
                <w:i w:val="0"/>
                <w:color w:val="000000"/>
                <w:sz w:val="19"/>
              </w:rPr>
              <w:t>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2.55</w:t>
            </w:r>
          </w:p>
        </w:tc>
        <w:tc>
          <w:tcPr>
            <w:tcW w:w="1600" w:type="dxa"/>
            <w:vAlign w:val="center"/>
          </w:tcPr>
          <w:p>
            <w:pPr>
              <w:jc w:val="right"/>
            </w:pPr>
            <w:r>
              <w:rPr>
                <w:rFonts w:ascii="宋体" w:hAnsi="宋体" w:eastAsia="宋体" w:cs="宋体"/>
                <w:b w:val="0"/>
                <w:i w:val="0"/>
                <w:color w:val="000000"/>
                <w:sz w:val="19"/>
              </w:rPr>
              <w:t>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2.55</w:t>
            </w:r>
          </w:p>
        </w:tc>
        <w:tc>
          <w:tcPr>
            <w:tcW w:w="1600" w:type="dxa"/>
            <w:vAlign w:val="center"/>
          </w:tcPr>
          <w:p>
            <w:pPr>
              <w:jc w:val="right"/>
            </w:pPr>
            <w:r>
              <w:rPr>
                <w:rFonts w:ascii="宋体" w:hAnsi="宋体" w:eastAsia="宋体" w:cs="宋体"/>
                <w:b w:val="0"/>
                <w:i w:val="0"/>
                <w:color w:val="000000"/>
                <w:sz w:val="19"/>
              </w:rPr>
              <w:t>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70.88</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63.02</w:t>
            </w:r>
          </w:p>
        </w:tc>
        <w:tc>
          <w:tcPr>
            <w:tcW w:w="1420" w:type="dxa"/>
            <w:vAlign w:val="center"/>
          </w:tcPr>
          <w:p>
            <w:pPr>
              <w:jc w:val="right"/>
            </w:pPr>
            <w:r>
              <w:rPr>
                <w:rFonts w:ascii="宋体" w:hAnsi="宋体" w:eastAsia="宋体" w:cs="宋体"/>
                <w:b w:val="0"/>
                <w:i w:val="0"/>
                <w:color w:val="000000"/>
                <w:sz w:val="18"/>
              </w:rPr>
              <w:t>63.02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2.80</w:t>
            </w:r>
          </w:p>
        </w:tc>
        <w:tc>
          <w:tcPr>
            <w:tcW w:w="1420" w:type="dxa"/>
            <w:vAlign w:val="center"/>
          </w:tcPr>
          <w:p>
            <w:pPr>
              <w:jc w:val="right"/>
            </w:pPr>
            <w:r>
              <w:rPr>
                <w:rFonts w:ascii="宋体" w:hAnsi="宋体" w:eastAsia="宋体" w:cs="宋体"/>
                <w:b w:val="0"/>
                <w:i w:val="0"/>
                <w:color w:val="000000"/>
                <w:sz w:val="18"/>
              </w:rPr>
              <w:t>2.80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2.51</w:t>
            </w:r>
          </w:p>
        </w:tc>
        <w:tc>
          <w:tcPr>
            <w:tcW w:w="1420" w:type="dxa"/>
            <w:vAlign w:val="center"/>
          </w:tcPr>
          <w:p>
            <w:pPr>
              <w:jc w:val="right"/>
            </w:pPr>
            <w:r>
              <w:rPr>
                <w:rFonts w:ascii="宋体" w:hAnsi="宋体" w:eastAsia="宋体" w:cs="宋体"/>
                <w:b w:val="0"/>
                <w:i w:val="0"/>
                <w:color w:val="000000"/>
                <w:sz w:val="18"/>
              </w:rPr>
              <w:t>2.51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2.55</w:t>
            </w:r>
          </w:p>
        </w:tc>
        <w:tc>
          <w:tcPr>
            <w:tcW w:w="1420" w:type="dxa"/>
            <w:vAlign w:val="center"/>
          </w:tcPr>
          <w:p>
            <w:pPr>
              <w:jc w:val="right"/>
            </w:pPr>
            <w:r>
              <w:rPr>
                <w:rFonts w:ascii="宋体" w:hAnsi="宋体" w:eastAsia="宋体" w:cs="宋体"/>
                <w:b w:val="0"/>
                <w:i w:val="0"/>
                <w:color w:val="000000"/>
                <w:sz w:val="18"/>
              </w:rPr>
              <w:t>2.55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70.88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70.88</w:t>
            </w:r>
          </w:p>
        </w:tc>
        <w:tc>
          <w:tcPr>
            <w:tcW w:w="1420" w:type="dxa"/>
            <w:vAlign w:val="center"/>
          </w:tcPr>
          <w:p>
            <w:pPr>
              <w:jc w:val="right"/>
            </w:pPr>
            <w:r>
              <w:rPr>
                <w:rFonts w:ascii="宋体" w:hAnsi="宋体" w:eastAsia="宋体" w:cs="宋体"/>
                <w:b w:val="0"/>
                <w:i w:val="0"/>
                <w:color w:val="000000"/>
                <w:sz w:val="18"/>
              </w:rPr>
              <w:t>70.88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70.88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70.88</w:t>
            </w:r>
          </w:p>
        </w:tc>
        <w:tc>
          <w:tcPr>
            <w:tcW w:w="1420" w:type="dxa"/>
            <w:vAlign w:val="center"/>
          </w:tcPr>
          <w:p>
            <w:pPr>
              <w:jc w:val="right"/>
            </w:pPr>
            <w:r>
              <w:rPr>
                <w:rFonts w:ascii="宋体" w:hAnsi="宋体" w:eastAsia="宋体" w:cs="宋体"/>
                <w:b w:val="0"/>
                <w:i w:val="0"/>
                <w:color w:val="000000"/>
                <w:sz w:val="18"/>
              </w:rPr>
              <w:t>70.88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70.88</w:t>
            </w:r>
          </w:p>
        </w:tc>
        <w:tc>
          <w:tcPr>
            <w:tcW w:w="2700" w:type="dxa"/>
            <w:vAlign w:val="center"/>
          </w:tcPr>
          <w:p>
            <w:pPr>
              <w:jc w:val="right"/>
            </w:pPr>
            <w:r>
              <w:rPr>
                <w:rFonts w:ascii="宋体" w:hAnsi="宋体" w:eastAsia="宋体" w:cs="宋体"/>
                <w:b/>
                <w:i w:val="0"/>
                <w:color w:val="000000"/>
                <w:sz w:val="25"/>
              </w:rPr>
              <w:t>70.88</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63.02</w:t>
            </w:r>
          </w:p>
        </w:tc>
        <w:tc>
          <w:tcPr>
            <w:tcW w:w="2700" w:type="dxa"/>
            <w:vAlign w:val="center"/>
          </w:tcPr>
          <w:p>
            <w:pPr>
              <w:jc w:val="right"/>
            </w:pPr>
            <w:r>
              <w:rPr>
                <w:rFonts w:ascii="宋体" w:hAnsi="宋体" w:eastAsia="宋体" w:cs="宋体"/>
                <w:b w:val="0"/>
                <w:i w:val="0"/>
                <w:color w:val="000000"/>
                <w:sz w:val="25"/>
              </w:rPr>
              <w:t>63.02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20128</w:t>
            </w:r>
          </w:p>
        </w:tc>
        <w:tc>
          <w:tcPr>
            <w:tcW w:w="4700" w:type="dxa"/>
            <w:vAlign w:val="center"/>
          </w:tcPr>
          <w:p>
            <w:pPr>
              <w:jc w:val="left"/>
            </w:pPr>
            <w:r>
              <w:rPr>
                <w:rFonts w:ascii="宋体" w:hAnsi="宋体" w:eastAsia="宋体" w:cs="宋体"/>
                <w:b w:val="0"/>
                <w:i w:val="0"/>
                <w:color w:val="000000"/>
                <w:sz w:val="25"/>
              </w:rPr>
              <w:t>民主党派及工商联事务</w:t>
            </w:r>
          </w:p>
        </w:tc>
        <w:tc>
          <w:tcPr>
            <w:tcW w:w="2700" w:type="dxa"/>
            <w:vAlign w:val="center"/>
          </w:tcPr>
          <w:p>
            <w:pPr>
              <w:jc w:val="right"/>
            </w:pPr>
            <w:r>
              <w:rPr>
                <w:rFonts w:ascii="宋体" w:hAnsi="宋体" w:eastAsia="宋体" w:cs="宋体"/>
                <w:b w:val="0"/>
                <w:i w:val="0"/>
                <w:color w:val="000000"/>
                <w:sz w:val="25"/>
              </w:rPr>
              <w:t>62.23</w:t>
            </w:r>
          </w:p>
        </w:tc>
        <w:tc>
          <w:tcPr>
            <w:tcW w:w="2700" w:type="dxa"/>
            <w:vAlign w:val="center"/>
          </w:tcPr>
          <w:p>
            <w:pPr>
              <w:jc w:val="right"/>
            </w:pPr>
            <w:r>
              <w:rPr>
                <w:rFonts w:ascii="宋体" w:hAnsi="宋体" w:eastAsia="宋体" w:cs="宋体"/>
                <w:b w:val="0"/>
                <w:i w:val="0"/>
                <w:color w:val="000000"/>
                <w:sz w:val="25"/>
              </w:rPr>
              <w:t>62.23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2012801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62.23</w:t>
            </w:r>
          </w:p>
        </w:tc>
        <w:tc>
          <w:tcPr>
            <w:tcW w:w="2700" w:type="dxa"/>
            <w:vAlign w:val="center"/>
          </w:tcPr>
          <w:p>
            <w:pPr>
              <w:jc w:val="right"/>
            </w:pPr>
            <w:r>
              <w:rPr>
                <w:rFonts w:ascii="宋体" w:hAnsi="宋体" w:eastAsia="宋体" w:cs="宋体"/>
                <w:b w:val="0"/>
                <w:i w:val="0"/>
                <w:color w:val="000000"/>
                <w:sz w:val="25"/>
              </w:rPr>
              <w:t>62.23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0.11</w:t>
            </w:r>
          </w:p>
        </w:tc>
        <w:tc>
          <w:tcPr>
            <w:tcW w:w="2700" w:type="dxa"/>
            <w:vAlign w:val="center"/>
          </w:tcPr>
          <w:p>
            <w:pPr>
              <w:jc w:val="right"/>
            </w:pPr>
            <w:r>
              <w:rPr>
                <w:rFonts w:ascii="宋体" w:hAnsi="宋体" w:eastAsia="宋体" w:cs="宋体"/>
                <w:b w:val="0"/>
                <w:i w:val="0"/>
                <w:color w:val="000000"/>
                <w:sz w:val="25"/>
              </w:rPr>
              <w:t>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0.11</w:t>
            </w:r>
          </w:p>
        </w:tc>
        <w:tc>
          <w:tcPr>
            <w:tcW w:w="2700" w:type="dxa"/>
            <w:vAlign w:val="center"/>
          </w:tcPr>
          <w:p>
            <w:pPr>
              <w:jc w:val="right"/>
            </w:pPr>
            <w:r>
              <w:rPr>
                <w:rFonts w:ascii="宋体" w:hAnsi="宋体" w:eastAsia="宋体" w:cs="宋体"/>
                <w:b w:val="0"/>
                <w:i w:val="0"/>
                <w:color w:val="000000"/>
                <w:sz w:val="25"/>
              </w:rPr>
              <w:t>0.11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0.69</w:t>
            </w:r>
          </w:p>
        </w:tc>
        <w:tc>
          <w:tcPr>
            <w:tcW w:w="2700" w:type="dxa"/>
            <w:vAlign w:val="center"/>
          </w:tcPr>
          <w:p>
            <w:pPr>
              <w:jc w:val="right"/>
            </w:pPr>
            <w:r>
              <w:rPr>
                <w:rFonts w:ascii="宋体" w:hAnsi="宋体" w:eastAsia="宋体" w:cs="宋体"/>
                <w:b w:val="0"/>
                <w:i w:val="0"/>
                <w:color w:val="000000"/>
                <w:sz w:val="25"/>
              </w:rPr>
              <w:t>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0.69</w:t>
            </w:r>
          </w:p>
        </w:tc>
        <w:tc>
          <w:tcPr>
            <w:tcW w:w="2700" w:type="dxa"/>
            <w:vAlign w:val="center"/>
          </w:tcPr>
          <w:p>
            <w:pPr>
              <w:jc w:val="right"/>
            </w:pPr>
            <w:r>
              <w:rPr>
                <w:rFonts w:ascii="宋体" w:hAnsi="宋体" w:eastAsia="宋体" w:cs="宋体"/>
                <w:b w:val="0"/>
                <w:i w:val="0"/>
                <w:color w:val="000000"/>
                <w:sz w:val="25"/>
              </w:rPr>
              <w:t>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2.80</w:t>
            </w:r>
          </w:p>
        </w:tc>
        <w:tc>
          <w:tcPr>
            <w:tcW w:w="2700" w:type="dxa"/>
            <w:vAlign w:val="center"/>
          </w:tcPr>
          <w:p>
            <w:pPr>
              <w:jc w:val="right"/>
            </w:pPr>
            <w:r>
              <w:rPr>
                <w:rFonts w:ascii="宋体" w:hAnsi="宋体" w:eastAsia="宋体" w:cs="宋体"/>
                <w:b w:val="0"/>
                <w:i w:val="0"/>
                <w:color w:val="000000"/>
                <w:sz w:val="25"/>
              </w:rPr>
              <w:t>2.80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2.80</w:t>
            </w:r>
          </w:p>
        </w:tc>
        <w:tc>
          <w:tcPr>
            <w:tcW w:w="2700" w:type="dxa"/>
            <w:vAlign w:val="center"/>
          </w:tcPr>
          <w:p>
            <w:pPr>
              <w:jc w:val="right"/>
            </w:pPr>
            <w:r>
              <w:rPr>
                <w:rFonts w:ascii="宋体" w:hAnsi="宋体" w:eastAsia="宋体" w:cs="宋体"/>
                <w:b w:val="0"/>
                <w:i w:val="0"/>
                <w:color w:val="000000"/>
                <w:sz w:val="25"/>
              </w:rPr>
              <w:t>2.80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2.80</w:t>
            </w:r>
          </w:p>
        </w:tc>
        <w:tc>
          <w:tcPr>
            <w:tcW w:w="2700" w:type="dxa"/>
            <w:vAlign w:val="center"/>
          </w:tcPr>
          <w:p>
            <w:pPr>
              <w:jc w:val="right"/>
            </w:pPr>
            <w:r>
              <w:rPr>
                <w:rFonts w:ascii="宋体" w:hAnsi="宋体" w:eastAsia="宋体" w:cs="宋体"/>
                <w:b w:val="0"/>
                <w:i w:val="0"/>
                <w:color w:val="000000"/>
                <w:sz w:val="25"/>
              </w:rPr>
              <w:t>2.80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2.51</w:t>
            </w:r>
          </w:p>
        </w:tc>
        <w:tc>
          <w:tcPr>
            <w:tcW w:w="2700" w:type="dxa"/>
            <w:vAlign w:val="center"/>
          </w:tcPr>
          <w:p>
            <w:pPr>
              <w:jc w:val="right"/>
            </w:pPr>
            <w:r>
              <w:rPr>
                <w:rFonts w:ascii="宋体" w:hAnsi="宋体" w:eastAsia="宋体" w:cs="宋体"/>
                <w:b w:val="0"/>
                <w:i w:val="0"/>
                <w:color w:val="000000"/>
                <w:sz w:val="25"/>
              </w:rPr>
              <w:t>2.51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2.51</w:t>
            </w:r>
          </w:p>
        </w:tc>
        <w:tc>
          <w:tcPr>
            <w:tcW w:w="2700" w:type="dxa"/>
            <w:vAlign w:val="center"/>
          </w:tcPr>
          <w:p>
            <w:pPr>
              <w:jc w:val="right"/>
            </w:pPr>
            <w:r>
              <w:rPr>
                <w:rFonts w:ascii="宋体" w:hAnsi="宋体" w:eastAsia="宋体" w:cs="宋体"/>
                <w:b w:val="0"/>
                <w:i w:val="0"/>
                <w:color w:val="000000"/>
                <w:sz w:val="25"/>
              </w:rPr>
              <w:t>2.51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1.23</w:t>
            </w:r>
          </w:p>
        </w:tc>
        <w:tc>
          <w:tcPr>
            <w:tcW w:w="2700" w:type="dxa"/>
            <w:vAlign w:val="center"/>
          </w:tcPr>
          <w:p>
            <w:pPr>
              <w:jc w:val="right"/>
            </w:pPr>
            <w:r>
              <w:rPr>
                <w:rFonts w:ascii="宋体" w:hAnsi="宋体" w:eastAsia="宋体" w:cs="宋体"/>
                <w:b w:val="0"/>
                <w:i w:val="0"/>
                <w:color w:val="000000"/>
                <w:sz w:val="25"/>
              </w:rPr>
              <w:t>1.23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1.28</w:t>
            </w:r>
          </w:p>
        </w:tc>
        <w:tc>
          <w:tcPr>
            <w:tcW w:w="2700" w:type="dxa"/>
            <w:vAlign w:val="center"/>
          </w:tcPr>
          <w:p>
            <w:pPr>
              <w:jc w:val="right"/>
            </w:pPr>
            <w:r>
              <w:rPr>
                <w:rFonts w:ascii="宋体" w:hAnsi="宋体" w:eastAsia="宋体" w:cs="宋体"/>
                <w:b w:val="0"/>
                <w:i w:val="0"/>
                <w:color w:val="000000"/>
                <w:sz w:val="25"/>
              </w:rPr>
              <w:t>1.28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2.55</w:t>
            </w:r>
          </w:p>
        </w:tc>
        <w:tc>
          <w:tcPr>
            <w:tcW w:w="2700" w:type="dxa"/>
            <w:vAlign w:val="center"/>
          </w:tcPr>
          <w:p>
            <w:pPr>
              <w:jc w:val="right"/>
            </w:pPr>
            <w:r>
              <w:rPr>
                <w:rFonts w:ascii="宋体" w:hAnsi="宋体" w:eastAsia="宋体" w:cs="宋体"/>
                <w:b w:val="0"/>
                <w:i w:val="0"/>
                <w:color w:val="000000"/>
                <w:sz w:val="25"/>
              </w:rPr>
              <w:t>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2.55</w:t>
            </w:r>
          </w:p>
        </w:tc>
        <w:tc>
          <w:tcPr>
            <w:tcW w:w="2700" w:type="dxa"/>
            <w:vAlign w:val="center"/>
          </w:tcPr>
          <w:p>
            <w:pPr>
              <w:jc w:val="right"/>
            </w:pPr>
            <w:r>
              <w:rPr>
                <w:rFonts w:ascii="宋体" w:hAnsi="宋体" w:eastAsia="宋体" w:cs="宋体"/>
                <w:b w:val="0"/>
                <w:i w:val="0"/>
                <w:color w:val="000000"/>
                <w:sz w:val="25"/>
              </w:rPr>
              <w:t>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2.55</w:t>
            </w:r>
          </w:p>
        </w:tc>
        <w:tc>
          <w:tcPr>
            <w:tcW w:w="2700" w:type="dxa"/>
            <w:vAlign w:val="center"/>
          </w:tcPr>
          <w:p>
            <w:pPr>
              <w:jc w:val="right"/>
            </w:pPr>
            <w:r>
              <w:rPr>
                <w:rFonts w:ascii="宋体" w:hAnsi="宋体" w:eastAsia="宋体" w:cs="宋体"/>
                <w:b w:val="0"/>
                <w:i w:val="0"/>
                <w:color w:val="000000"/>
                <w:sz w:val="25"/>
              </w:rPr>
              <w:t>2.55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58.88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11.40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12.30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3.63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35.16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0.84</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3.49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2.70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1.33</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1.28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0.44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2.56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0.91</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0.11</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3.02</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1.28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58.88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12.00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部门：中国民主同盟许昌市委员会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2023年度收、支总计均为70.88万元。与上年度相比，收、支总计各增加45.98万元，增长184.66%。主要原因是我单位增加一名领导干部，人员经费增加。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70.88万元，其中：财政拨款收入70.88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2023年度支出合计70.88万元，其中：基本支出70.88万元，占100.00%；项目支出0.00万元，占0.00%；上缴上级支出0.00万元，占0.00%；经营支出0.00万元，占0.00%；对附属单位补助支出0.00万元，占0.00%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2023年度财政拨款收、支总计均为70.88万元。与上年度相比，财政拨款收、支总计各增加45.98万元，增长184.66%。主要原因是我单位增加一名领导干部，人员经费增加。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2023年度一般公共预算财政拨款支出70.88万元，占支出合计的100.00%。与上年度相比，一般公共预算财政拨款支出增加45.98万元，增长184.66%。主要原因是我单位增加一名领导干部，人员经费增加。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70.88万元，主要用于以下方面：一般公共服务支出（类）63.02万元，占88.91%；社会保障和就业支出（类）2.80万元，占3.95%；卫生健康支出（类）2.51万元，占3.54%；住房保障支出（类）2.55万元，占3.60%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2023年度一般公共预算财政拨款支出年初预算为33.25万元，支出决算为70.88万元，完成年初预算的213.17%。其中：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1.一般公共服务支出（类）民主党派及工商联事务（款）行政运行（项）</w:t>
      </w:r>
      <w:r>
        <w:rPr>
          <w:rFonts w:hint="default" w:ascii="仿宋" w:hAnsi="仿宋" w:eastAsia="仿宋" w:cs="仿宋"/>
          <w:kern w:val="0"/>
          <w:sz w:val="32"/>
          <w:szCs w:val="32"/>
          <w:lang w:val="en-US" w:eastAsia="zh-CN"/>
        </w:rPr>
        <w:t>年初预算数为28.83万元，决算数62.23万元,完成年初预算的215.85%，决算数与年初预算数存在差异的主要原因是我单位增加一名领导干部，人员经费增加。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年初预算数为0.11万元，决算数0.11万元,完成年初预算的100.00%，决算数与年初预算数不存在差异。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年初预算数为0.00万元，决算数0.69万元,决算数与年初预算数存在差异的主要原因是财政统一下达指标用于发放2021年平安建设奖。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年初预算数为1.48万元，决算数2.80万元,完成年初预算的189.19%，决算数与年初预算数存在差异的主要原因是社保基数调整。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5.卫生健康支出（类）行政事业单位医疗（款）行政单位医疗（项）</w:t>
      </w:r>
      <w:r>
        <w:rPr>
          <w:rFonts w:hint="default" w:ascii="仿宋" w:hAnsi="仿宋" w:eastAsia="仿宋" w:cs="仿宋"/>
          <w:kern w:val="0"/>
          <w:sz w:val="32"/>
          <w:szCs w:val="32"/>
          <w:lang w:val="en-US" w:eastAsia="zh-CN"/>
        </w:rPr>
        <w:t>年初预算数为0.70万元，决算数1.23万元,完成年初预算的175.71%，决算数与年初预算数存在差异的主要原因是社保基数调整。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6.卫生健康支出（类）行政事业单位医疗（款）公务员医疗补助（项）</w:t>
      </w:r>
      <w:r>
        <w:rPr>
          <w:rFonts w:hint="default" w:ascii="仿宋" w:hAnsi="仿宋" w:eastAsia="仿宋" w:cs="仿宋"/>
          <w:kern w:val="0"/>
          <w:sz w:val="32"/>
          <w:szCs w:val="32"/>
          <w:lang w:val="en-US" w:eastAsia="zh-CN"/>
        </w:rPr>
        <w:t>年初预算数为0.78万元，决算数1.28万元,完成年初预算的164.10%，决算数与年初预算数存在差异的主要原因是社保基数调整。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0"/>
          <w:sz w:val="32"/>
          <w:szCs w:val="32"/>
          <w:lang w:val="en-US" w:eastAsia="zh-CN"/>
        </w:rPr>
        <w:t>年初预算数为1.34万元，决算数2.55万元,完成年初预算的190.30%，决算数与年初预算数存在差异的主要原因是我单位增加一名领导干部，公积金增加。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70.88万元。其中：人员经费58.88万元，主要包括：基本工资、津贴补贴、奖金、机关事业单位基本养老保险缴费、职工基本医疗保险缴费、公务员医疗补助缴费、其他社会保障缴费、住房公积金。公用经费12.00万元，主要包括：办公费、印刷费、咨询费、电费、物业管理费、差旅费、维修（护）费、租赁费、工会经费、福利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0.00万元。2023年期末，部门开支财政拨款的公务用车保有量为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2023年度机关运行经费支出12.00万元，较2022年度增长4.94万元，增长69.97%，主要原因是我单位人员增加，公用经费增加。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涉及预算资金70.88万元。自评得分为98.84分，等级为“优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我部门整体绩效评价结果满意。按照盟省委的安排部署，结合盟市委工作实际，全面开展“教育、文化、医疗、科技、法律、公益”系列社会服务活动，打造社会服务品牌。开展社会服务活动，单位履职效能进一步提升，各项工作基本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根据工作实际，我部门没有项目需要开展项目绩效自评。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2204"/>
        <w:gridCol w:w="278"/>
        <w:gridCol w:w="278"/>
        <w:gridCol w:w="2276"/>
        <w:gridCol w:w="1397"/>
        <w:gridCol w:w="1237"/>
        <w:gridCol w:w="675"/>
        <w:gridCol w:w="812"/>
        <w:gridCol w:w="1244"/>
        <w:gridCol w:w="3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中国民主同盟许昌市委员会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继承和弘扬民盟“奔走国是，关注民生”的优良传统，按照“四新三好”对标提升活动的方案要求，从上到下形成讲学习、讲政治、讲正气、讲大局、讲团结、讲奉献的良好氛围。开展好学习贯彻中国共产党二十大精神系列活动。做好组织发展工作，注重把好入口关，重点做好高校、基础教育、文化艺术以及与之相关的科技领域盟员的发展。持续推进教育、文化、医疗、科技、法律、公益系列活动。打造社会服务品牌，以活动促带动，不断增强盟组织活力。</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继承和弘扬民盟“奔走国是，关注民生”的优良传统，按照“四新三好”对标提升活动的方案要求，从上到下形成讲学习、讲政治、讲正气、讲大局、讲团结、讲奉献的良好氛围。开展好学习贯彻中国共产党二十大精神系列活动。做好组织发展工作，注重把好入口关，重点做好高校、基础教育、文化艺术以及与之相关的科技领域盟员的发展。持续推进教育、文化、医疗、科技、法律、公益系列活动。打造社会服务品牌，以活动促带动，不断增强盟组织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开展社会服务活动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持续做好民盟特色社会服务工作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做好参政议政工作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围绕市委市政府中心工作，认真调研，撰写调研报告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2023年我单位调入一名厅级干部，人员经费增加，因此调整预算数额较大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组织开展盟员学习活动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充分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持续开展社会服务活动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充分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参政议政，撰写调研报告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持续做好民盟特色社会服务工作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参政议政能力提升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精准开展社会服务活动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精准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BXzMh6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B365"/>
    <w:multiLevelType w:val="multilevel"/>
    <w:tmpl w:val="FFD7B36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2FC7A14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beaf16fb-94b8-4b1b-926f-1d1a7fe92fbc"/>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2024-10-09T16:05:37Z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