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中国国际贸易促进委员会河南省分会许昌支会单位决算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中国国际贸易促进委员会河南省分会许昌支会概况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中国国际贸易促进委员会河南省分会许昌支会概况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（一）依照中华人民共和国的法律、法规、政策和国际惯例，开展促进本市出口创汇、利用外资、引进国外先进技术设备和各种形式的对外经济贸易交流与合作等活动。</w:t>
      </w:r>
      <w:bookmarkStart w:id="0" w:name="_GoBack"/>
      <w:bookmarkEnd w:id="0"/>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利用民间渠道优势和地方商会的服务、协调、桥梁、纽带职能，为本市会员企业提供优质高效服务，促进许昌同世界各国、各地区之间的贸易和经济关系的发展，增进许昌同世界各国人民及经济贸易界的相互了解与友谊。</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中国国际贸易促进委员会河南省分会许昌支会内设机构1个</w:t>
      </w:r>
      <w:r>
        <w:rPr>
          <w:rFonts w:hint="default" w:ascii="仿宋" w:hAnsi="仿宋" w:eastAsia="仿宋" w:cs="仿宋"/>
          <w:kern w:val="0"/>
          <w:sz w:val="32"/>
          <w:szCs w:val="32"/>
          <w:lang w:val="en" w:eastAsia="zh-CN"/>
        </w:rPr>
        <w:t>，</w:t>
      </w:r>
      <w:r>
        <w:rPr>
          <w:rFonts w:hint="eastAsia" w:ascii="仿宋" w:hAnsi="仿宋" w:eastAsia="仿宋" w:cs="仿宋"/>
          <w:kern w:val="0"/>
          <w:sz w:val="32"/>
          <w:szCs w:val="32"/>
          <w:lang w:val="en-US" w:eastAsia="zh-CN"/>
        </w:rPr>
        <w:t>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从决算单位构成看，中国国际贸易促进委员会河南省分会许昌支会单位决算包括：本级决算（1个）。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中国国际贸易促进委员会河南省分会许昌支会</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单位：中国国际贸易促进委员会河南省分会许昌支会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104.87</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72.03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25.14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6.39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4.03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104.87</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111.26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6.39</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111.26</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111.26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单位：中国国际贸易促进委员会河南省分会许昌支会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104.87</w:t>
            </w:r>
          </w:p>
        </w:tc>
        <w:tc>
          <w:tcPr>
            <w:tcW w:w="1440" w:type="dxa"/>
            <w:vAlign w:val="center"/>
          </w:tcPr>
          <w:p>
            <w:pPr>
              <w:jc w:val="right"/>
            </w:pPr>
            <w:r>
              <w:rPr>
                <w:rFonts w:ascii="宋体" w:hAnsi="宋体" w:eastAsia="宋体" w:cs="宋体"/>
                <w:b/>
                <w:i w:val="0"/>
                <w:color w:val="000000"/>
                <w:sz w:val="17"/>
              </w:rPr>
              <w:t>104.87</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72.03</w:t>
            </w:r>
          </w:p>
        </w:tc>
        <w:tc>
          <w:tcPr>
            <w:tcW w:w="1440" w:type="dxa"/>
            <w:vAlign w:val="center"/>
          </w:tcPr>
          <w:p>
            <w:pPr>
              <w:jc w:val="right"/>
            </w:pPr>
            <w:r>
              <w:rPr>
                <w:rFonts w:ascii="宋体" w:hAnsi="宋体" w:eastAsia="宋体" w:cs="宋体"/>
                <w:b w:val="0"/>
                <w:i w:val="0"/>
                <w:color w:val="000000"/>
                <w:sz w:val="17"/>
              </w:rPr>
              <w:t>72.03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w:t>
            </w:r>
          </w:p>
        </w:tc>
        <w:tc>
          <w:tcPr>
            <w:tcW w:w="3140" w:type="dxa"/>
            <w:vAlign w:val="center"/>
          </w:tcPr>
          <w:p>
            <w:pPr>
              <w:jc w:val="left"/>
            </w:pPr>
            <w:r>
              <w:rPr>
                <w:rFonts w:ascii="宋体" w:hAnsi="宋体" w:eastAsia="宋体" w:cs="宋体"/>
                <w:b w:val="0"/>
                <w:i w:val="0"/>
                <w:color w:val="000000"/>
                <w:sz w:val="17"/>
              </w:rPr>
              <w:t>商贸事务</w:t>
            </w:r>
          </w:p>
        </w:tc>
        <w:tc>
          <w:tcPr>
            <w:tcW w:w="1440" w:type="dxa"/>
            <w:vAlign w:val="center"/>
          </w:tcPr>
          <w:p>
            <w:pPr>
              <w:jc w:val="right"/>
            </w:pPr>
            <w:r>
              <w:rPr>
                <w:rFonts w:ascii="宋体" w:hAnsi="宋体" w:eastAsia="宋体" w:cs="宋体"/>
                <w:b w:val="0"/>
                <w:i w:val="0"/>
                <w:color w:val="000000"/>
                <w:sz w:val="17"/>
              </w:rPr>
              <w:t>67.10</w:t>
            </w:r>
          </w:p>
        </w:tc>
        <w:tc>
          <w:tcPr>
            <w:tcW w:w="1440" w:type="dxa"/>
            <w:vAlign w:val="center"/>
          </w:tcPr>
          <w:p>
            <w:pPr>
              <w:jc w:val="right"/>
            </w:pPr>
            <w:r>
              <w:rPr>
                <w:rFonts w:ascii="宋体" w:hAnsi="宋体" w:eastAsia="宋体" w:cs="宋体"/>
                <w:b w:val="0"/>
                <w:i w:val="0"/>
                <w:color w:val="000000"/>
                <w:sz w:val="17"/>
              </w:rPr>
              <w:t>67.10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67.10</w:t>
            </w:r>
          </w:p>
        </w:tc>
        <w:tc>
          <w:tcPr>
            <w:tcW w:w="1440" w:type="dxa"/>
            <w:vAlign w:val="center"/>
          </w:tcPr>
          <w:p>
            <w:pPr>
              <w:jc w:val="right"/>
            </w:pPr>
            <w:r>
              <w:rPr>
                <w:rFonts w:ascii="宋体" w:hAnsi="宋体" w:eastAsia="宋体" w:cs="宋体"/>
                <w:b w:val="0"/>
                <w:i w:val="0"/>
                <w:color w:val="000000"/>
                <w:sz w:val="17"/>
              </w:rPr>
              <w:t>67.10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0.54</w:t>
            </w:r>
          </w:p>
        </w:tc>
        <w:tc>
          <w:tcPr>
            <w:tcW w:w="1440" w:type="dxa"/>
            <w:vAlign w:val="center"/>
          </w:tcPr>
          <w:p>
            <w:pPr>
              <w:jc w:val="right"/>
            </w:pPr>
            <w:r>
              <w:rPr>
                <w:rFonts w:ascii="宋体" w:hAnsi="宋体" w:eastAsia="宋体" w:cs="宋体"/>
                <w:b w:val="0"/>
                <w:i w:val="0"/>
                <w:color w:val="000000"/>
                <w:sz w:val="17"/>
              </w:rPr>
              <w:t>0.54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0.54</w:t>
            </w:r>
          </w:p>
        </w:tc>
        <w:tc>
          <w:tcPr>
            <w:tcW w:w="1440" w:type="dxa"/>
            <w:vAlign w:val="center"/>
          </w:tcPr>
          <w:p>
            <w:pPr>
              <w:jc w:val="right"/>
            </w:pPr>
            <w:r>
              <w:rPr>
                <w:rFonts w:ascii="宋体" w:hAnsi="宋体" w:eastAsia="宋体" w:cs="宋体"/>
                <w:b w:val="0"/>
                <w:i w:val="0"/>
                <w:color w:val="000000"/>
                <w:sz w:val="17"/>
              </w:rPr>
              <w:t>0.54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4.39</w:t>
            </w:r>
          </w:p>
        </w:tc>
        <w:tc>
          <w:tcPr>
            <w:tcW w:w="1440" w:type="dxa"/>
            <w:vAlign w:val="center"/>
          </w:tcPr>
          <w:p>
            <w:pPr>
              <w:jc w:val="right"/>
            </w:pPr>
            <w:r>
              <w:rPr>
                <w:rFonts w:ascii="宋体" w:hAnsi="宋体" w:eastAsia="宋体" w:cs="宋体"/>
                <w:b w:val="0"/>
                <w:i w:val="0"/>
                <w:color w:val="000000"/>
                <w:sz w:val="17"/>
              </w:rPr>
              <w:t>4.39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4.39</w:t>
            </w:r>
          </w:p>
        </w:tc>
        <w:tc>
          <w:tcPr>
            <w:tcW w:w="1440" w:type="dxa"/>
            <w:vAlign w:val="center"/>
          </w:tcPr>
          <w:p>
            <w:pPr>
              <w:jc w:val="right"/>
            </w:pPr>
            <w:r>
              <w:rPr>
                <w:rFonts w:ascii="宋体" w:hAnsi="宋体" w:eastAsia="宋体" w:cs="宋体"/>
                <w:b w:val="0"/>
                <w:i w:val="0"/>
                <w:color w:val="000000"/>
                <w:sz w:val="17"/>
              </w:rPr>
              <w:t>4.39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25.14</w:t>
            </w:r>
          </w:p>
        </w:tc>
        <w:tc>
          <w:tcPr>
            <w:tcW w:w="1440" w:type="dxa"/>
            <w:vAlign w:val="center"/>
          </w:tcPr>
          <w:p>
            <w:pPr>
              <w:jc w:val="right"/>
            </w:pPr>
            <w:r>
              <w:rPr>
                <w:rFonts w:ascii="宋体" w:hAnsi="宋体" w:eastAsia="宋体" w:cs="宋体"/>
                <w:b w:val="0"/>
                <w:i w:val="0"/>
                <w:color w:val="000000"/>
                <w:sz w:val="17"/>
              </w:rPr>
              <w:t>25.14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25.14</w:t>
            </w:r>
          </w:p>
        </w:tc>
        <w:tc>
          <w:tcPr>
            <w:tcW w:w="1440" w:type="dxa"/>
            <w:vAlign w:val="center"/>
          </w:tcPr>
          <w:p>
            <w:pPr>
              <w:jc w:val="right"/>
            </w:pPr>
            <w:r>
              <w:rPr>
                <w:rFonts w:ascii="宋体" w:hAnsi="宋体" w:eastAsia="宋体" w:cs="宋体"/>
                <w:b w:val="0"/>
                <w:i w:val="0"/>
                <w:color w:val="000000"/>
                <w:sz w:val="17"/>
              </w:rPr>
              <w:t>25.14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20.95</w:t>
            </w:r>
          </w:p>
        </w:tc>
        <w:tc>
          <w:tcPr>
            <w:tcW w:w="1440" w:type="dxa"/>
            <w:vAlign w:val="center"/>
          </w:tcPr>
          <w:p>
            <w:pPr>
              <w:jc w:val="right"/>
            </w:pPr>
            <w:r>
              <w:rPr>
                <w:rFonts w:ascii="宋体" w:hAnsi="宋体" w:eastAsia="宋体" w:cs="宋体"/>
                <w:b w:val="0"/>
                <w:i w:val="0"/>
                <w:color w:val="000000"/>
                <w:sz w:val="17"/>
              </w:rPr>
              <w:t>20.95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4.19</w:t>
            </w:r>
          </w:p>
        </w:tc>
        <w:tc>
          <w:tcPr>
            <w:tcW w:w="1440" w:type="dxa"/>
            <w:vAlign w:val="center"/>
          </w:tcPr>
          <w:p>
            <w:pPr>
              <w:jc w:val="right"/>
            </w:pPr>
            <w:r>
              <w:rPr>
                <w:rFonts w:ascii="宋体" w:hAnsi="宋体" w:eastAsia="宋体" w:cs="宋体"/>
                <w:b w:val="0"/>
                <w:i w:val="0"/>
                <w:color w:val="000000"/>
                <w:sz w:val="17"/>
              </w:rPr>
              <w:t>4.19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3.66</w:t>
            </w:r>
          </w:p>
        </w:tc>
        <w:tc>
          <w:tcPr>
            <w:tcW w:w="1440" w:type="dxa"/>
            <w:vAlign w:val="center"/>
          </w:tcPr>
          <w:p>
            <w:pPr>
              <w:jc w:val="right"/>
            </w:pPr>
            <w:r>
              <w:rPr>
                <w:rFonts w:ascii="宋体" w:hAnsi="宋体" w:eastAsia="宋体" w:cs="宋体"/>
                <w:b w:val="0"/>
                <w:i w:val="0"/>
                <w:color w:val="000000"/>
                <w:sz w:val="17"/>
              </w:rPr>
              <w:t>3.66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3.66</w:t>
            </w:r>
          </w:p>
        </w:tc>
        <w:tc>
          <w:tcPr>
            <w:tcW w:w="1440" w:type="dxa"/>
            <w:vAlign w:val="center"/>
          </w:tcPr>
          <w:p>
            <w:pPr>
              <w:jc w:val="right"/>
            </w:pPr>
            <w:r>
              <w:rPr>
                <w:rFonts w:ascii="宋体" w:hAnsi="宋体" w:eastAsia="宋体" w:cs="宋体"/>
                <w:b w:val="0"/>
                <w:i w:val="0"/>
                <w:color w:val="000000"/>
                <w:sz w:val="17"/>
              </w:rPr>
              <w:t>3.66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1.74</w:t>
            </w:r>
          </w:p>
        </w:tc>
        <w:tc>
          <w:tcPr>
            <w:tcW w:w="1440" w:type="dxa"/>
            <w:vAlign w:val="center"/>
          </w:tcPr>
          <w:p>
            <w:pPr>
              <w:jc w:val="right"/>
            </w:pPr>
            <w:r>
              <w:rPr>
                <w:rFonts w:ascii="宋体" w:hAnsi="宋体" w:eastAsia="宋体" w:cs="宋体"/>
                <w:b w:val="0"/>
                <w:i w:val="0"/>
                <w:color w:val="000000"/>
                <w:sz w:val="17"/>
              </w:rPr>
              <w:t>1.74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1.93</w:t>
            </w:r>
          </w:p>
        </w:tc>
        <w:tc>
          <w:tcPr>
            <w:tcW w:w="1440" w:type="dxa"/>
            <w:vAlign w:val="center"/>
          </w:tcPr>
          <w:p>
            <w:pPr>
              <w:jc w:val="right"/>
            </w:pPr>
            <w:r>
              <w:rPr>
                <w:rFonts w:ascii="宋体" w:hAnsi="宋体" w:eastAsia="宋体" w:cs="宋体"/>
                <w:b w:val="0"/>
                <w:i w:val="0"/>
                <w:color w:val="000000"/>
                <w:sz w:val="17"/>
              </w:rPr>
              <w:t>1.93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4.03</w:t>
            </w:r>
          </w:p>
        </w:tc>
        <w:tc>
          <w:tcPr>
            <w:tcW w:w="1440" w:type="dxa"/>
            <w:vAlign w:val="center"/>
          </w:tcPr>
          <w:p>
            <w:pPr>
              <w:jc w:val="right"/>
            </w:pPr>
            <w:r>
              <w:rPr>
                <w:rFonts w:ascii="宋体" w:hAnsi="宋体" w:eastAsia="宋体" w:cs="宋体"/>
                <w:b w:val="0"/>
                <w:i w:val="0"/>
                <w:color w:val="000000"/>
                <w:sz w:val="17"/>
              </w:rPr>
              <w:t>4.03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4.03</w:t>
            </w:r>
          </w:p>
        </w:tc>
        <w:tc>
          <w:tcPr>
            <w:tcW w:w="1440" w:type="dxa"/>
            <w:vAlign w:val="center"/>
          </w:tcPr>
          <w:p>
            <w:pPr>
              <w:jc w:val="right"/>
            </w:pPr>
            <w:r>
              <w:rPr>
                <w:rFonts w:ascii="宋体" w:hAnsi="宋体" w:eastAsia="宋体" w:cs="宋体"/>
                <w:b w:val="0"/>
                <w:i w:val="0"/>
                <w:color w:val="000000"/>
                <w:sz w:val="17"/>
              </w:rPr>
              <w:t>4.03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4.03</w:t>
            </w:r>
          </w:p>
        </w:tc>
        <w:tc>
          <w:tcPr>
            <w:tcW w:w="1440" w:type="dxa"/>
            <w:vAlign w:val="center"/>
          </w:tcPr>
          <w:p>
            <w:pPr>
              <w:jc w:val="right"/>
            </w:pPr>
            <w:r>
              <w:rPr>
                <w:rFonts w:ascii="宋体" w:hAnsi="宋体" w:eastAsia="宋体" w:cs="宋体"/>
                <w:b w:val="0"/>
                <w:i w:val="0"/>
                <w:color w:val="000000"/>
                <w:sz w:val="17"/>
              </w:rPr>
              <w:t>4.03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单位：中国国际贸易促进委员会河南省分会许昌支会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111.26</w:t>
            </w:r>
          </w:p>
        </w:tc>
        <w:tc>
          <w:tcPr>
            <w:tcW w:w="1600" w:type="dxa"/>
            <w:vAlign w:val="center"/>
          </w:tcPr>
          <w:p>
            <w:pPr>
              <w:jc w:val="right"/>
            </w:pPr>
            <w:r>
              <w:rPr>
                <w:rFonts w:ascii="宋体" w:hAnsi="宋体" w:eastAsia="宋体" w:cs="宋体"/>
                <w:b/>
                <w:i w:val="0"/>
                <w:color w:val="000000"/>
                <w:sz w:val="19"/>
              </w:rPr>
              <w:t>104.87</w:t>
            </w:r>
          </w:p>
        </w:tc>
        <w:tc>
          <w:tcPr>
            <w:tcW w:w="1600" w:type="dxa"/>
            <w:vAlign w:val="center"/>
          </w:tcPr>
          <w:p>
            <w:pPr>
              <w:jc w:val="right"/>
            </w:pPr>
            <w:r>
              <w:rPr>
                <w:rFonts w:ascii="宋体" w:hAnsi="宋体" w:eastAsia="宋体" w:cs="宋体"/>
                <w:b/>
                <w:i w:val="0"/>
                <w:color w:val="000000"/>
                <w:sz w:val="19"/>
              </w:rPr>
              <w:t>6.39</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72.03</w:t>
            </w:r>
          </w:p>
        </w:tc>
        <w:tc>
          <w:tcPr>
            <w:tcW w:w="1600" w:type="dxa"/>
            <w:vAlign w:val="center"/>
          </w:tcPr>
          <w:p>
            <w:pPr>
              <w:jc w:val="right"/>
            </w:pPr>
            <w:r>
              <w:rPr>
                <w:rFonts w:ascii="宋体" w:hAnsi="宋体" w:eastAsia="宋体" w:cs="宋体"/>
                <w:b w:val="0"/>
                <w:i w:val="0"/>
                <w:color w:val="000000"/>
                <w:sz w:val="19"/>
              </w:rPr>
              <w:t>72.03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w:t>
            </w:r>
          </w:p>
        </w:tc>
        <w:tc>
          <w:tcPr>
            <w:tcW w:w="3480" w:type="dxa"/>
            <w:vAlign w:val="center"/>
          </w:tcPr>
          <w:p>
            <w:pPr>
              <w:jc w:val="left"/>
            </w:pPr>
            <w:r>
              <w:rPr>
                <w:rFonts w:ascii="宋体" w:hAnsi="宋体" w:eastAsia="宋体" w:cs="宋体"/>
                <w:b w:val="0"/>
                <w:i w:val="0"/>
                <w:color w:val="000000"/>
                <w:sz w:val="19"/>
              </w:rPr>
              <w:t>商贸事务</w:t>
            </w:r>
          </w:p>
        </w:tc>
        <w:tc>
          <w:tcPr>
            <w:tcW w:w="1600" w:type="dxa"/>
            <w:vAlign w:val="center"/>
          </w:tcPr>
          <w:p>
            <w:pPr>
              <w:jc w:val="right"/>
            </w:pPr>
            <w:r>
              <w:rPr>
                <w:rFonts w:ascii="宋体" w:hAnsi="宋体" w:eastAsia="宋体" w:cs="宋体"/>
                <w:b w:val="0"/>
                <w:i w:val="0"/>
                <w:color w:val="000000"/>
                <w:sz w:val="19"/>
              </w:rPr>
              <w:t>67.10</w:t>
            </w:r>
          </w:p>
        </w:tc>
        <w:tc>
          <w:tcPr>
            <w:tcW w:w="1600" w:type="dxa"/>
            <w:vAlign w:val="center"/>
          </w:tcPr>
          <w:p>
            <w:pPr>
              <w:jc w:val="right"/>
            </w:pPr>
            <w:r>
              <w:rPr>
                <w:rFonts w:ascii="宋体" w:hAnsi="宋体" w:eastAsia="宋体" w:cs="宋体"/>
                <w:b w:val="0"/>
                <w:i w:val="0"/>
                <w:color w:val="000000"/>
                <w:sz w:val="19"/>
              </w:rPr>
              <w:t>67.10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67.10</w:t>
            </w:r>
          </w:p>
        </w:tc>
        <w:tc>
          <w:tcPr>
            <w:tcW w:w="1600" w:type="dxa"/>
            <w:vAlign w:val="center"/>
          </w:tcPr>
          <w:p>
            <w:pPr>
              <w:jc w:val="right"/>
            </w:pPr>
            <w:r>
              <w:rPr>
                <w:rFonts w:ascii="宋体" w:hAnsi="宋体" w:eastAsia="宋体" w:cs="宋体"/>
                <w:b w:val="0"/>
                <w:i w:val="0"/>
                <w:color w:val="000000"/>
                <w:sz w:val="19"/>
              </w:rPr>
              <w:t>67.10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0.54</w:t>
            </w:r>
          </w:p>
        </w:tc>
        <w:tc>
          <w:tcPr>
            <w:tcW w:w="1600" w:type="dxa"/>
            <w:vAlign w:val="center"/>
          </w:tcPr>
          <w:p>
            <w:pPr>
              <w:jc w:val="right"/>
            </w:pPr>
            <w:r>
              <w:rPr>
                <w:rFonts w:ascii="宋体" w:hAnsi="宋体" w:eastAsia="宋体" w:cs="宋体"/>
                <w:b w:val="0"/>
                <w:i w:val="0"/>
                <w:color w:val="000000"/>
                <w:sz w:val="19"/>
              </w:rPr>
              <w:t>0.54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0.54</w:t>
            </w:r>
          </w:p>
        </w:tc>
        <w:tc>
          <w:tcPr>
            <w:tcW w:w="1600" w:type="dxa"/>
            <w:vAlign w:val="center"/>
          </w:tcPr>
          <w:p>
            <w:pPr>
              <w:jc w:val="right"/>
            </w:pPr>
            <w:r>
              <w:rPr>
                <w:rFonts w:ascii="宋体" w:hAnsi="宋体" w:eastAsia="宋体" w:cs="宋体"/>
                <w:b w:val="0"/>
                <w:i w:val="0"/>
                <w:color w:val="000000"/>
                <w:sz w:val="19"/>
              </w:rPr>
              <w:t>0.54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4.39</w:t>
            </w:r>
          </w:p>
        </w:tc>
        <w:tc>
          <w:tcPr>
            <w:tcW w:w="1600" w:type="dxa"/>
            <w:vAlign w:val="center"/>
          </w:tcPr>
          <w:p>
            <w:pPr>
              <w:jc w:val="right"/>
            </w:pPr>
            <w:r>
              <w:rPr>
                <w:rFonts w:ascii="宋体" w:hAnsi="宋体" w:eastAsia="宋体" w:cs="宋体"/>
                <w:b w:val="0"/>
                <w:i w:val="0"/>
                <w:color w:val="000000"/>
                <w:sz w:val="19"/>
              </w:rPr>
              <w:t>4.39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4.39</w:t>
            </w:r>
          </w:p>
        </w:tc>
        <w:tc>
          <w:tcPr>
            <w:tcW w:w="1600" w:type="dxa"/>
            <w:vAlign w:val="center"/>
          </w:tcPr>
          <w:p>
            <w:pPr>
              <w:jc w:val="right"/>
            </w:pPr>
            <w:r>
              <w:rPr>
                <w:rFonts w:ascii="宋体" w:hAnsi="宋体" w:eastAsia="宋体" w:cs="宋体"/>
                <w:b w:val="0"/>
                <w:i w:val="0"/>
                <w:color w:val="000000"/>
                <w:sz w:val="19"/>
              </w:rPr>
              <w:t>4.39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25.14</w:t>
            </w:r>
          </w:p>
        </w:tc>
        <w:tc>
          <w:tcPr>
            <w:tcW w:w="1600" w:type="dxa"/>
            <w:vAlign w:val="center"/>
          </w:tcPr>
          <w:p>
            <w:pPr>
              <w:jc w:val="right"/>
            </w:pPr>
            <w:r>
              <w:rPr>
                <w:rFonts w:ascii="宋体" w:hAnsi="宋体" w:eastAsia="宋体" w:cs="宋体"/>
                <w:b w:val="0"/>
                <w:i w:val="0"/>
                <w:color w:val="000000"/>
                <w:sz w:val="19"/>
              </w:rPr>
              <w:t>25.14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25.14</w:t>
            </w:r>
          </w:p>
        </w:tc>
        <w:tc>
          <w:tcPr>
            <w:tcW w:w="1600" w:type="dxa"/>
            <w:vAlign w:val="center"/>
          </w:tcPr>
          <w:p>
            <w:pPr>
              <w:jc w:val="right"/>
            </w:pPr>
            <w:r>
              <w:rPr>
                <w:rFonts w:ascii="宋体" w:hAnsi="宋体" w:eastAsia="宋体" w:cs="宋体"/>
                <w:b w:val="0"/>
                <w:i w:val="0"/>
                <w:color w:val="000000"/>
                <w:sz w:val="19"/>
              </w:rPr>
              <w:t>25.14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20.95</w:t>
            </w:r>
          </w:p>
        </w:tc>
        <w:tc>
          <w:tcPr>
            <w:tcW w:w="1600" w:type="dxa"/>
            <w:vAlign w:val="center"/>
          </w:tcPr>
          <w:p>
            <w:pPr>
              <w:jc w:val="right"/>
            </w:pPr>
            <w:r>
              <w:rPr>
                <w:rFonts w:ascii="宋体" w:hAnsi="宋体" w:eastAsia="宋体" w:cs="宋体"/>
                <w:b w:val="0"/>
                <w:i w:val="0"/>
                <w:color w:val="000000"/>
                <w:sz w:val="19"/>
              </w:rPr>
              <w:t>20.95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4.19</w:t>
            </w:r>
          </w:p>
        </w:tc>
        <w:tc>
          <w:tcPr>
            <w:tcW w:w="1600" w:type="dxa"/>
            <w:vAlign w:val="center"/>
          </w:tcPr>
          <w:p>
            <w:pPr>
              <w:jc w:val="right"/>
            </w:pPr>
            <w:r>
              <w:rPr>
                <w:rFonts w:ascii="宋体" w:hAnsi="宋体" w:eastAsia="宋体" w:cs="宋体"/>
                <w:b w:val="0"/>
                <w:i w:val="0"/>
                <w:color w:val="000000"/>
                <w:sz w:val="19"/>
              </w:rPr>
              <w:t>4.19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3.66</w:t>
            </w:r>
          </w:p>
        </w:tc>
        <w:tc>
          <w:tcPr>
            <w:tcW w:w="1600" w:type="dxa"/>
            <w:vAlign w:val="center"/>
          </w:tcPr>
          <w:p>
            <w:pPr>
              <w:jc w:val="right"/>
            </w:pPr>
            <w:r>
              <w:rPr>
                <w:rFonts w:ascii="宋体" w:hAnsi="宋体" w:eastAsia="宋体" w:cs="宋体"/>
                <w:b w:val="0"/>
                <w:i w:val="0"/>
                <w:color w:val="000000"/>
                <w:sz w:val="19"/>
              </w:rPr>
              <w:t>3.66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3.66</w:t>
            </w:r>
          </w:p>
        </w:tc>
        <w:tc>
          <w:tcPr>
            <w:tcW w:w="1600" w:type="dxa"/>
            <w:vAlign w:val="center"/>
          </w:tcPr>
          <w:p>
            <w:pPr>
              <w:jc w:val="right"/>
            </w:pPr>
            <w:r>
              <w:rPr>
                <w:rFonts w:ascii="宋体" w:hAnsi="宋体" w:eastAsia="宋体" w:cs="宋体"/>
                <w:b w:val="0"/>
                <w:i w:val="0"/>
                <w:color w:val="000000"/>
                <w:sz w:val="19"/>
              </w:rPr>
              <w:t>3.66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1.74</w:t>
            </w:r>
          </w:p>
        </w:tc>
        <w:tc>
          <w:tcPr>
            <w:tcW w:w="1600" w:type="dxa"/>
            <w:vAlign w:val="center"/>
          </w:tcPr>
          <w:p>
            <w:pPr>
              <w:jc w:val="right"/>
            </w:pPr>
            <w:r>
              <w:rPr>
                <w:rFonts w:ascii="宋体" w:hAnsi="宋体" w:eastAsia="宋体" w:cs="宋体"/>
                <w:b w:val="0"/>
                <w:i w:val="0"/>
                <w:color w:val="000000"/>
                <w:sz w:val="19"/>
              </w:rPr>
              <w:t>1.74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1.93</w:t>
            </w:r>
          </w:p>
        </w:tc>
        <w:tc>
          <w:tcPr>
            <w:tcW w:w="1600" w:type="dxa"/>
            <w:vAlign w:val="center"/>
          </w:tcPr>
          <w:p>
            <w:pPr>
              <w:jc w:val="right"/>
            </w:pPr>
            <w:r>
              <w:rPr>
                <w:rFonts w:ascii="宋体" w:hAnsi="宋体" w:eastAsia="宋体" w:cs="宋体"/>
                <w:b w:val="0"/>
                <w:i w:val="0"/>
                <w:color w:val="000000"/>
                <w:sz w:val="19"/>
              </w:rPr>
              <w:t>1.93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w:t>
            </w:r>
          </w:p>
        </w:tc>
        <w:tc>
          <w:tcPr>
            <w:tcW w:w="3480" w:type="dxa"/>
            <w:vAlign w:val="center"/>
          </w:tcPr>
          <w:p>
            <w:pPr>
              <w:jc w:val="left"/>
            </w:pPr>
            <w:r>
              <w:rPr>
                <w:rFonts w:ascii="宋体" w:hAnsi="宋体" w:eastAsia="宋体" w:cs="宋体"/>
                <w:b w:val="0"/>
                <w:i w:val="0"/>
                <w:color w:val="000000"/>
                <w:sz w:val="19"/>
              </w:rPr>
              <w:t>商业服务业等支出</w:t>
            </w:r>
          </w:p>
        </w:tc>
        <w:tc>
          <w:tcPr>
            <w:tcW w:w="1600" w:type="dxa"/>
            <w:vAlign w:val="center"/>
          </w:tcPr>
          <w:p>
            <w:pPr>
              <w:jc w:val="right"/>
            </w:pPr>
            <w:r>
              <w:rPr>
                <w:rFonts w:ascii="宋体" w:hAnsi="宋体" w:eastAsia="宋体" w:cs="宋体"/>
                <w:b w:val="0"/>
                <w:i w:val="0"/>
                <w:color w:val="000000"/>
                <w:sz w:val="19"/>
              </w:rPr>
              <w:t>6.39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6.39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21602</w:t>
            </w:r>
          </w:p>
        </w:tc>
        <w:tc>
          <w:tcPr>
            <w:tcW w:w="3480" w:type="dxa"/>
            <w:vAlign w:val="center"/>
          </w:tcPr>
          <w:p>
            <w:pPr>
              <w:jc w:val="left"/>
            </w:pPr>
            <w:r>
              <w:rPr>
                <w:rFonts w:ascii="宋体" w:hAnsi="宋体" w:eastAsia="宋体" w:cs="宋体"/>
                <w:b w:val="0"/>
                <w:i w:val="0"/>
                <w:color w:val="000000"/>
                <w:sz w:val="19"/>
              </w:rPr>
              <w:t>商业流通事务</w:t>
            </w:r>
          </w:p>
        </w:tc>
        <w:tc>
          <w:tcPr>
            <w:tcW w:w="1600" w:type="dxa"/>
            <w:vAlign w:val="center"/>
          </w:tcPr>
          <w:p>
            <w:pPr>
              <w:jc w:val="right"/>
            </w:pPr>
            <w:r>
              <w:rPr>
                <w:rFonts w:ascii="宋体" w:hAnsi="宋体" w:eastAsia="宋体" w:cs="宋体"/>
                <w:b w:val="0"/>
                <w:i w:val="0"/>
                <w:color w:val="000000"/>
                <w:sz w:val="19"/>
              </w:rPr>
              <w:t>6.39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6.39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2160202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6.39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6.39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4.03</w:t>
            </w:r>
          </w:p>
        </w:tc>
        <w:tc>
          <w:tcPr>
            <w:tcW w:w="1600" w:type="dxa"/>
            <w:vAlign w:val="center"/>
          </w:tcPr>
          <w:p>
            <w:pPr>
              <w:jc w:val="right"/>
            </w:pPr>
            <w:r>
              <w:rPr>
                <w:rFonts w:ascii="宋体" w:hAnsi="宋体" w:eastAsia="宋体" w:cs="宋体"/>
                <w:b w:val="0"/>
                <w:i w:val="0"/>
                <w:color w:val="000000"/>
                <w:sz w:val="19"/>
              </w:rPr>
              <w:t>4.03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4.03</w:t>
            </w:r>
          </w:p>
        </w:tc>
        <w:tc>
          <w:tcPr>
            <w:tcW w:w="1600" w:type="dxa"/>
            <w:vAlign w:val="center"/>
          </w:tcPr>
          <w:p>
            <w:pPr>
              <w:jc w:val="right"/>
            </w:pPr>
            <w:r>
              <w:rPr>
                <w:rFonts w:ascii="宋体" w:hAnsi="宋体" w:eastAsia="宋体" w:cs="宋体"/>
                <w:b w:val="0"/>
                <w:i w:val="0"/>
                <w:color w:val="000000"/>
                <w:sz w:val="19"/>
              </w:rPr>
              <w:t>4.03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4.03</w:t>
            </w:r>
          </w:p>
        </w:tc>
        <w:tc>
          <w:tcPr>
            <w:tcW w:w="1600" w:type="dxa"/>
            <w:vAlign w:val="center"/>
          </w:tcPr>
          <w:p>
            <w:pPr>
              <w:jc w:val="right"/>
            </w:pPr>
            <w:r>
              <w:rPr>
                <w:rFonts w:ascii="宋体" w:hAnsi="宋体" w:eastAsia="宋体" w:cs="宋体"/>
                <w:b w:val="0"/>
                <w:i w:val="0"/>
                <w:color w:val="000000"/>
                <w:sz w:val="19"/>
              </w:rPr>
              <w:t>4.03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单位：中国国际贸易促进委员会河南省分会许昌支会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104.87</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72.03</w:t>
            </w:r>
          </w:p>
        </w:tc>
        <w:tc>
          <w:tcPr>
            <w:tcW w:w="1420" w:type="dxa"/>
            <w:vAlign w:val="center"/>
          </w:tcPr>
          <w:p>
            <w:pPr>
              <w:jc w:val="right"/>
            </w:pPr>
            <w:r>
              <w:rPr>
                <w:rFonts w:ascii="宋体" w:hAnsi="宋体" w:eastAsia="宋体" w:cs="宋体"/>
                <w:b w:val="0"/>
                <w:i w:val="0"/>
                <w:color w:val="000000"/>
                <w:sz w:val="18"/>
              </w:rPr>
              <w:t>72.03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25.14</w:t>
            </w:r>
          </w:p>
        </w:tc>
        <w:tc>
          <w:tcPr>
            <w:tcW w:w="1420" w:type="dxa"/>
            <w:vAlign w:val="center"/>
          </w:tcPr>
          <w:p>
            <w:pPr>
              <w:jc w:val="right"/>
            </w:pPr>
            <w:r>
              <w:rPr>
                <w:rFonts w:ascii="宋体" w:hAnsi="宋体" w:eastAsia="宋体" w:cs="宋体"/>
                <w:b w:val="0"/>
                <w:i w:val="0"/>
                <w:color w:val="000000"/>
                <w:sz w:val="18"/>
              </w:rPr>
              <w:t>25.14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3.66</w:t>
            </w:r>
          </w:p>
        </w:tc>
        <w:tc>
          <w:tcPr>
            <w:tcW w:w="1420" w:type="dxa"/>
            <w:vAlign w:val="center"/>
          </w:tcPr>
          <w:p>
            <w:pPr>
              <w:jc w:val="right"/>
            </w:pPr>
            <w:r>
              <w:rPr>
                <w:rFonts w:ascii="宋体" w:hAnsi="宋体" w:eastAsia="宋体" w:cs="宋体"/>
                <w:b w:val="0"/>
                <w:i w:val="0"/>
                <w:color w:val="000000"/>
                <w:sz w:val="18"/>
              </w:rPr>
              <w:t>3.66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6.39</w:t>
            </w:r>
          </w:p>
        </w:tc>
        <w:tc>
          <w:tcPr>
            <w:tcW w:w="1420" w:type="dxa"/>
            <w:vAlign w:val="center"/>
          </w:tcPr>
          <w:p>
            <w:pPr>
              <w:jc w:val="right"/>
            </w:pPr>
            <w:r>
              <w:rPr>
                <w:rFonts w:ascii="宋体" w:hAnsi="宋体" w:eastAsia="宋体" w:cs="宋体"/>
                <w:b w:val="0"/>
                <w:i w:val="0"/>
                <w:color w:val="000000"/>
                <w:sz w:val="18"/>
              </w:rPr>
              <w:t>6.39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4.03</w:t>
            </w:r>
          </w:p>
        </w:tc>
        <w:tc>
          <w:tcPr>
            <w:tcW w:w="1420" w:type="dxa"/>
            <w:vAlign w:val="center"/>
          </w:tcPr>
          <w:p>
            <w:pPr>
              <w:jc w:val="right"/>
            </w:pPr>
            <w:r>
              <w:rPr>
                <w:rFonts w:ascii="宋体" w:hAnsi="宋体" w:eastAsia="宋体" w:cs="宋体"/>
                <w:b w:val="0"/>
                <w:i w:val="0"/>
                <w:color w:val="000000"/>
                <w:sz w:val="18"/>
              </w:rPr>
              <w:t>4.03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104.87</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111.26</w:t>
            </w:r>
          </w:p>
        </w:tc>
        <w:tc>
          <w:tcPr>
            <w:tcW w:w="1420" w:type="dxa"/>
            <w:vAlign w:val="center"/>
          </w:tcPr>
          <w:p>
            <w:pPr>
              <w:jc w:val="right"/>
            </w:pPr>
            <w:r>
              <w:rPr>
                <w:rFonts w:ascii="宋体" w:hAnsi="宋体" w:eastAsia="宋体" w:cs="宋体"/>
                <w:b w:val="0"/>
                <w:i w:val="0"/>
                <w:color w:val="000000"/>
                <w:sz w:val="18"/>
              </w:rPr>
              <w:t>111.26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6.39</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6.39</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111.26</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111.26</w:t>
            </w:r>
          </w:p>
        </w:tc>
        <w:tc>
          <w:tcPr>
            <w:tcW w:w="1420" w:type="dxa"/>
            <w:vAlign w:val="center"/>
          </w:tcPr>
          <w:p>
            <w:pPr>
              <w:jc w:val="right"/>
            </w:pPr>
            <w:r>
              <w:rPr>
                <w:rFonts w:ascii="宋体" w:hAnsi="宋体" w:eastAsia="宋体" w:cs="宋体"/>
                <w:b w:val="0"/>
                <w:i w:val="0"/>
                <w:color w:val="000000"/>
                <w:sz w:val="18"/>
              </w:rPr>
              <w:t>111.26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单位：中国国际贸易促进委员会河南省分会许昌支会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111.26</w:t>
            </w:r>
          </w:p>
        </w:tc>
        <w:tc>
          <w:tcPr>
            <w:tcW w:w="2700" w:type="dxa"/>
            <w:vAlign w:val="center"/>
          </w:tcPr>
          <w:p>
            <w:pPr>
              <w:jc w:val="right"/>
            </w:pPr>
            <w:r>
              <w:rPr>
                <w:rFonts w:ascii="宋体" w:hAnsi="宋体" w:eastAsia="宋体" w:cs="宋体"/>
                <w:b/>
                <w:i w:val="0"/>
                <w:color w:val="000000"/>
                <w:sz w:val="25"/>
              </w:rPr>
              <w:t>104.87</w:t>
            </w:r>
          </w:p>
        </w:tc>
        <w:tc>
          <w:tcPr>
            <w:tcW w:w="2658" w:type="dxa"/>
            <w:vAlign w:val="center"/>
          </w:tcPr>
          <w:p>
            <w:pPr>
              <w:jc w:val="right"/>
            </w:pPr>
            <w:r>
              <w:rPr>
                <w:rFonts w:ascii="宋体" w:hAnsi="宋体" w:eastAsia="宋体" w:cs="宋体"/>
                <w:b/>
                <w:i w:val="0"/>
                <w:color w:val="000000"/>
                <w:sz w:val="25"/>
              </w:rPr>
              <w:t>6.39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72.03</w:t>
            </w:r>
          </w:p>
        </w:tc>
        <w:tc>
          <w:tcPr>
            <w:tcW w:w="2700" w:type="dxa"/>
            <w:vAlign w:val="center"/>
          </w:tcPr>
          <w:p>
            <w:pPr>
              <w:jc w:val="right"/>
            </w:pPr>
            <w:r>
              <w:rPr>
                <w:rFonts w:ascii="宋体" w:hAnsi="宋体" w:eastAsia="宋体" w:cs="宋体"/>
                <w:b w:val="0"/>
                <w:i w:val="0"/>
                <w:color w:val="000000"/>
                <w:sz w:val="25"/>
              </w:rPr>
              <w:t>72.03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20113</w:t>
            </w:r>
          </w:p>
        </w:tc>
        <w:tc>
          <w:tcPr>
            <w:tcW w:w="4700" w:type="dxa"/>
            <w:vAlign w:val="center"/>
          </w:tcPr>
          <w:p>
            <w:pPr>
              <w:jc w:val="left"/>
            </w:pPr>
            <w:r>
              <w:rPr>
                <w:rFonts w:ascii="宋体" w:hAnsi="宋体" w:eastAsia="宋体" w:cs="宋体"/>
                <w:b w:val="0"/>
                <w:i w:val="0"/>
                <w:color w:val="000000"/>
                <w:sz w:val="25"/>
              </w:rPr>
              <w:t>商贸事务</w:t>
            </w:r>
          </w:p>
        </w:tc>
        <w:tc>
          <w:tcPr>
            <w:tcW w:w="2700" w:type="dxa"/>
            <w:vAlign w:val="center"/>
          </w:tcPr>
          <w:p>
            <w:pPr>
              <w:jc w:val="right"/>
            </w:pPr>
            <w:r>
              <w:rPr>
                <w:rFonts w:ascii="宋体" w:hAnsi="宋体" w:eastAsia="宋体" w:cs="宋体"/>
                <w:b w:val="0"/>
                <w:i w:val="0"/>
                <w:color w:val="000000"/>
                <w:sz w:val="25"/>
              </w:rPr>
              <w:t>67.10</w:t>
            </w:r>
          </w:p>
        </w:tc>
        <w:tc>
          <w:tcPr>
            <w:tcW w:w="2700" w:type="dxa"/>
            <w:vAlign w:val="center"/>
          </w:tcPr>
          <w:p>
            <w:pPr>
              <w:jc w:val="right"/>
            </w:pPr>
            <w:r>
              <w:rPr>
                <w:rFonts w:ascii="宋体" w:hAnsi="宋体" w:eastAsia="宋体" w:cs="宋体"/>
                <w:b w:val="0"/>
                <w:i w:val="0"/>
                <w:color w:val="000000"/>
                <w:sz w:val="25"/>
              </w:rPr>
              <w:t>67.10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67.10</w:t>
            </w:r>
          </w:p>
        </w:tc>
        <w:tc>
          <w:tcPr>
            <w:tcW w:w="2700" w:type="dxa"/>
            <w:vAlign w:val="center"/>
          </w:tcPr>
          <w:p>
            <w:pPr>
              <w:jc w:val="right"/>
            </w:pPr>
            <w:r>
              <w:rPr>
                <w:rFonts w:ascii="宋体" w:hAnsi="宋体" w:eastAsia="宋体" w:cs="宋体"/>
                <w:b w:val="0"/>
                <w:i w:val="0"/>
                <w:color w:val="000000"/>
                <w:sz w:val="25"/>
              </w:rPr>
              <w:t>67.10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0.54</w:t>
            </w:r>
          </w:p>
        </w:tc>
        <w:tc>
          <w:tcPr>
            <w:tcW w:w="2700" w:type="dxa"/>
            <w:vAlign w:val="center"/>
          </w:tcPr>
          <w:p>
            <w:pPr>
              <w:jc w:val="right"/>
            </w:pPr>
            <w:r>
              <w:rPr>
                <w:rFonts w:ascii="宋体" w:hAnsi="宋体" w:eastAsia="宋体" w:cs="宋体"/>
                <w:b w:val="0"/>
                <w:i w:val="0"/>
                <w:color w:val="000000"/>
                <w:sz w:val="25"/>
              </w:rPr>
              <w:t>0.54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0.54</w:t>
            </w:r>
          </w:p>
        </w:tc>
        <w:tc>
          <w:tcPr>
            <w:tcW w:w="2700" w:type="dxa"/>
            <w:vAlign w:val="center"/>
          </w:tcPr>
          <w:p>
            <w:pPr>
              <w:jc w:val="right"/>
            </w:pPr>
            <w:r>
              <w:rPr>
                <w:rFonts w:ascii="宋体" w:hAnsi="宋体" w:eastAsia="宋体" w:cs="宋体"/>
                <w:b w:val="0"/>
                <w:i w:val="0"/>
                <w:color w:val="000000"/>
                <w:sz w:val="25"/>
              </w:rPr>
              <w:t>0.54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4.39</w:t>
            </w:r>
          </w:p>
        </w:tc>
        <w:tc>
          <w:tcPr>
            <w:tcW w:w="2700" w:type="dxa"/>
            <w:vAlign w:val="center"/>
          </w:tcPr>
          <w:p>
            <w:pPr>
              <w:jc w:val="right"/>
            </w:pPr>
            <w:r>
              <w:rPr>
                <w:rFonts w:ascii="宋体" w:hAnsi="宋体" w:eastAsia="宋体" w:cs="宋体"/>
                <w:b w:val="0"/>
                <w:i w:val="0"/>
                <w:color w:val="000000"/>
                <w:sz w:val="25"/>
              </w:rPr>
              <w:t>4.39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4.39</w:t>
            </w:r>
          </w:p>
        </w:tc>
        <w:tc>
          <w:tcPr>
            <w:tcW w:w="2700" w:type="dxa"/>
            <w:vAlign w:val="center"/>
          </w:tcPr>
          <w:p>
            <w:pPr>
              <w:jc w:val="right"/>
            </w:pPr>
            <w:r>
              <w:rPr>
                <w:rFonts w:ascii="宋体" w:hAnsi="宋体" w:eastAsia="宋体" w:cs="宋体"/>
                <w:b w:val="0"/>
                <w:i w:val="0"/>
                <w:color w:val="000000"/>
                <w:sz w:val="25"/>
              </w:rPr>
              <w:t>4.39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25.14</w:t>
            </w:r>
          </w:p>
        </w:tc>
        <w:tc>
          <w:tcPr>
            <w:tcW w:w="2700" w:type="dxa"/>
            <w:vAlign w:val="center"/>
          </w:tcPr>
          <w:p>
            <w:pPr>
              <w:jc w:val="right"/>
            </w:pPr>
            <w:r>
              <w:rPr>
                <w:rFonts w:ascii="宋体" w:hAnsi="宋体" w:eastAsia="宋体" w:cs="宋体"/>
                <w:b w:val="0"/>
                <w:i w:val="0"/>
                <w:color w:val="000000"/>
                <w:sz w:val="25"/>
              </w:rPr>
              <w:t>25.14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25.14</w:t>
            </w:r>
          </w:p>
        </w:tc>
        <w:tc>
          <w:tcPr>
            <w:tcW w:w="2700" w:type="dxa"/>
            <w:vAlign w:val="center"/>
          </w:tcPr>
          <w:p>
            <w:pPr>
              <w:jc w:val="right"/>
            </w:pPr>
            <w:r>
              <w:rPr>
                <w:rFonts w:ascii="宋体" w:hAnsi="宋体" w:eastAsia="宋体" w:cs="宋体"/>
                <w:b w:val="0"/>
                <w:i w:val="0"/>
                <w:color w:val="000000"/>
                <w:sz w:val="25"/>
              </w:rPr>
              <w:t>25.14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20.95</w:t>
            </w:r>
          </w:p>
        </w:tc>
        <w:tc>
          <w:tcPr>
            <w:tcW w:w="2700" w:type="dxa"/>
            <w:vAlign w:val="center"/>
          </w:tcPr>
          <w:p>
            <w:pPr>
              <w:jc w:val="right"/>
            </w:pPr>
            <w:r>
              <w:rPr>
                <w:rFonts w:ascii="宋体" w:hAnsi="宋体" w:eastAsia="宋体" w:cs="宋体"/>
                <w:b w:val="0"/>
                <w:i w:val="0"/>
                <w:color w:val="000000"/>
                <w:sz w:val="25"/>
              </w:rPr>
              <w:t>20.95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4.19</w:t>
            </w:r>
          </w:p>
        </w:tc>
        <w:tc>
          <w:tcPr>
            <w:tcW w:w="2700" w:type="dxa"/>
            <w:vAlign w:val="center"/>
          </w:tcPr>
          <w:p>
            <w:pPr>
              <w:jc w:val="right"/>
            </w:pPr>
            <w:r>
              <w:rPr>
                <w:rFonts w:ascii="宋体" w:hAnsi="宋体" w:eastAsia="宋体" w:cs="宋体"/>
                <w:b w:val="0"/>
                <w:i w:val="0"/>
                <w:color w:val="000000"/>
                <w:sz w:val="25"/>
              </w:rPr>
              <w:t>4.19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3.66</w:t>
            </w:r>
          </w:p>
        </w:tc>
        <w:tc>
          <w:tcPr>
            <w:tcW w:w="2700" w:type="dxa"/>
            <w:vAlign w:val="center"/>
          </w:tcPr>
          <w:p>
            <w:pPr>
              <w:jc w:val="right"/>
            </w:pPr>
            <w:r>
              <w:rPr>
                <w:rFonts w:ascii="宋体" w:hAnsi="宋体" w:eastAsia="宋体" w:cs="宋体"/>
                <w:b w:val="0"/>
                <w:i w:val="0"/>
                <w:color w:val="000000"/>
                <w:sz w:val="25"/>
              </w:rPr>
              <w:t>3.66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3.66</w:t>
            </w:r>
          </w:p>
        </w:tc>
        <w:tc>
          <w:tcPr>
            <w:tcW w:w="2700" w:type="dxa"/>
            <w:vAlign w:val="center"/>
          </w:tcPr>
          <w:p>
            <w:pPr>
              <w:jc w:val="right"/>
            </w:pPr>
            <w:r>
              <w:rPr>
                <w:rFonts w:ascii="宋体" w:hAnsi="宋体" w:eastAsia="宋体" w:cs="宋体"/>
                <w:b w:val="0"/>
                <w:i w:val="0"/>
                <w:color w:val="000000"/>
                <w:sz w:val="25"/>
              </w:rPr>
              <w:t>3.66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1.74</w:t>
            </w:r>
          </w:p>
        </w:tc>
        <w:tc>
          <w:tcPr>
            <w:tcW w:w="2700" w:type="dxa"/>
            <w:vAlign w:val="center"/>
          </w:tcPr>
          <w:p>
            <w:pPr>
              <w:jc w:val="right"/>
            </w:pPr>
            <w:r>
              <w:rPr>
                <w:rFonts w:ascii="宋体" w:hAnsi="宋体" w:eastAsia="宋体" w:cs="宋体"/>
                <w:b w:val="0"/>
                <w:i w:val="0"/>
                <w:color w:val="000000"/>
                <w:sz w:val="25"/>
              </w:rPr>
              <w:t>1.74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1.93</w:t>
            </w:r>
          </w:p>
        </w:tc>
        <w:tc>
          <w:tcPr>
            <w:tcW w:w="2700" w:type="dxa"/>
            <w:vAlign w:val="center"/>
          </w:tcPr>
          <w:p>
            <w:pPr>
              <w:jc w:val="right"/>
            </w:pPr>
            <w:r>
              <w:rPr>
                <w:rFonts w:ascii="宋体" w:hAnsi="宋体" w:eastAsia="宋体" w:cs="宋体"/>
                <w:b w:val="0"/>
                <w:i w:val="0"/>
                <w:color w:val="000000"/>
                <w:sz w:val="25"/>
              </w:rPr>
              <w:t>1.93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w:t>
            </w:r>
          </w:p>
        </w:tc>
        <w:tc>
          <w:tcPr>
            <w:tcW w:w="4700" w:type="dxa"/>
            <w:vAlign w:val="center"/>
          </w:tcPr>
          <w:p>
            <w:pPr>
              <w:jc w:val="left"/>
            </w:pPr>
            <w:r>
              <w:rPr>
                <w:rFonts w:ascii="宋体" w:hAnsi="宋体" w:eastAsia="宋体" w:cs="宋体"/>
                <w:b w:val="0"/>
                <w:i w:val="0"/>
                <w:color w:val="000000"/>
                <w:sz w:val="25"/>
              </w:rPr>
              <w:t>商业服务业等支出</w:t>
            </w:r>
          </w:p>
        </w:tc>
        <w:tc>
          <w:tcPr>
            <w:tcW w:w="2700" w:type="dxa"/>
            <w:vAlign w:val="center"/>
          </w:tcPr>
          <w:p>
            <w:pPr>
              <w:jc w:val="right"/>
            </w:pPr>
            <w:r>
              <w:rPr>
                <w:rFonts w:ascii="宋体" w:hAnsi="宋体" w:eastAsia="宋体" w:cs="宋体"/>
                <w:b w:val="0"/>
                <w:i w:val="0"/>
                <w:color w:val="000000"/>
                <w:sz w:val="25"/>
              </w:rPr>
              <w:t>6.39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6.39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21602</w:t>
            </w:r>
          </w:p>
        </w:tc>
        <w:tc>
          <w:tcPr>
            <w:tcW w:w="4700" w:type="dxa"/>
            <w:vAlign w:val="center"/>
          </w:tcPr>
          <w:p>
            <w:pPr>
              <w:jc w:val="left"/>
            </w:pPr>
            <w:r>
              <w:rPr>
                <w:rFonts w:ascii="宋体" w:hAnsi="宋体" w:eastAsia="宋体" w:cs="宋体"/>
                <w:b w:val="0"/>
                <w:i w:val="0"/>
                <w:color w:val="000000"/>
                <w:sz w:val="25"/>
              </w:rPr>
              <w:t>商业流通事务</w:t>
            </w:r>
          </w:p>
        </w:tc>
        <w:tc>
          <w:tcPr>
            <w:tcW w:w="2700" w:type="dxa"/>
            <w:vAlign w:val="center"/>
          </w:tcPr>
          <w:p>
            <w:pPr>
              <w:jc w:val="right"/>
            </w:pPr>
            <w:r>
              <w:rPr>
                <w:rFonts w:ascii="宋体" w:hAnsi="宋体" w:eastAsia="宋体" w:cs="宋体"/>
                <w:b w:val="0"/>
                <w:i w:val="0"/>
                <w:color w:val="000000"/>
                <w:sz w:val="25"/>
              </w:rPr>
              <w:t>6.39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6.39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2160202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6.39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6.39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4.03</w:t>
            </w:r>
          </w:p>
        </w:tc>
        <w:tc>
          <w:tcPr>
            <w:tcW w:w="2700" w:type="dxa"/>
            <w:vAlign w:val="center"/>
          </w:tcPr>
          <w:p>
            <w:pPr>
              <w:jc w:val="right"/>
            </w:pPr>
            <w:r>
              <w:rPr>
                <w:rFonts w:ascii="宋体" w:hAnsi="宋体" w:eastAsia="宋体" w:cs="宋体"/>
                <w:b w:val="0"/>
                <w:i w:val="0"/>
                <w:color w:val="000000"/>
                <w:sz w:val="25"/>
              </w:rPr>
              <w:t>4.03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4.03</w:t>
            </w:r>
          </w:p>
        </w:tc>
        <w:tc>
          <w:tcPr>
            <w:tcW w:w="2700" w:type="dxa"/>
            <w:vAlign w:val="center"/>
          </w:tcPr>
          <w:p>
            <w:pPr>
              <w:jc w:val="right"/>
            </w:pPr>
            <w:r>
              <w:rPr>
                <w:rFonts w:ascii="宋体" w:hAnsi="宋体" w:eastAsia="宋体" w:cs="宋体"/>
                <w:b w:val="0"/>
                <w:i w:val="0"/>
                <w:color w:val="000000"/>
                <w:sz w:val="25"/>
              </w:rPr>
              <w:t>4.03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4.03</w:t>
            </w:r>
          </w:p>
        </w:tc>
        <w:tc>
          <w:tcPr>
            <w:tcW w:w="2700" w:type="dxa"/>
            <w:vAlign w:val="center"/>
          </w:tcPr>
          <w:p>
            <w:pPr>
              <w:jc w:val="right"/>
            </w:pPr>
            <w:r>
              <w:rPr>
                <w:rFonts w:ascii="宋体" w:hAnsi="宋体" w:eastAsia="宋体" w:cs="宋体"/>
                <w:b w:val="0"/>
                <w:i w:val="0"/>
                <w:color w:val="000000"/>
                <w:sz w:val="25"/>
              </w:rPr>
              <w:t>4.03</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单位：中国国际贸易促进委员会河南省分会许昌支会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77.21</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6.70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11.81</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1.60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22.53</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28.17</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3.98</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0.22</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1.74</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1.93</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0.66</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4.03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2.97</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20.95</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20.95</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0.36</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0.54</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0.55</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2.77</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98.16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6.70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单位：中国国际贸易促进委员会河南省分会许昌支会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单位：中国国际贸易促进委员会河南省分会许昌支会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单位：中国国际贸易促进委员会河南省分会许昌支会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right"/>
            </w:pPr>
            <w:r>
              <w:rPr>
                <w:rFonts w:ascii="宋体" w:hAnsi="宋体" w:eastAsia="宋体" w:cs="宋体"/>
                <w:b w:val="0"/>
                <w:i w:val="0"/>
                <w:color w:val="000000"/>
                <w:sz w:val="17"/>
              </w:rPr>
              <w:t>6.39</w:t>
            </w:r>
          </w:p>
        </w:tc>
        <w:tc>
          <w:tcPr>
            <w:tcW w:w="1160" w:type="dxa"/>
            <w:vAlign w:val="center"/>
          </w:tcPr>
          <w:p>
            <w:pPr>
              <w:jc w:val="right"/>
            </w:pPr>
            <w:r>
              <w:rPr>
                <w:rFonts w:ascii="宋体" w:hAnsi="宋体" w:eastAsia="宋体" w:cs="宋体"/>
                <w:b w:val="0"/>
                <w:i w:val="0"/>
                <w:color w:val="000000"/>
                <w:sz w:val="17"/>
              </w:rPr>
              <w:t>6.39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6.39</w:t>
            </w:r>
          </w:p>
        </w:tc>
        <w:tc>
          <w:tcPr>
            <w:tcW w:w="1160" w:type="dxa"/>
            <w:vAlign w:val="center"/>
          </w:tcPr>
          <w:p>
            <w:pPr>
              <w:jc w:val="right"/>
            </w:pPr>
            <w:r>
              <w:rPr>
                <w:rFonts w:ascii="宋体" w:hAnsi="宋体" w:eastAsia="宋体" w:cs="宋体"/>
                <w:b w:val="0"/>
                <w:i w:val="0"/>
                <w:color w:val="000000"/>
                <w:sz w:val="17"/>
              </w:rPr>
              <w:t>6.39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2023年度收、支总计均为111.26万元。与上年度相比，收、支总计各减少5.54万元，下降4.74%。主要原因是人员正常变动。</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104.87万元，其中：财政拨款收入104.87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2023年度支出合计111.26万元，其中：基本支出104.87万元，占94.26%；项目支出6.39万元，占5.74%；上缴上级支出0.00万元，占0.00%；经营支出0.00万元，占0.00%；对附属单位补助支出0.00万元，占0.00%。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2023年度财政拨款收、支总计均为111.26万元。与上年度相比，财政拨款收、支总计各减少5.54万元，下降4.74%。主要原因是正常人员变动，人员经费收支相应减少。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2023年度一般公共预算财政拨款支出111.26万元，占支出合计的100.00%。与上年度相比，一般公共预算财政拨款支出减少5.54万元，下降4.74%。主要原因是正常人员变动，人员经费收支相应减少。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111.26万元，主要用于以下方面：一般公共服务支出（类）72.03万元，占64.74%；社会保障和就业支出（类）25.14万元，占22.60%；卫生健康支出（类）3.66万元，占3.29%；商业服务业等支出（类）6.39万元，占5.74%；住房保障支出（类）4.03万元，占3.63%。</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2023年度一般公共预算财政拨款支出年初预算为128.49万元，支出决算为111.26万元，完成年初预算的86.59%。其中：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1.一般公共服务支出（类）商贸事务（款）行政运行（项）</w:t>
      </w:r>
      <w:r>
        <w:rPr>
          <w:rFonts w:hint="default" w:ascii="仿宋" w:hAnsi="仿宋" w:eastAsia="仿宋" w:cs="仿宋"/>
          <w:kern w:val="2"/>
          <w:sz w:val="32"/>
          <w:szCs w:val="32"/>
          <w:lang w:val="en-US" w:eastAsia="zh-CN"/>
        </w:rPr>
        <w:t>年初预算数为89.61万元，决算数67.10万元</w:t>
      </w:r>
      <w:r>
        <w:rPr>
          <w:rFonts w:hint="default" w:ascii="仿宋" w:hAnsi="仿宋" w:eastAsia="仿宋" w:cs="仿宋"/>
          <w:kern w:val="2"/>
          <w:sz w:val="32"/>
          <w:szCs w:val="32"/>
          <w:lang w:val="en" w:eastAsia="zh-CN"/>
        </w:rPr>
        <w:t>，</w:t>
      </w:r>
      <w:r>
        <w:rPr>
          <w:rFonts w:hint="default" w:ascii="仿宋" w:hAnsi="仿宋" w:eastAsia="仿宋" w:cs="仿宋"/>
          <w:kern w:val="2"/>
          <w:sz w:val="32"/>
          <w:szCs w:val="32"/>
          <w:lang w:val="en-US" w:eastAsia="zh-CN"/>
        </w:rPr>
        <w:t>完成年初预算的74.88%，决算数与年初预算数存在差异的主要原因是在职转退休4人。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年初预算数为0.54万元，决算数0.54万元</w:t>
      </w:r>
      <w:r>
        <w:rPr>
          <w:rFonts w:hint="default" w:ascii="仿宋" w:hAnsi="仿宋" w:eastAsia="仿宋" w:cs="仿宋"/>
          <w:kern w:val="2"/>
          <w:sz w:val="32"/>
          <w:szCs w:val="32"/>
          <w:lang w:val="en"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年初预算数为0.00万元，决算数4.39万元</w:t>
      </w:r>
      <w:r>
        <w:rPr>
          <w:rFonts w:hint="default" w:ascii="仿宋" w:hAnsi="仿宋" w:eastAsia="仿宋" w:cs="仿宋"/>
          <w:kern w:val="2"/>
          <w:sz w:val="32"/>
          <w:szCs w:val="32"/>
          <w:lang w:val="en" w:eastAsia="zh-CN"/>
        </w:rPr>
        <w:t>，</w:t>
      </w:r>
      <w:r>
        <w:rPr>
          <w:rFonts w:hint="default" w:ascii="仿宋" w:hAnsi="仿宋" w:eastAsia="仿宋" w:cs="仿宋"/>
          <w:kern w:val="2"/>
          <w:sz w:val="32"/>
          <w:szCs w:val="32"/>
          <w:lang w:val="en-US" w:eastAsia="zh-CN"/>
        </w:rPr>
        <w:t>决算数与年初预算数存在差异的主要原因是年中追加人员经费。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4.社会保障和就业支出（类）行政事业单位养老支出（款）行政单位离退休（项）</w:t>
      </w:r>
      <w:r>
        <w:rPr>
          <w:rFonts w:hint="default" w:ascii="仿宋" w:hAnsi="仿宋" w:eastAsia="仿宋" w:cs="仿宋"/>
          <w:kern w:val="2"/>
          <w:sz w:val="32"/>
          <w:szCs w:val="32"/>
          <w:lang w:val="en-US" w:eastAsia="zh-CN"/>
        </w:rPr>
        <w:t>年初预算数为11.07万元，决算数20.95万元</w:t>
      </w:r>
      <w:r>
        <w:rPr>
          <w:rFonts w:hint="default" w:ascii="仿宋" w:hAnsi="仿宋" w:eastAsia="仿宋" w:cs="仿宋"/>
          <w:kern w:val="2"/>
          <w:sz w:val="32"/>
          <w:szCs w:val="32"/>
          <w:lang w:val="en" w:eastAsia="zh-CN"/>
        </w:rPr>
        <w:t>，</w:t>
      </w:r>
      <w:r>
        <w:rPr>
          <w:rFonts w:hint="default" w:ascii="仿宋" w:hAnsi="仿宋" w:eastAsia="仿宋" w:cs="仿宋"/>
          <w:kern w:val="2"/>
          <w:sz w:val="32"/>
          <w:szCs w:val="32"/>
          <w:lang w:val="en-US" w:eastAsia="zh-CN"/>
        </w:rPr>
        <w:t>完成年初预算的189.25%，决算数与年初预算数存在差异的主要原因是在职转退休4人，年中追加退休经费导致。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年初预算数为8.09万元，决算数4.19万元</w:t>
      </w:r>
      <w:r>
        <w:rPr>
          <w:rFonts w:hint="default" w:ascii="仿宋" w:hAnsi="仿宋" w:eastAsia="仿宋" w:cs="仿宋"/>
          <w:kern w:val="2"/>
          <w:sz w:val="32"/>
          <w:szCs w:val="32"/>
          <w:lang w:val="en" w:eastAsia="zh-CN"/>
        </w:rPr>
        <w:t>，</w:t>
      </w:r>
      <w:r>
        <w:rPr>
          <w:rFonts w:hint="default" w:ascii="仿宋" w:hAnsi="仿宋" w:eastAsia="仿宋" w:cs="仿宋"/>
          <w:kern w:val="2"/>
          <w:sz w:val="32"/>
          <w:szCs w:val="32"/>
          <w:lang w:val="en-US" w:eastAsia="zh-CN"/>
        </w:rPr>
        <w:t>完成年初预算的51.79%，决算数与年初预算数存在差异的主要原因是年中人员在职转退休，养老保险缴费减少。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6.卫生健康支出（类）行政事业单位医疗（款）行政单位医疗（项）</w:t>
      </w:r>
      <w:r>
        <w:rPr>
          <w:rFonts w:hint="default" w:ascii="仿宋" w:hAnsi="仿宋" w:eastAsia="仿宋" w:cs="仿宋"/>
          <w:kern w:val="2"/>
          <w:sz w:val="32"/>
          <w:szCs w:val="32"/>
          <w:lang w:val="en-US" w:eastAsia="zh-CN"/>
        </w:rPr>
        <w:t>年初预算数为3.19万元，决算数1.74万元</w:t>
      </w:r>
      <w:r>
        <w:rPr>
          <w:rFonts w:hint="default" w:ascii="仿宋" w:hAnsi="仿宋" w:eastAsia="仿宋" w:cs="仿宋"/>
          <w:kern w:val="2"/>
          <w:sz w:val="32"/>
          <w:szCs w:val="32"/>
          <w:lang w:val="en" w:eastAsia="zh-CN"/>
        </w:rPr>
        <w:t>，</w:t>
      </w:r>
      <w:r>
        <w:rPr>
          <w:rFonts w:hint="default" w:ascii="仿宋" w:hAnsi="仿宋" w:eastAsia="仿宋" w:cs="仿宋"/>
          <w:kern w:val="2"/>
          <w:sz w:val="32"/>
          <w:szCs w:val="32"/>
          <w:lang w:val="en-US" w:eastAsia="zh-CN"/>
        </w:rPr>
        <w:t>完成年初预算的54.55%，决算数与年初预算数存在差异的主要原因是年中人员在职转退休，医疗保险缴费减少。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7.卫生健康支出（类）行政事业单位医疗（款）公务员医疗补助（项）</w:t>
      </w:r>
      <w:r>
        <w:rPr>
          <w:rFonts w:hint="default" w:ascii="仿宋" w:hAnsi="仿宋" w:eastAsia="仿宋" w:cs="仿宋"/>
          <w:kern w:val="2"/>
          <w:sz w:val="32"/>
          <w:szCs w:val="32"/>
          <w:lang w:val="en-US" w:eastAsia="zh-CN"/>
        </w:rPr>
        <w:t>年初预算数为3.54万元，决算数1.93万元</w:t>
      </w:r>
      <w:r>
        <w:rPr>
          <w:rFonts w:hint="default" w:ascii="仿宋" w:hAnsi="仿宋" w:eastAsia="仿宋" w:cs="仿宋"/>
          <w:kern w:val="2"/>
          <w:sz w:val="32"/>
          <w:szCs w:val="32"/>
          <w:lang w:val="en" w:eastAsia="zh-CN"/>
        </w:rPr>
        <w:t>，</w:t>
      </w:r>
      <w:r>
        <w:rPr>
          <w:rFonts w:hint="default" w:ascii="仿宋" w:hAnsi="仿宋" w:eastAsia="仿宋" w:cs="仿宋"/>
          <w:kern w:val="2"/>
          <w:sz w:val="32"/>
          <w:szCs w:val="32"/>
          <w:lang w:val="en-US" w:eastAsia="zh-CN"/>
        </w:rPr>
        <w:t>完成年初预算的54.52%，决算数与年初预算数存在差异的主要原因是年中在职转退休，公务员医疗保险缴费减少。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8.商业服务业等支出（类）商业流通事务（款）一般行政管理事务（项）</w:t>
      </w:r>
      <w:r>
        <w:rPr>
          <w:rFonts w:hint="default" w:ascii="仿宋" w:hAnsi="仿宋" w:eastAsia="仿宋" w:cs="仿宋"/>
          <w:kern w:val="2"/>
          <w:sz w:val="32"/>
          <w:szCs w:val="32"/>
          <w:lang w:val="en-US" w:eastAsia="zh-CN"/>
        </w:rPr>
        <w:t>年初预算数为0.00万元，决算数6.39万元</w:t>
      </w:r>
      <w:r>
        <w:rPr>
          <w:rFonts w:hint="default" w:ascii="仿宋" w:hAnsi="仿宋" w:eastAsia="仿宋" w:cs="仿宋"/>
          <w:kern w:val="2"/>
          <w:sz w:val="32"/>
          <w:szCs w:val="32"/>
          <w:lang w:val="en" w:eastAsia="zh-CN"/>
        </w:rPr>
        <w:t>，</w:t>
      </w:r>
      <w:r>
        <w:rPr>
          <w:rFonts w:hint="default" w:ascii="仿宋" w:hAnsi="仿宋" w:eastAsia="仿宋" w:cs="仿宋"/>
          <w:kern w:val="2"/>
          <w:sz w:val="32"/>
          <w:szCs w:val="32"/>
          <w:lang w:val="en-US" w:eastAsia="zh-CN"/>
        </w:rPr>
        <w:t>决算数与年初预算数存在差异的主要原因是财政拨入存量资金，根据规定支付参展期间发生交通费和住宿项目经费。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年初预算数为6.07万元，决算数4.03万元</w:t>
      </w:r>
      <w:r>
        <w:rPr>
          <w:rFonts w:hint="default" w:ascii="仿宋" w:hAnsi="仿宋" w:eastAsia="仿宋" w:cs="仿宋"/>
          <w:kern w:val="2"/>
          <w:sz w:val="32"/>
          <w:szCs w:val="32"/>
          <w:lang w:val="en" w:eastAsia="zh-CN"/>
        </w:rPr>
        <w:t>，</w:t>
      </w:r>
      <w:r>
        <w:rPr>
          <w:rFonts w:hint="default" w:ascii="仿宋" w:hAnsi="仿宋" w:eastAsia="仿宋" w:cs="仿宋"/>
          <w:kern w:val="2"/>
          <w:sz w:val="32"/>
          <w:szCs w:val="32"/>
          <w:lang w:val="en-US" w:eastAsia="zh-CN"/>
        </w:rPr>
        <w:t>完成年初预算的66.39%，决算数与年初预算数存在差异的主要原因是年中人员在职转退休，公积金缴费减少。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104.87万元。其中：人员经费98.16万元，主要包括：基本工资、津贴补贴、奖金、机关事业单位基本养老保险缴费、职工基本医疗保险缴费、公务员医疗补助缴费、其他社会保障缴费、住房公积金、其他工资福利支出、退休费。公用经费6.70万元，主要包括：办公费、邮电费、差旅费、劳务费、工会经费、福利费、其他交通费用。</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2023年度“三公”经费财政拨款支出预算为6.39万元，支出决算为6.39万元，完成预算的100.00%。2023年度“三公”经费支出决算数与预算数无差异。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6.39万元，完成预算的100.00%，占100.00%；公务用车购置及运行费支出决算0.00万元，占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预算为6.39万元，支出决算为6.39万元，完成预算的100.00%。决算数与预算数无差异。全年因公出国（境）团组2个，累计2人次。开支内容包括：车票、飞机票、住宿费等。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2023年度机关运行经费支出6.70万元，较2022年度下降4.43万元，下降39.80%，主要原因是在职人员减少，相应机关运行经费支出减少。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112.34万元。自评得分为98分，等级为“优”。从单位整体自评情况来看，2023年度各项工作稳步推进，严格按照各项绩效目标执行，加强绩效管理，对外贸易稳步增长，招商引资成效显著，企业国际化经营能力不断提升，较好的完成了本年度各项工作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基于项目预期目标的实现程度，我单位对2023年度单位预算项目支出（含单位参与分配的转移支付项目）开展绩效自评，涉及项目1个，项目金额6.39万元。其中：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（1）一般行政管理事务，自评得分为97分，等级为“优”。项目主要保障参展期间的交通、住宿费支出。下一步，将继续重绩效管理，按照专款专用，科学合理规范使用项目资金。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从项目绩效自评情况来看，较好的完成了项目计划，达到了预期的指标任务。</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9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874"/>
        <w:gridCol w:w="219"/>
        <w:gridCol w:w="937"/>
        <w:gridCol w:w="425"/>
        <w:gridCol w:w="854"/>
        <w:gridCol w:w="847"/>
        <w:gridCol w:w="1462"/>
        <w:gridCol w:w="506"/>
        <w:gridCol w:w="446"/>
        <w:gridCol w:w="965"/>
        <w:gridCol w:w="399"/>
        <w:gridCol w:w="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9380"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80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6571"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中国国际贸易促进会河南分会许昌支会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单位整体支出情况</w:t>
            </w:r>
          </w:p>
        </w:tc>
        <w:tc>
          <w:tcPr>
            <w:tcW w:w="203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3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单位预算总额（万元）</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122.11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112.34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11</w:t>
            </w:r>
            <w:r>
              <w:rPr>
                <w:rFonts w:hint="eastAsia" w:ascii="宋体" w:hAnsi="宋体" w:cs="宋体"/>
                <w:i w:val="0"/>
                <w:iCs w:val="0"/>
                <w:color w:val="000000"/>
                <w:kern w:val="0"/>
                <w:sz w:val="18"/>
                <w:szCs w:val="18"/>
                <w:u w:val="none"/>
                <w:lang w:val="en-US" w:eastAsia="zh-CN" w:bidi="en-AU"/>
              </w:rPr>
              <w:t>2</w:t>
            </w:r>
            <w:r>
              <w:rPr>
                <w:rFonts w:ascii="宋体" w:hAnsi="宋体" w:eastAsia="宋体" w:cs="宋体"/>
                <w:i w:val="0"/>
                <w:iCs w:val="0"/>
                <w:color w:val="000000"/>
                <w:kern w:val="0"/>
                <w:sz w:val="18"/>
                <w:szCs w:val="18"/>
                <w:u w:val="none"/>
                <w:lang w:val="en-US" w:eastAsia="zh-CN" w:bidi="en-AU"/>
              </w:rPr>
              <w:t>.</w:t>
            </w:r>
            <w:r>
              <w:rPr>
                <w:rFonts w:hint="eastAsia" w:ascii="宋体" w:hAnsi="宋体" w:cs="宋体"/>
                <w:i w:val="0"/>
                <w:iCs w:val="0"/>
                <w:color w:val="000000"/>
                <w:kern w:val="0"/>
                <w:sz w:val="18"/>
                <w:szCs w:val="18"/>
                <w:u w:val="none"/>
                <w:lang w:val="en-US" w:eastAsia="zh-CN" w:bidi="en-AU"/>
              </w:rPr>
              <w:t>12</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99</w:t>
            </w:r>
            <w:r>
              <w:rPr>
                <w:rFonts w:ascii="宋体" w:hAnsi="宋体" w:eastAsia="宋体" w:cs="宋体"/>
                <w:i w:val="0"/>
                <w:iCs w:val="0"/>
                <w:color w:val="000000"/>
                <w:kern w:val="0"/>
                <w:sz w:val="18"/>
                <w:szCs w:val="18"/>
                <w:u w:val="none"/>
                <w:lang w:val="en-US" w:eastAsia="zh-CN" w:bidi="en-AU"/>
              </w:rPr>
              <w:t>.</w:t>
            </w:r>
            <w:r>
              <w:rPr>
                <w:rFonts w:hint="eastAsia" w:ascii="宋体" w:hAnsi="宋体" w:cs="宋体"/>
                <w:i w:val="0"/>
                <w:iCs w:val="0"/>
                <w:color w:val="000000"/>
                <w:kern w:val="0"/>
                <w:sz w:val="18"/>
                <w:szCs w:val="18"/>
                <w:u w:val="none"/>
                <w:lang w:val="en-US" w:eastAsia="zh-CN" w:bidi="en-AU"/>
              </w:rPr>
              <w:t>8</w:t>
            </w:r>
            <w:r>
              <w:rPr>
                <w:rFonts w:ascii="宋体" w:hAnsi="宋体" w:eastAsia="宋体" w:cs="宋体"/>
                <w:i w:val="0"/>
                <w:iCs w:val="0"/>
                <w:color w:val="000000"/>
                <w:kern w:val="0"/>
                <w:sz w:val="18"/>
                <w:szCs w:val="18"/>
                <w:u w:val="none"/>
                <w:lang w:val="en-US" w:eastAsia="zh-CN" w:bidi="en-AU"/>
              </w:rPr>
              <w:t>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3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122.11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111.26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111.26</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3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425"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854"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03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0.86</w:t>
            </w:r>
          </w:p>
        </w:tc>
        <w:tc>
          <w:tcPr>
            <w:tcW w:w="9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79.63%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7"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44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156"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以习近平新时代中国特色社会主义思想为指导，深入贯彻落实党的二十大精神，紧紧围绕市委、市政府的中心工作，进一步发挥贸促会的职能作用，不断开创贸促工作新局面。</w:t>
            </w:r>
          </w:p>
        </w:tc>
        <w:tc>
          <w:tcPr>
            <w:tcW w:w="444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加强了对外联络，积极拓展国际市场；强化了服务企业，优化了营商环境；加强了自身建设，提高了服务能力。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306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4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商贸管理事务</w:t>
            </w:r>
          </w:p>
        </w:tc>
        <w:tc>
          <w:tcPr>
            <w:tcW w:w="306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加强对外联络，积极拓展国际市场；强化服务企业，优化了营商环境；加强自身建设，提高了服务能力。</w:t>
            </w:r>
          </w:p>
        </w:tc>
        <w:tc>
          <w:tcPr>
            <w:tcW w:w="444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对外贸易稳步增长；招商引资成效显著；企业国际化经营能力不断提升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商贸管理高效运行</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高效</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高效</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商贸管理预算财务管理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合法合规</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合法合规</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1279" w:type="dxa"/>
            <w:gridSpan w:val="2"/>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商贸管理绩效目标</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达标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达标</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2"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商贸管理目标完成</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商贸管理履职实现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实现</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实现</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不断提升许昌国际经营能力</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不断提升</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en-AU"/>
              </w:rPr>
              <w:t>25</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企业满意度</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7"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8"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720" w:num="1"/>
          <w:docGrid w:type="lines" w:linePitch="312" w:charSpace="0"/>
        </w:sectPr>
      </w:pPr>
    </w:p>
    <w:tbl>
      <w:tblPr>
        <w:tblStyle w:val="12"/>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
        <w:gridCol w:w="579"/>
        <w:gridCol w:w="1049"/>
        <w:gridCol w:w="828"/>
        <w:gridCol w:w="674"/>
        <w:gridCol w:w="725"/>
        <w:gridCol w:w="467"/>
        <w:gridCol w:w="593"/>
        <w:gridCol w:w="617"/>
        <w:gridCol w:w="583"/>
        <w:gridCol w:w="582"/>
        <w:gridCol w:w="817"/>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980" w:type="dxa"/>
            <w:gridSpan w:val="13"/>
            <w:tcBorders>
              <w:top w:val="nil"/>
              <w:left w:val="nil"/>
              <w:bottom w:val="nil"/>
              <w:right w:val="nil"/>
            </w:tcBorders>
            <w:shd w:val="clear" w:color="auto" w:fill="auto"/>
            <w:vAlign w:val="center"/>
          </w:tcPr>
          <w:p>
            <w:pPr>
              <w:pStyle w:val="10"/>
              <w:jc w:val="center"/>
            </w:pPr>
            <w:r>
              <w:rPr>
                <w:rFonts w:hint="eastAsia"/>
                <w:b/>
                <w:bCs/>
                <w:sz w:val="44"/>
                <w:szCs w:val="44"/>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项目名称</w:t>
            </w:r>
          </w:p>
        </w:tc>
        <w:tc>
          <w:tcPr>
            <w:tcW w:w="7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ind w:firstLine="2100" w:firstLineChars="1000"/>
            </w:pPr>
            <w:r>
              <w:rPr>
                <w:lang w:val="en-US" w:eastAsia="zh-CN"/>
              </w:rPr>
              <w:t>一般行政管理事务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主管部门</w:t>
            </w:r>
          </w:p>
        </w:tc>
        <w:tc>
          <w:tcPr>
            <w:tcW w:w="33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default" w:eastAsiaTheme="minorEastAsia"/>
                <w:lang w:val="en-US" w:eastAsia="zh-CN"/>
              </w:rPr>
            </w:pPr>
            <w:r>
              <w:rPr>
                <w:rFonts w:hint="eastAsia"/>
                <w:lang w:val="en-US" w:eastAsia="zh-CN"/>
              </w:rPr>
              <w:t>许昌市商务局</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实施单位</w:t>
            </w:r>
          </w:p>
        </w:tc>
        <w:tc>
          <w:tcPr>
            <w:tcW w:w="3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中国国际贸易促进会河南省分会许昌支会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项目资金（万元）</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年初预算数</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全年预算数</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全年执行数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分值</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执行率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年度资金总额（万元）：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6.39</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6.39</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6.39</w:t>
            </w:r>
          </w:p>
        </w:tc>
        <w:tc>
          <w:tcPr>
            <w:tcW w:w="588" w:type="dxa"/>
            <w:tcBorders>
              <w:top w:val="nil"/>
              <w:left w:val="nil"/>
              <w:bottom w:val="nil"/>
              <w:right w:val="nil"/>
            </w:tcBorders>
            <w:shd w:val="clear" w:color="auto" w:fill="auto"/>
            <w:vAlign w:val="center"/>
          </w:tcPr>
          <w:p>
            <w:pPr>
              <w:pStyle w:val="10"/>
            </w:pPr>
            <w:r>
              <w:rPr>
                <w:lang w:val="en-US" w:eastAsia="zh-CN"/>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政府性预算资金</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6.39</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6.39</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6.39</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财政专户管理资金</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单位资金</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资金管理情况</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 xml:space="preserve"> 情况说明</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分值</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得分</w:t>
            </w:r>
          </w:p>
        </w:tc>
        <w:tc>
          <w:tcPr>
            <w:tcW w:w="2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安排科学性</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科学</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5</w:t>
            </w:r>
          </w:p>
        </w:tc>
        <w:tc>
          <w:tcPr>
            <w:tcW w:w="2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拨付合规性</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合规</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5</w:t>
            </w:r>
          </w:p>
        </w:tc>
        <w:tc>
          <w:tcPr>
            <w:tcW w:w="2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使用规范性</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规范</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5</w:t>
            </w:r>
          </w:p>
        </w:tc>
        <w:tc>
          <w:tcPr>
            <w:tcW w:w="2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预算绩效管理情况</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有效</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5</w:t>
            </w:r>
          </w:p>
        </w:tc>
        <w:tc>
          <w:tcPr>
            <w:tcW w:w="2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年度总体目标</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预期目标</w:t>
            </w:r>
          </w:p>
        </w:tc>
        <w:tc>
          <w:tcPr>
            <w:tcW w:w="44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 xml:space="preserve">   顺应高水平开放需求，推动双方经贸往来，产业合作，深入交流。保障出访期间交通、住宿费支出。</w:t>
            </w:r>
          </w:p>
        </w:tc>
        <w:tc>
          <w:tcPr>
            <w:tcW w:w="44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 xml:space="preserve">    经贸出访团组顺应高水平对外开放需求，推动双方经贸往来、产业合作深入交流，出访效果显著。下一步将继续秉承高层次全方位宽领域的对外开放理念，继续带领企业组团出海，助力企业拓市场抢订单。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绩效指标</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一级指标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二级指标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三级指标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年度指标值</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实际完成值</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分值</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得分</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偏差度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成本指标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经济成本指标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保障差旅经费</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6.39万元</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社会成本指标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生态环境成本指标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产出指标</w:t>
            </w:r>
          </w:p>
        </w:tc>
        <w:tc>
          <w:tcPr>
            <w:tcW w:w="1068" w:type="dxa"/>
            <w:tcBorders>
              <w:top w:val="single" w:color="000000" w:sz="4" w:space="0"/>
              <w:left w:val="single" w:color="000000" w:sz="4" w:space="0"/>
              <w:bottom w:val="nil"/>
              <w:right w:val="single" w:color="000000" w:sz="4" w:space="0"/>
            </w:tcBorders>
            <w:shd w:val="clear" w:color="auto" w:fill="auto"/>
            <w:vAlign w:val="center"/>
          </w:tcPr>
          <w:p>
            <w:pPr>
              <w:pStyle w:val="10"/>
            </w:pPr>
            <w:r>
              <w:rPr>
                <w:lang w:val="en-US" w:eastAsia="zh-CN"/>
              </w:rPr>
              <w:t>数量指标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差旅出差人员</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2人</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2人</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质量指标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报销差旅费</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及时</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及时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时效指标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经贸参展时间</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按时参展</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按时参展</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效益指标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经济效益指标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助力企业拓市抢单</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有效</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有效</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25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22</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社会效益指标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 xml:space="preserve">                   </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 xml:space="preserve">                        </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 xml:space="preserve">                                    </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 xml:space="preserve">                       </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 xml:space="preserve">             </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生态效益指标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满意度指标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服务对象满意度指标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出差人员满意度指标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90%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92%</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5</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50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总分</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pPr>
            <w:r>
              <w:rPr>
                <w:lang w:val="en-US" w:eastAsia="zh-CN"/>
              </w:rPr>
              <w:t>97</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rPr>
            </w:pPr>
          </w:p>
        </w:tc>
      </w:tr>
    </w:tbl>
    <w:p>
      <w:pPr>
        <w:pStyle w:val="10"/>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4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DU8LGF6wEAAMI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7032E"/>
    <w:multiLevelType w:val="multilevel"/>
    <w:tmpl w:val="D9A7032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77B9B04"/>
    <w:rsid w:val="F5DED2E8"/>
    <w:rsid w:val="F9F54F30"/>
    <w:rsid w:val="FEFFA5D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ab835451-7c92-437b-bcd4-56375100a407"/>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table" w:customStyle="1" w:styleId="12">
    <w:name w:val="Normal Table_a115d161-bafe-4e36-bfa0-da003136d155"/>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6718</Words>
  <Characters>19344</Characters>
  <Lines>1</Lines>
  <Paragraphs>1</Paragraphs>
  <TotalTime>11</TotalTime>
  <ScaleCrop>false</ScaleCrop>
  <LinksUpToDate>false</LinksUpToDate>
  <CharactersWithSpaces>19591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2024-10-15T17:45:58Z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