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default"/>
          <w:kern w:val="2"/>
          <w:sz w:val="44"/>
          <w:szCs w:val="44"/>
          <w:lang w:val="en-US"/>
        </w:rPr>
      </w:pPr>
      <w:r>
        <w:rPr>
          <w:rFonts w:ascii="黑体" w:eastAsia="黑体" w:hAnsi="宋体" w:cs="黑体" w:hint="eastAsia"/>
          <w:kern w:val="2"/>
          <w:sz w:val="44"/>
          <w:szCs w:val="44"/>
          <w:lang w:val="en-US" w:eastAsia="zh-CN"/>
        </w:rPr>
        <w:t xml:space="preserve">中国国民党革命委员会许昌市委员会</w:t>
      </w:r>
      <w:r>
        <w:rPr>
          <w:rFonts w:ascii="黑体" w:eastAsia="黑体" w:hAnsi="宋体" w:cs="黑体" w:hint="eastAsia"/>
          <w:kern w:val="2"/>
          <w:sz w:val="44"/>
          <w:szCs w:val="44"/>
          <w:lang w:val="en-US" w:eastAsia="zh-CN"/>
        </w:rPr>
        <w:t xml:space="preserve">部门决算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中国国民党革命委员会许昌市委员会</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部门职责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2023年度部门决算表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2023年度部门决算情况说明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中国国民党革命委员会许昌市委员会概况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一、部门职责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中国国民党革命委员会许昌市委员会根据《中国国民党革命委员会许昌市委员会机关机构改革方案》（许办文【2002】25号）文件精神，主要职责是：充分发挥参政议政、民主监督的作用，贯彻执行中国共产党与各民主党派“长期共存、相互监督、肝胆相照、荣辱与共”的方针，为推进改革开放和社会主义现代化建设，健全社会主义民主与法制，促进“一国两制”和平统一祖国贡献力量。</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中国国民党革命委员会许昌市委员会</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中国国民党革命委员会许昌市委员会</w:t>
      </w:r>
      <w:r>
        <w:rPr>
          <w:rFonts w:ascii="仿宋" w:eastAsia="仿宋" w:hAnsi="仿宋" w:cs="仿宋" w:hint="eastAsia"/>
          <w:kern w:val="0"/>
          <w:sz w:val="32"/>
          <w:szCs w:val="32"/>
          <w:lang w:val="en-US" w:eastAsia="zh-CN"/>
        </w:rPr>
        <w:t xml:space="preserve">部门决算包括：本级决算（1个）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纳入本部门2023年度部门决算编制范围的单位共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1、中国国民党革命委员会许昌市委员会（本级）</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_GB2312" w:eastAsia="仿宋_GB2312" w:hAnsi="宋体" w:cs="仿宋_GB2312" w:hint="eastAsia"/>
          <w:kern w:val="0"/>
          <w:sz w:val="32"/>
          <w:szCs w:val="32"/>
          <w:lang w:val="en-US" w:eastAsia="zh-CN"/>
        </w:rPr>
      </w:pPr>
    </w:p>
    <w:p>
      <w:pPr>
        <w:bidi w:val="0"/>
        <w:rPr>
          <w:rFonts w:hint="eastAsia"/>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2023年度部门决算表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部门：中国国民党革命委员会许昌市委员会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93.72</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72.71</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12.50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4.62</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3.88</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93.72</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93.72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93.72</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93.72</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注：1.本表反映部门本年度的总收支和年末结转结余情况。</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部门：中国国民党革命委员会许昌市委员会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93.72</w:t>
            </w:r>
          </w:p>
        </w:tc>
        <w:tc>
          <w:tcPr>
            <w:tcW w:w="1440" w:type="dxa"/>
            <w:tcBorders/>
            <w:vAlign w:val="center"/>
          </w:tcPr>
          <w:p>
            <w:pPr>
              <w:jc w:val="right"/>
            </w:pPr>
            <w:r>
              <w:rPr>
                <w:rFonts w:ascii="宋体" w:eastAsia="宋体" w:hAnsi="宋体" w:cs="宋体"/>
                <w:b/>
                <w:i w:val="0"/>
                <w:color w:val="000000"/>
                <w:sz w:val="17"/>
              </w:rPr>
              <w:t xml:space="preserve">93.72</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72.71</w:t>
            </w:r>
          </w:p>
        </w:tc>
        <w:tc>
          <w:tcPr>
            <w:tcW w:w="1440" w:type="dxa"/>
            <w:tcBorders/>
            <w:vAlign w:val="center"/>
          </w:tcPr>
          <w:p>
            <w:pPr>
              <w:jc w:val="right"/>
            </w:pPr>
            <w:r>
              <w:rPr>
                <w:rFonts w:ascii="宋体" w:eastAsia="宋体" w:hAnsi="宋体" w:cs="宋体"/>
                <w:b w:val="0"/>
                <w:i w:val="0"/>
                <w:color w:val="000000"/>
                <w:sz w:val="17"/>
              </w:rPr>
              <w:t xml:space="preserve">72.71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民主党派及工商联事务</w:t>
            </w:r>
          </w:p>
        </w:tc>
        <w:tc>
          <w:tcPr>
            <w:tcW w:w="1440" w:type="dxa"/>
            <w:tcBorders/>
            <w:vAlign w:val="center"/>
          </w:tcPr>
          <w:p>
            <w:pPr>
              <w:jc w:val="right"/>
            </w:pPr>
            <w:r>
              <w:rPr>
                <w:rFonts w:ascii="宋体" w:eastAsia="宋体" w:hAnsi="宋体" w:cs="宋体"/>
                <w:b w:val="0"/>
                <w:i w:val="0"/>
                <w:color w:val="000000"/>
                <w:sz w:val="17"/>
              </w:rPr>
              <w:t xml:space="preserve">70.37</w:t>
            </w:r>
          </w:p>
        </w:tc>
        <w:tc>
          <w:tcPr>
            <w:tcW w:w="1440" w:type="dxa"/>
            <w:tcBorders/>
            <w:vAlign w:val="center"/>
          </w:tcPr>
          <w:p>
            <w:pPr>
              <w:jc w:val="right"/>
            </w:pPr>
            <w:r>
              <w:rPr>
                <w:rFonts w:ascii="宋体" w:eastAsia="宋体" w:hAnsi="宋体" w:cs="宋体"/>
                <w:b w:val="0"/>
                <w:i w:val="0"/>
                <w:color w:val="000000"/>
                <w:sz w:val="17"/>
              </w:rPr>
              <w:t xml:space="preserve">70.37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2012801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70.37</w:t>
            </w:r>
          </w:p>
        </w:tc>
        <w:tc>
          <w:tcPr>
            <w:tcW w:w="1440" w:type="dxa"/>
            <w:tcBorders/>
            <w:vAlign w:val="center"/>
          </w:tcPr>
          <w:p>
            <w:pPr>
              <w:jc w:val="right"/>
            </w:pPr>
            <w:r>
              <w:rPr>
                <w:rFonts w:ascii="宋体" w:eastAsia="宋体" w:hAnsi="宋体" w:cs="宋体"/>
                <w:b w:val="0"/>
                <w:i w:val="0"/>
                <w:color w:val="000000"/>
                <w:sz w:val="17"/>
              </w:rPr>
              <w:t xml:space="preserve">70.37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0.34</w:t>
            </w:r>
          </w:p>
        </w:tc>
        <w:tc>
          <w:tcPr>
            <w:tcW w:w="1440" w:type="dxa"/>
            <w:tcBorders/>
            <w:vAlign w:val="center"/>
          </w:tcPr>
          <w:p>
            <w:pPr>
              <w:jc w:val="right"/>
            </w:pPr>
            <w:r>
              <w:rPr>
                <w:rFonts w:ascii="宋体" w:eastAsia="宋体" w:hAnsi="宋体" w:cs="宋体"/>
                <w:b w:val="0"/>
                <w:i w:val="0"/>
                <w:color w:val="000000"/>
                <w:sz w:val="17"/>
              </w:rPr>
              <w:t xml:space="preserve">0.34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0.34</w:t>
            </w:r>
          </w:p>
        </w:tc>
        <w:tc>
          <w:tcPr>
            <w:tcW w:w="1440" w:type="dxa"/>
            <w:tcBorders/>
            <w:vAlign w:val="center"/>
          </w:tcPr>
          <w:p>
            <w:pPr>
              <w:jc w:val="right"/>
            </w:pPr>
            <w:r>
              <w:rPr>
                <w:rFonts w:ascii="宋体" w:eastAsia="宋体" w:hAnsi="宋体" w:cs="宋体"/>
                <w:b w:val="0"/>
                <w:i w:val="0"/>
                <w:color w:val="000000"/>
                <w:sz w:val="17"/>
              </w:rPr>
              <w:t xml:space="preserve">0.34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2.01</w:t>
            </w:r>
          </w:p>
        </w:tc>
        <w:tc>
          <w:tcPr>
            <w:tcW w:w="1440" w:type="dxa"/>
            <w:tcBorders/>
            <w:vAlign w:val="center"/>
          </w:tcPr>
          <w:p>
            <w:pPr>
              <w:jc w:val="right"/>
            </w:pPr>
            <w:r>
              <w:rPr>
                <w:rFonts w:ascii="宋体" w:eastAsia="宋体" w:hAnsi="宋体" w:cs="宋体"/>
                <w:b w:val="0"/>
                <w:i w:val="0"/>
                <w:color w:val="000000"/>
                <w:sz w:val="17"/>
              </w:rPr>
              <w:t xml:space="preserve">2.01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2.01</w:t>
            </w:r>
          </w:p>
        </w:tc>
        <w:tc>
          <w:tcPr>
            <w:tcW w:w="1440" w:type="dxa"/>
            <w:tcBorders/>
            <w:vAlign w:val="center"/>
          </w:tcPr>
          <w:p>
            <w:pPr>
              <w:jc w:val="right"/>
            </w:pPr>
            <w:r>
              <w:rPr>
                <w:rFonts w:ascii="宋体" w:eastAsia="宋体" w:hAnsi="宋体" w:cs="宋体"/>
                <w:b w:val="0"/>
                <w:i w:val="0"/>
                <w:color w:val="000000"/>
                <w:sz w:val="17"/>
              </w:rPr>
              <w:t xml:space="preserve">2.01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12.50</w:t>
            </w:r>
          </w:p>
        </w:tc>
        <w:tc>
          <w:tcPr>
            <w:tcW w:w="1440" w:type="dxa"/>
            <w:tcBorders/>
            <w:vAlign w:val="center"/>
          </w:tcPr>
          <w:p>
            <w:pPr>
              <w:jc w:val="right"/>
            </w:pPr>
            <w:r>
              <w:rPr>
                <w:rFonts w:ascii="宋体" w:eastAsia="宋体" w:hAnsi="宋体" w:cs="宋体"/>
                <w:b w:val="0"/>
                <w:i w:val="0"/>
                <w:color w:val="000000"/>
                <w:sz w:val="17"/>
              </w:rPr>
              <w:t xml:space="preserve">12.50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12.50</w:t>
            </w:r>
          </w:p>
        </w:tc>
        <w:tc>
          <w:tcPr>
            <w:tcW w:w="1440" w:type="dxa"/>
            <w:tcBorders/>
            <w:vAlign w:val="center"/>
          </w:tcPr>
          <w:p>
            <w:pPr>
              <w:jc w:val="right"/>
            </w:pPr>
            <w:r>
              <w:rPr>
                <w:rFonts w:ascii="宋体" w:eastAsia="宋体" w:hAnsi="宋体" w:cs="宋体"/>
                <w:b w:val="0"/>
                <w:i w:val="0"/>
                <w:color w:val="000000"/>
                <w:sz w:val="17"/>
              </w:rPr>
              <w:t xml:space="preserve">12.50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行政单位离退休</w:t>
            </w:r>
          </w:p>
        </w:tc>
        <w:tc>
          <w:tcPr>
            <w:tcW w:w="1440" w:type="dxa"/>
            <w:tcBorders/>
            <w:vAlign w:val="center"/>
          </w:tcPr>
          <w:p>
            <w:pPr>
              <w:jc w:val="right"/>
            </w:pPr>
            <w:r>
              <w:rPr>
                <w:rFonts w:ascii="宋体" w:eastAsia="宋体" w:hAnsi="宋体" w:cs="宋体"/>
                <w:b w:val="0"/>
                <w:i w:val="0"/>
                <w:color w:val="000000"/>
                <w:sz w:val="17"/>
              </w:rPr>
              <w:t xml:space="preserve">5.75</w:t>
            </w:r>
          </w:p>
        </w:tc>
        <w:tc>
          <w:tcPr>
            <w:tcW w:w="1440" w:type="dxa"/>
            <w:tcBorders/>
            <w:vAlign w:val="center"/>
          </w:tcPr>
          <w:p>
            <w:pPr>
              <w:jc w:val="right"/>
            </w:pPr>
            <w:r>
              <w:rPr>
                <w:rFonts w:ascii="宋体" w:eastAsia="宋体" w:hAnsi="宋体" w:cs="宋体"/>
                <w:b w:val="0"/>
                <w:i w:val="0"/>
                <w:color w:val="000000"/>
                <w:sz w:val="17"/>
              </w:rPr>
              <w:t xml:space="preserve">5.75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2.67</w:t>
            </w:r>
          </w:p>
        </w:tc>
        <w:tc>
          <w:tcPr>
            <w:tcW w:w="1440" w:type="dxa"/>
            <w:tcBorders/>
            <w:vAlign w:val="center"/>
          </w:tcPr>
          <w:p>
            <w:pPr>
              <w:jc w:val="right"/>
            </w:pPr>
            <w:r>
              <w:rPr>
                <w:rFonts w:ascii="宋体" w:eastAsia="宋体" w:hAnsi="宋体" w:cs="宋体"/>
                <w:b w:val="0"/>
                <w:i w:val="0"/>
                <w:color w:val="000000"/>
                <w:sz w:val="17"/>
              </w:rPr>
              <w:t xml:space="preserve">2.67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4.08</w:t>
            </w:r>
          </w:p>
        </w:tc>
        <w:tc>
          <w:tcPr>
            <w:tcW w:w="1440" w:type="dxa"/>
            <w:tcBorders/>
            <w:vAlign w:val="center"/>
          </w:tcPr>
          <w:p>
            <w:pPr>
              <w:jc w:val="right"/>
            </w:pPr>
            <w:r>
              <w:rPr>
                <w:rFonts w:ascii="宋体" w:eastAsia="宋体" w:hAnsi="宋体" w:cs="宋体"/>
                <w:b w:val="0"/>
                <w:i w:val="0"/>
                <w:color w:val="000000"/>
                <w:sz w:val="17"/>
              </w:rPr>
              <w:t xml:space="preserve">4.08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4.62</w:t>
            </w:r>
          </w:p>
        </w:tc>
        <w:tc>
          <w:tcPr>
            <w:tcW w:w="1440" w:type="dxa"/>
            <w:tcBorders/>
            <w:vAlign w:val="center"/>
          </w:tcPr>
          <w:p>
            <w:pPr>
              <w:jc w:val="right"/>
            </w:pPr>
            <w:r>
              <w:rPr>
                <w:rFonts w:ascii="宋体" w:eastAsia="宋体" w:hAnsi="宋体" w:cs="宋体"/>
                <w:b w:val="0"/>
                <w:i w:val="0"/>
                <w:color w:val="000000"/>
                <w:sz w:val="17"/>
              </w:rPr>
              <w:t xml:space="preserve">4.62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4.62</w:t>
            </w:r>
          </w:p>
        </w:tc>
        <w:tc>
          <w:tcPr>
            <w:tcW w:w="1440" w:type="dxa"/>
            <w:tcBorders/>
            <w:vAlign w:val="center"/>
          </w:tcPr>
          <w:p>
            <w:pPr>
              <w:jc w:val="right"/>
            </w:pPr>
            <w:r>
              <w:rPr>
                <w:rFonts w:ascii="宋体" w:eastAsia="宋体" w:hAnsi="宋体" w:cs="宋体"/>
                <w:b w:val="0"/>
                <w:i w:val="0"/>
                <w:color w:val="000000"/>
                <w:sz w:val="17"/>
              </w:rPr>
              <w:t xml:space="preserve">4.62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行政单位医疗</w:t>
            </w:r>
          </w:p>
        </w:tc>
        <w:tc>
          <w:tcPr>
            <w:tcW w:w="1440" w:type="dxa"/>
            <w:tcBorders/>
            <w:vAlign w:val="center"/>
          </w:tcPr>
          <w:p>
            <w:pPr>
              <w:jc w:val="right"/>
            </w:pPr>
            <w:r>
              <w:rPr>
                <w:rFonts w:ascii="宋体" w:eastAsia="宋体" w:hAnsi="宋体" w:cs="宋体"/>
                <w:b w:val="0"/>
                <w:i w:val="0"/>
                <w:color w:val="000000"/>
                <w:sz w:val="17"/>
              </w:rPr>
              <w:t xml:space="preserve">2.20</w:t>
            </w:r>
          </w:p>
        </w:tc>
        <w:tc>
          <w:tcPr>
            <w:tcW w:w="1440" w:type="dxa"/>
            <w:tcBorders/>
            <w:vAlign w:val="center"/>
          </w:tcPr>
          <w:p>
            <w:pPr>
              <w:jc w:val="right"/>
            </w:pPr>
            <w:r>
              <w:rPr>
                <w:rFonts w:ascii="宋体" w:eastAsia="宋体" w:hAnsi="宋体" w:cs="宋体"/>
                <w:b w:val="0"/>
                <w:i w:val="0"/>
                <w:color w:val="000000"/>
                <w:sz w:val="17"/>
              </w:rPr>
              <w:t xml:space="preserve">2.20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2.42</w:t>
            </w:r>
          </w:p>
        </w:tc>
        <w:tc>
          <w:tcPr>
            <w:tcW w:w="1440" w:type="dxa"/>
            <w:tcBorders/>
            <w:vAlign w:val="center"/>
          </w:tcPr>
          <w:p>
            <w:pPr>
              <w:jc w:val="right"/>
            </w:pPr>
            <w:r>
              <w:rPr>
                <w:rFonts w:ascii="宋体" w:eastAsia="宋体" w:hAnsi="宋体" w:cs="宋体"/>
                <w:b w:val="0"/>
                <w:i w:val="0"/>
                <w:color w:val="000000"/>
                <w:sz w:val="17"/>
              </w:rPr>
              <w:t xml:space="preserve">2.42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3.88</w:t>
            </w:r>
          </w:p>
        </w:tc>
        <w:tc>
          <w:tcPr>
            <w:tcW w:w="1440" w:type="dxa"/>
            <w:tcBorders/>
            <w:vAlign w:val="center"/>
          </w:tcPr>
          <w:p>
            <w:pPr>
              <w:jc w:val="right"/>
            </w:pPr>
            <w:r>
              <w:rPr>
                <w:rFonts w:ascii="宋体" w:eastAsia="宋体" w:hAnsi="宋体" w:cs="宋体"/>
                <w:b w:val="0"/>
                <w:i w:val="0"/>
                <w:color w:val="000000"/>
                <w:sz w:val="17"/>
              </w:rPr>
              <w:t xml:space="preserve">3.88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3.88</w:t>
            </w:r>
          </w:p>
        </w:tc>
        <w:tc>
          <w:tcPr>
            <w:tcW w:w="1440" w:type="dxa"/>
            <w:tcBorders/>
            <w:vAlign w:val="center"/>
          </w:tcPr>
          <w:p>
            <w:pPr>
              <w:jc w:val="right"/>
            </w:pPr>
            <w:r>
              <w:rPr>
                <w:rFonts w:ascii="宋体" w:eastAsia="宋体" w:hAnsi="宋体" w:cs="宋体"/>
                <w:b w:val="0"/>
                <w:i w:val="0"/>
                <w:color w:val="000000"/>
                <w:sz w:val="17"/>
              </w:rPr>
              <w:t xml:space="preserve">3.88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3.88</w:t>
            </w:r>
          </w:p>
        </w:tc>
        <w:tc>
          <w:tcPr>
            <w:tcW w:w="1440" w:type="dxa"/>
            <w:tcBorders/>
            <w:vAlign w:val="center"/>
          </w:tcPr>
          <w:p>
            <w:pPr>
              <w:jc w:val="right"/>
            </w:pPr>
            <w:r>
              <w:rPr>
                <w:rFonts w:ascii="宋体" w:eastAsia="宋体" w:hAnsi="宋体" w:cs="宋体"/>
                <w:b w:val="0"/>
                <w:i w:val="0"/>
                <w:color w:val="000000"/>
                <w:sz w:val="17"/>
              </w:rPr>
              <w:t xml:space="preserve">3.88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部门：中国国民党革命委员会许昌市委员会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93.72</w:t>
            </w:r>
          </w:p>
        </w:tc>
        <w:tc>
          <w:tcPr>
            <w:tcW w:w="1600" w:type="dxa"/>
            <w:tcBorders/>
            <w:vAlign w:val="center"/>
          </w:tcPr>
          <w:p>
            <w:pPr>
              <w:jc w:val="right"/>
            </w:pPr>
            <w:r>
              <w:rPr>
                <w:rFonts w:ascii="宋体" w:eastAsia="宋体" w:hAnsi="宋体" w:cs="宋体"/>
                <w:b/>
                <w:i w:val="0"/>
                <w:color w:val="000000"/>
                <w:sz w:val="19"/>
              </w:rPr>
              <w:t xml:space="preserve">93.72</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72.71</w:t>
            </w:r>
          </w:p>
        </w:tc>
        <w:tc>
          <w:tcPr>
            <w:tcW w:w="1600" w:type="dxa"/>
            <w:tcBorders/>
            <w:vAlign w:val="center"/>
          </w:tcPr>
          <w:p>
            <w:pPr>
              <w:jc w:val="right"/>
            </w:pPr>
            <w:r>
              <w:rPr>
                <w:rFonts w:ascii="宋体" w:eastAsia="宋体" w:hAnsi="宋体" w:cs="宋体"/>
                <w:b w:val="0"/>
                <w:i w:val="0"/>
                <w:color w:val="000000"/>
                <w:sz w:val="19"/>
              </w:rPr>
              <w:t xml:space="preserve">72.71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民主党派及工商联事务</w:t>
            </w:r>
          </w:p>
        </w:tc>
        <w:tc>
          <w:tcPr>
            <w:tcW w:w="1600" w:type="dxa"/>
            <w:tcBorders/>
            <w:vAlign w:val="center"/>
          </w:tcPr>
          <w:p>
            <w:pPr>
              <w:jc w:val="right"/>
            </w:pPr>
            <w:r>
              <w:rPr>
                <w:rFonts w:ascii="宋体" w:eastAsia="宋体" w:hAnsi="宋体" w:cs="宋体"/>
                <w:b w:val="0"/>
                <w:i w:val="0"/>
                <w:color w:val="000000"/>
                <w:sz w:val="19"/>
              </w:rPr>
              <w:t xml:space="preserve">70.37</w:t>
            </w:r>
          </w:p>
        </w:tc>
        <w:tc>
          <w:tcPr>
            <w:tcW w:w="1600" w:type="dxa"/>
            <w:tcBorders/>
            <w:vAlign w:val="center"/>
          </w:tcPr>
          <w:p>
            <w:pPr>
              <w:jc w:val="right"/>
            </w:pPr>
            <w:r>
              <w:rPr>
                <w:rFonts w:ascii="宋体" w:eastAsia="宋体" w:hAnsi="宋体" w:cs="宋体"/>
                <w:b w:val="0"/>
                <w:i w:val="0"/>
                <w:color w:val="000000"/>
                <w:sz w:val="19"/>
              </w:rPr>
              <w:t xml:space="preserve">70.37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2012801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70.37</w:t>
            </w:r>
          </w:p>
        </w:tc>
        <w:tc>
          <w:tcPr>
            <w:tcW w:w="1600" w:type="dxa"/>
            <w:tcBorders/>
            <w:vAlign w:val="center"/>
          </w:tcPr>
          <w:p>
            <w:pPr>
              <w:jc w:val="right"/>
            </w:pPr>
            <w:r>
              <w:rPr>
                <w:rFonts w:ascii="宋体" w:eastAsia="宋体" w:hAnsi="宋体" w:cs="宋体"/>
                <w:b w:val="0"/>
                <w:i w:val="0"/>
                <w:color w:val="000000"/>
                <w:sz w:val="19"/>
              </w:rPr>
              <w:t xml:space="preserve">70.37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0.34</w:t>
            </w:r>
          </w:p>
        </w:tc>
        <w:tc>
          <w:tcPr>
            <w:tcW w:w="1600" w:type="dxa"/>
            <w:tcBorders/>
            <w:vAlign w:val="center"/>
          </w:tcPr>
          <w:p>
            <w:pPr>
              <w:jc w:val="right"/>
            </w:pPr>
            <w:r>
              <w:rPr>
                <w:rFonts w:ascii="宋体" w:eastAsia="宋体" w:hAnsi="宋体" w:cs="宋体"/>
                <w:b w:val="0"/>
                <w:i w:val="0"/>
                <w:color w:val="000000"/>
                <w:sz w:val="19"/>
              </w:rPr>
              <w:t xml:space="preserve">0.34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0.34</w:t>
            </w:r>
          </w:p>
        </w:tc>
        <w:tc>
          <w:tcPr>
            <w:tcW w:w="1600" w:type="dxa"/>
            <w:tcBorders/>
            <w:vAlign w:val="center"/>
          </w:tcPr>
          <w:p>
            <w:pPr>
              <w:jc w:val="right"/>
            </w:pPr>
            <w:r>
              <w:rPr>
                <w:rFonts w:ascii="宋体" w:eastAsia="宋体" w:hAnsi="宋体" w:cs="宋体"/>
                <w:b w:val="0"/>
                <w:i w:val="0"/>
                <w:color w:val="000000"/>
                <w:sz w:val="19"/>
              </w:rPr>
              <w:t xml:space="preserve">0.34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2.01</w:t>
            </w:r>
          </w:p>
        </w:tc>
        <w:tc>
          <w:tcPr>
            <w:tcW w:w="1600" w:type="dxa"/>
            <w:tcBorders/>
            <w:vAlign w:val="center"/>
          </w:tcPr>
          <w:p>
            <w:pPr>
              <w:jc w:val="right"/>
            </w:pPr>
            <w:r>
              <w:rPr>
                <w:rFonts w:ascii="宋体" w:eastAsia="宋体" w:hAnsi="宋体" w:cs="宋体"/>
                <w:b w:val="0"/>
                <w:i w:val="0"/>
                <w:color w:val="000000"/>
                <w:sz w:val="19"/>
              </w:rPr>
              <w:t xml:space="preserve">2.01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2.01</w:t>
            </w:r>
          </w:p>
        </w:tc>
        <w:tc>
          <w:tcPr>
            <w:tcW w:w="1600" w:type="dxa"/>
            <w:tcBorders/>
            <w:vAlign w:val="center"/>
          </w:tcPr>
          <w:p>
            <w:pPr>
              <w:jc w:val="right"/>
            </w:pPr>
            <w:r>
              <w:rPr>
                <w:rFonts w:ascii="宋体" w:eastAsia="宋体" w:hAnsi="宋体" w:cs="宋体"/>
                <w:b w:val="0"/>
                <w:i w:val="0"/>
                <w:color w:val="000000"/>
                <w:sz w:val="19"/>
              </w:rPr>
              <w:t xml:space="preserve">2.01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12.50</w:t>
            </w:r>
          </w:p>
        </w:tc>
        <w:tc>
          <w:tcPr>
            <w:tcW w:w="1600" w:type="dxa"/>
            <w:tcBorders/>
            <w:vAlign w:val="center"/>
          </w:tcPr>
          <w:p>
            <w:pPr>
              <w:jc w:val="right"/>
            </w:pPr>
            <w:r>
              <w:rPr>
                <w:rFonts w:ascii="宋体" w:eastAsia="宋体" w:hAnsi="宋体" w:cs="宋体"/>
                <w:b w:val="0"/>
                <w:i w:val="0"/>
                <w:color w:val="000000"/>
                <w:sz w:val="19"/>
              </w:rPr>
              <w:t xml:space="preserve">12.50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12.50</w:t>
            </w:r>
          </w:p>
        </w:tc>
        <w:tc>
          <w:tcPr>
            <w:tcW w:w="1600" w:type="dxa"/>
            <w:tcBorders/>
            <w:vAlign w:val="center"/>
          </w:tcPr>
          <w:p>
            <w:pPr>
              <w:jc w:val="right"/>
            </w:pPr>
            <w:r>
              <w:rPr>
                <w:rFonts w:ascii="宋体" w:eastAsia="宋体" w:hAnsi="宋体" w:cs="宋体"/>
                <w:b w:val="0"/>
                <w:i w:val="0"/>
                <w:color w:val="000000"/>
                <w:sz w:val="19"/>
              </w:rPr>
              <w:t xml:space="preserve">12.50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行政单位离退休</w:t>
            </w:r>
          </w:p>
        </w:tc>
        <w:tc>
          <w:tcPr>
            <w:tcW w:w="1600" w:type="dxa"/>
            <w:tcBorders/>
            <w:vAlign w:val="center"/>
          </w:tcPr>
          <w:p>
            <w:pPr>
              <w:jc w:val="right"/>
            </w:pPr>
            <w:r>
              <w:rPr>
                <w:rFonts w:ascii="宋体" w:eastAsia="宋体" w:hAnsi="宋体" w:cs="宋体"/>
                <w:b w:val="0"/>
                <w:i w:val="0"/>
                <w:color w:val="000000"/>
                <w:sz w:val="19"/>
              </w:rPr>
              <w:t xml:space="preserve">5.75</w:t>
            </w:r>
          </w:p>
        </w:tc>
        <w:tc>
          <w:tcPr>
            <w:tcW w:w="1600" w:type="dxa"/>
            <w:tcBorders/>
            <w:vAlign w:val="center"/>
          </w:tcPr>
          <w:p>
            <w:pPr>
              <w:jc w:val="right"/>
            </w:pPr>
            <w:r>
              <w:rPr>
                <w:rFonts w:ascii="宋体" w:eastAsia="宋体" w:hAnsi="宋体" w:cs="宋体"/>
                <w:b w:val="0"/>
                <w:i w:val="0"/>
                <w:color w:val="000000"/>
                <w:sz w:val="19"/>
              </w:rPr>
              <w:t xml:space="preserve">5.75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2.67</w:t>
            </w:r>
          </w:p>
        </w:tc>
        <w:tc>
          <w:tcPr>
            <w:tcW w:w="1600" w:type="dxa"/>
            <w:tcBorders/>
            <w:vAlign w:val="center"/>
          </w:tcPr>
          <w:p>
            <w:pPr>
              <w:jc w:val="right"/>
            </w:pPr>
            <w:r>
              <w:rPr>
                <w:rFonts w:ascii="宋体" w:eastAsia="宋体" w:hAnsi="宋体" w:cs="宋体"/>
                <w:b w:val="0"/>
                <w:i w:val="0"/>
                <w:color w:val="000000"/>
                <w:sz w:val="19"/>
              </w:rPr>
              <w:t xml:space="preserve">2.67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4.08</w:t>
            </w:r>
          </w:p>
        </w:tc>
        <w:tc>
          <w:tcPr>
            <w:tcW w:w="1600" w:type="dxa"/>
            <w:tcBorders/>
            <w:vAlign w:val="center"/>
          </w:tcPr>
          <w:p>
            <w:pPr>
              <w:jc w:val="right"/>
            </w:pPr>
            <w:r>
              <w:rPr>
                <w:rFonts w:ascii="宋体" w:eastAsia="宋体" w:hAnsi="宋体" w:cs="宋体"/>
                <w:b w:val="0"/>
                <w:i w:val="0"/>
                <w:color w:val="000000"/>
                <w:sz w:val="19"/>
              </w:rPr>
              <w:t xml:space="preserve">4.08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4.62</w:t>
            </w:r>
          </w:p>
        </w:tc>
        <w:tc>
          <w:tcPr>
            <w:tcW w:w="1600" w:type="dxa"/>
            <w:tcBorders/>
            <w:vAlign w:val="center"/>
          </w:tcPr>
          <w:p>
            <w:pPr>
              <w:jc w:val="right"/>
            </w:pPr>
            <w:r>
              <w:rPr>
                <w:rFonts w:ascii="宋体" w:eastAsia="宋体" w:hAnsi="宋体" w:cs="宋体"/>
                <w:b w:val="0"/>
                <w:i w:val="0"/>
                <w:color w:val="000000"/>
                <w:sz w:val="19"/>
              </w:rPr>
              <w:t xml:space="preserve">4.62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4.62</w:t>
            </w:r>
          </w:p>
        </w:tc>
        <w:tc>
          <w:tcPr>
            <w:tcW w:w="1600" w:type="dxa"/>
            <w:tcBorders/>
            <w:vAlign w:val="center"/>
          </w:tcPr>
          <w:p>
            <w:pPr>
              <w:jc w:val="right"/>
            </w:pPr>
            <w:r>
              <w:rPr>
                <w:rFonts w:ascii="宋体" w:eastAsia="宋体" w:hAnsi="宋体" w:cs="宋体"/>
                <w:b w:val="0"/>
                <w:i w:val="0"/>
                <w:color w:val="000000"/>
                <w:sz w:val="19"/>
              </w:rPr>
              <w:t xml:space="preserve">4.62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行政单位医疗</w:t>
            </w:r>
          </w:p>
        </w:tc>
        <w:tc>
          <w:tcPr>
            <w:tcW w:w="1600" w:type="dxa"/>
            <w:tcBorders/>
            <w:vAlign w:val="center"/>
          </w:tcPr>
          <w:p>
            <w:pPr>
              <w:jc w:val="right"/>
            </w:pPr>
            <w:r>
              <w:rPr>
                <w:rFonts w:ascii="宋体" w:eastAsia="宋体" w:hAnsi="宋体" w:cs="宋体"/>
                <w:b w:val="0"/>
                <w:i w:val="0"/>
                <w:color w:val="000000"/>
                <w:sz w:val="19"/>
              </w:rPr>
              <w:t xml:space="preserve">2.20</w:t>
            </w:r>
          </w:p>
        </w:tc>
        <w:tc>
          <w:tcPr>
            <w:tcW w:w="1600" w:type="dxa"/>
            <w:tcBorders/>
            <w:vAlign w:val="center"/>
          </w:tcPr>
          <w:p>
            <w:pPr>
              <w:jc w:val="right"/>
            </w:pPr>
            <w:r>
              <w:rPr>
                <w:rFonts w:ascii="宋体" w:eastAsia="宋体" w:hAnsi="宋体" w:cs="宋体"/>
                <w:b w:val="0"/>
                <w:i w:val="0"/>
                <w:color w:val="000000"/>
                <w:sz w:val="19"/>
              </w:rPr>
              <w:t xml:space="preserve">2.20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2.42</w:t>
            </w:r>
          </w:p>
        </w:tc>
        <w:tc>
          <w:tcPr>
            <w:tcW w:w="1600" w:type="dxa"/>
            <w:tcBorders/>
            <w:vAlign w:val="center"/>
          </w:tcPr>
          <w:p>
            <w:pPr>
              <w:jc w:val="right"/>
            </w:pPr>
            <w:r>
              <w:rPr>
                <w:rFonts w:ascii="宋体" w:eastAsia="宋体" w:hAnsi="宋体" w:cs="宋体"/>
                <w:b w:val="0"/>
                <w:i w:val="0"/>
                <w:color w:val="000000"/>
                <w:sz w:val="19"/>
              </w:rPr>
              <w:t xml:space="preserve">2.42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3.88</w:t>
            </w:r>
          </w:p>
        </w:tc>
        <w:tc>
          <w:tcPr>
            <w:tcW w:w="1600" w:type="dxa"/>
            <w:tcBorders/>
            <w:vAlign w:val="center"/>
          </w:tcPr>
          <w:p>
            <w:pPr>
              <w:jc w:val="right"/>
            </w:pPr>
            <w:r>
              <w:rPr>
                <w:rFonts w:ascii="宋体" w:eastAsia="宋体" w:hAnsi="宋体" w:cs="宋体"/>
                <w:b w:val="0"/>
                <w:i w:val="0"/>
                <w:color w:val="000000"/>
                <w:sz w:val="19"/>
              </w:rPr>
              <w:t xml:space="preserve">3.88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3.88</w:t>
            </w:r>
          </w:p>
        </w:tc>
        <w:tc>
          <w:tcPr>
            <w:tcW w:w="1600" w:type="dxa"/>
            <w:tcBorders/>
            <w:vAlign w:val="center"/>
          </w:tcPr>
          <w:p>
            <w:pPr>
              <w:jc w:val="right"/>
            </w:pPr>
            <w:r>
              <w:rPr>
                <w:rFonts w:ascii="宋体" w:eastAsia="宋体" w:hAnsi="宋体" w:cs="宋体"/>
                <w:b w:val="0"/>
                <w:i w:val="0"/>
                <w:color w:val="000000"/>
                <w:sz w:val="19"/>
              </w:rPr>
              <w:t xml:space="preserve">3.88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3.88</w:t>
            </w:r>
          </w:p>
        </w:tc>
        <w:tc>
          <w:tcPr>
            <w:tcW w:w="1600" w:type="dxa"/>
            <w:tcBorders/>
            <w:vAlign w:val="center"/>
          </w:tcPr>
          <w:p>
            <w:pPr>
              <w:jc w:val="right"/>
            </w:pPr>
            <w:r>
              <w:rPr>
                <w:rFonts w:ascii="宋体" w:eastAsia="宋体" w:hAnsi="宋体" w:cs="宋体"/>
                <w:b w:val="0"/>
                <w:i w:val="0"/>
                <w:color w:val="000000"/>
                <w:sz w:val="19"/>
              </w:rPr>
              <w:t xml:space="preserve">3.88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注：本表反映部门本年度各项支出情况。本表金额转换为万元时，因四舍五入可能存在尾差。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部门：中国国民党革命委员会许昌市委员会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93.72</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72.71</w:t>
            </w:r>
          </w:p>
        </w:tc>
        <w:tc>
          <w:tcPr>
            <w:tcW w:w="1420" w:type="dxa"/>
            <w:tcBorders/>
            <w:vAlign w:val="center"/>
          </w:tcPr>
          <w:p>
            <w:pPr>
              <w:jc w:val="right"/>
            </w:pPr>
            <w:r>
              <w:rPr>
                <w:rFonts w:ascii="宋体" w:eastAsia="宋体" w:hAnsi="宋体" w:cs="宋体"/>
                <w:b w:val="0"/>
                <w:i w:val="0"/>
                <w:color w:val="000000"/>
                <w:sz w:val="18"/>
              </w:rPr>
              <w:t xml:space="preserve">72.71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12.50</w:t>
            </w:r>
          </w:p>
        </w:tc>
        <w:tc>
          <w:tcPr>
            <w:tcW w:w="1420" w:type="dxa"/>
            <w:tcBorders/>
            <w:vAlign w:val="center"/>
          </w:tcPr>
          <w:p>
            <w:pPr>
              <w:jc w:val="right"/>
            </w:pPr>
            <w:r>
              <w:rPr>
                <w:rFonts w:ascii="宋体" w:eastAsia="宋体" w:hAnsi="宋体" w:cs="宋体"/>
                <w:b w:val="0"/>
                <w:i w:val="0"/>
                <w:color w:val="000000"/>
                <w:sz w:val="18"/>
              </w:rPr>
              <w:t xml:space="preserve">12.50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4.62</w:t>
            </w:r>
          </w:p>
        </w:tc>
        <w:tc>
          <w:tcPr>
            <w:tcW w:w="1420" w:type="dxa"/>
            <w:tcBorders/>
            <w:vAlign w:val="center"/>
          </w:tcPr>
          <w:p>
            <w:pPr>
              <w:jc w:val="right"/>
            </w:pPr>
            <w:r>
              <w:rPr>
                <w:rFonts w:ascii="宋体" w:eastAsia="宋体" w:hAnsi="宋体" w:cs="宋体"/>
                <w:b w:val="0"/>
                <w:i w:val="0"/>
                <w:color w:val="000000"/>
                <w:sz w:val="18"/>
              </w:rPr>
              <w:t xml:space="preserve">4.62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3.88</w:t>
            </w:r>
          </w:p>
        </w:tc>
        <w:tc>
          <w:tcPr>
            <w:tcW w:w="1420" w:type="dxa"/>
            <w:tcBorders/>
            <w:vAlign w:val="center"/>
          </w:tcPr>
          <w:p>
            <w:pPr>
              <w:jc w:val="right"/>
            </w:pPr>
            <w:r>
              <w:rPr>
                <w:rFonts w:ascii="宋体" w:eastAsia="宋体" w:hAnsi="宋体" w:cs="宋体"/>
                <w:b w:val="0"/>
                <w:i w:val="0"/>
                <w:color w:val="000000"/>
                <w:sz w:val="18"/>
              </w:rPr>
              <w:t xml:space="preserve">3.88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93.72</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93.72</w:t>
            </w:r>
          </w:p>
        </w:tc>
        <w:tc>
          <w:tcPr>
            <w:tcW w:w="1420" w:type="dxa"/>
            <w:tcBorders/>
            <w:vAlign w:val="center"/>
          </w:tcPr>
          <w:p>
            <w:pPr>
              <w:jc w:val="right"/>
            </w:pPr>
            <w:r>
              <w:rPr>
                <w:rFonts w:ascii="宋体" w:eastAsia="宋体" w:hAnsi="宋体" w:cs="宋体"/>
                <w:b w:val="0"/>
                <w:i w:val="0"/>
                <w:color w:val="000000"/>
                <w:sz w:val="18"/>
              </w:rPr>
              <w:t xml:space="preserve">93.72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93.72</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93.72</w:t>
            </w:r>
          </w:p>
        </w:tc>
        <w:tc>
          <w:tcPr>
            <w:tcW w:w="1420" w:type="dxa"/>
            <w:tcBorders/>
            <w:vAlign w:val="center"/>
          </w:tcPr>
          <w:p>
            <w:pPr>
              <w:jc w:val="right"/>
            </w:pPr>
            <w:r>
              <w:rPr>
                <w:rFonts w:ascii="宋体" w:eastAsia="宋体" w:hAnsi="宋体" w:cs="宋体"/>
                <w:b w:val="0"/>
                <w:i w:val="0"/>
                <w:color w:val="000000"/>
                <w:sz w:val="18"/>
              </w:rPr>
              <w:t xml:space="preserve">93.72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部门：中国国民党革命委员会许昌市委员会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93.72</w:t>
            </w:r>
          </w:p>
        </w:tc>
        <w:tc>
          <w:tcPr>
            <w:tcW w:w="2700" w:type="dxa"/>
            <w:tcBorders/>
            <w:vAlign w:val="center"/>
          </w:tcPr>
          <w:p>
            <w:pPr>
              <w:jc w:val="right"/>
            </w:pPr>
            <w:r>
              <w:rPr>
                <w:rFonts w:ascii="宋体" w:eastAsia="宋体" w:hAnsi="宋体" w:cs="宋体"/>
                <w:b/>
                <w:i w:val="0"/>
                <w:color w:val="000000"/>
                <w:sz w:val="25"/>
              </w:rPr>
              <w:t xml:space="preserve">93.72</w:t>
            </w:r>
          </w:p>
        </w:tc>
        <w:tc>
          <w:tcPr>
            <w:tcW w:w="2658" w:type="dxa"/>
            <w:tcBorders/>
            <w:vAlign w:val="center"/>
          </w:tcPr>
          <w:p>
            <w:pPr>
              <w:jc w:val="right"/>
            </w:pPr>
            <w:r>
              <w:rPr>
                <w:rFonts w:ascii="宋体" w:eastAsia="宋体" w:hAnsi="宋体" w:cs="宋体"/>
                <w:b/>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72.71</w:t>
            </w:r>
          </w:p>
        </w:tc>
        <w:tc>
          <w:tcPr>
            <w:tcW w:w="2700" w:type="dxa"/>
            <w:tcBorders/>
            <w:vAlign w:val="center"/>
          </w:tcPr>
          <w:p>
            <w:pPr>
              <w:jc w:val="right"/>
            </w:pPr>
            <w:r>
              <w:rPr>
                <w:rFonts w:ascii="宋体" w:eastAsia="宋体" w:hAnsi="宋体" w:cs="宋体"/>
                <w:b w:val="0"/>
                <w:i w:val="0"/>
                <w:color w:val="000000"/>
                <w:sz w:val="25"/>
              </w:rPr>
              <w:t xml:space="preserve">72.71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民主党派及工商联事务</w:t>
            </w:r>
          </w:p>
        </w:tc>
        <w:tc>
          <w:tcPr>
            <w:tcW w:w="2700" w:type="dxa"/>
            <w:tcBorders/>
            <w:vAlign w:val="center"/>
          </w:tcPr>
          <w:p>
            <w:pPr>
              <w:jc w:val="right"/>
            </w:pPr>
            <w:r>
              <w:rPr>
                <w:rFonts w:ascii="宋体" w:eastAsia="宋体" w:hAnsi="宋体" w:cs="宋体"/>
                <w:b w:val="0"/>
                <w:i w:val="0"/>
                <w:color w:val="000000"/>
                <w:sz w:val="25"/>
              </w:rPr>
              <w:t xml:space="preserve">70.37</w:t>
            </w:r>
          </w:p>
        </w:tc>
        <w:tc>
          <w:tcPr>
            <w:tcW w:w="2700" w:type="dxa"/>
            <w:tcBorders/>
            <w:vAlign w:val="center"/>
          </w:tcPr>
          <w:p>
            <w:pPr>
              <w:jc w:val="right"/>
            </w:pPr>
            <w:r>
              <w:rPr>
                <w:rFonts w:ascii="宋体" w:eastAsia="宋体" w:hAnsi="宋体" w:cs="宋体"/>
                <w:b w:val="0"/>
                <w:i w:val="0"/>
                <w:color w:val="000000"/>
                <w:sz w:val="25"/>
              </w:rPr>
              <w:t xml:space="preserve">70.37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2012801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70.37</w:t>
            </w:r>
          </w:p>
        </w:tc>
        <w:tc>
          <w:tcPr>
            <w:tcW w:w="2700" w:type="dxa"/>
            <w:tcBorders/>
            <w:vAlign w:val="center"/>
          </w:tcPr>
          <w:p>
            <w:pPr>
              <w:jc w:val="right"/>
            </w:pPr>
            <w:r>
              <w:rPr>
                <w:rFonts w:ascii="宋体" w:eastAsia="宋体" w:hAnsi="宋体" w:cs="宋体"/>
                <w:b w:val="0"/>
                <w:i w:val="0"/>
                <w:color w:val="000000"/>
                <w:sz w:val="25"/>
              </w:rPr>
              <w:t xml:space="preserve">70.37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0.34</w:t>
            </w:r>
          </w:p>
        </w:tc>
        <w:tc>
          <w:tcPr>
            <w:tcW w:w="2700" w:type="dxa"/>
            <w:tcBorders/>
            <w:vAlign w:val="center"/>
          </w:tcPr>
          <w:p>
            <w:pPr>
              <w:jc w:val="right"/>
            </w:pPr>
            <w:r>
              <w:rPr>
                <w:rFonts w:ascii="宋体" w:eastAsia="宋体" w:hAnsi="宋体" w:cs="宋体"/>
                <w:b w:val="0"/>
                <w:i w:val="0"/>
                <w:color w:val="000000"/>
                <w:sz w:val="25"/>
              </w:rPr>
              <w:t xml:space="preserve">0.34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0.34</w:t>
            </w:r>
          </w:p>
        </w:tc>
        <w:tc>
          <w:tcPr>
            <w:tcW w:w="2700" w:type="dxa"/>
            <w:tcBorders/>
            <w:vAlign w:val="center"/>
          </w:tcPr>
          <w:p>
            <w:pPr>
              <w:jc w:val="right"/>
            </w:pPr>
            <w:r>
              <w:rPr>
                <w:rFonts w:ascii="宋体" w:eastAsia="宋体" w:hAnsi="宋体" w:cs="宋体"/>
                <w:b w:val="0"/>
                <w:i w:val="0"/>
                <w:color w:val="000000"/>
                <w:sz w:val="25"/>
              </w:rPr>
              <w:t xml:space="preserve">0.34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2.01</w:t>
            </w:r>
          </w:p>
        </w:tc>
        <w:tc>
          <w:tcPr>
            <w:tcW w:w="2700" w:type="dxa"/>
            <w:tcBorders/>
            <w:vAlign w:val="center"/>
          </w:tcPr>
          <w:p>
            <w:pPr>
              <w:jc w:val="right"/>
            </w:pPr>
            <w:r>
              <w:rPr>
                <w:rFonts w:ascii="宋体" w:eastAsia="宋体" w:hAnsi="宋体" w:cs="宋体"/>
                <w:b w:val="0"/>
                <w:i w:val="0"/>
                <w:color w:val="000000"/>
                <w:sz w:val="25"/>
              </w:rPr>
              <w:t xml:space="preserve">2.01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2.01</w:t>
            </w:r>
          </w:p>
        </w:tc>
        <w:tc>
          <w:tcPr>
            <w:tcW w:w="2700" w:type="dxa"/>
            <w:tcBorders/>
            <w:vAlign w:val="center"/>
          </w:tcPr>
          <w:p>
            <w:pPr>
              <w:jc w:val="right"/>
            </w:pPr>
            <w:r>
              <w:rPr>
                <w:rFonts w:ascii="宋体" w:eastAsia="宋体" w:hAnsi="宋体" w:cs="宋体"/>
                <w:b w:val="0"/>
                <w:i w:val="0"/>
                <w:color w:val="000000"/>
                <w:sz w:val="25"/>
              </w:rPr>
              <w:t xml:space="preserve">2.01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12.50</w:t>
            </w:r>
          </w:p>
        </w:tc>
        <w:tc>
          <w:tcPr>
            <w:tcW w:w="2700" w:type="dxa"/>
            <w:tcBorders/>
            <w:vAlign w:val="center"/>
          </w:tcPr>
          <w:p>
            <w:pPr>
              <w:jc w:val="right"/>
            </w:pPr>
            <w:r>
              <w:rPr>
                <w:rFonts w:ascii="宋体" w:eastAsia="宋体" w:hAnsi="宋体" w:cs="宋体"/>
                <w:b w:val="0"/>
                <w:i w:val="0"/>
                <w:color w:val="000000"/>
                <w:sz w:val="25"/>
              </w:rPr>
              <w:t xml:space="preserve">12.50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12.50</w:t>
            </w:r>
          </w:p>
        </w:tc>
        <w:tc>
          <w:tcPr>
            <w:tcW w:w="2700" w:type="dxa"/>
            <w:tcBorders/>
            <w:vAlign w:val="center"/>
          </w:tcPr>
          <w:p>
            <w:pPr>
              <w:jc w:val="right"/>
            </w:pPr>
            <w:r>
              <w:rPr>
                <w:rFonts w:ascii="宋体" w:eastAsia="宋体" w:hAnsi="宋体" w:cs="宋体"/>
                <w:b w:val="0"/>
                <w:i w:val="0"/>
                <w:color w:val="000000"/>
                <w:sz w:val="25"/>
              </w:rPr>
              <w:t xml:space="preserve">12.50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行政单位离退休</w:t>
            </w:r>
          </w:p>
        </w:tc>
        <w:tc>
          <w:tcPr>
            <w:tcW w:w="2700" w:type="dxa"/>
            <w:tcBorders/>
            <w:vAlign w:val="center"/>
          </w:tcPr>
          <w:p>
            <w:pPr>
              <w:jc w:val="right"/>
            </w:pPr>
            <w:r>
              <w:rPr>
                <w:rFonts w:ascii="宋体" w:eastAsia="宋体" w:hAnsi="宋体" w:cs="宋体"/>
                <w:b w:val="0"/>
                <w:i w:val="0"/>
                <w:color w:val="000000"/>
                <w:sz w:val="25"/>
              </w:rPr>
              <w:t xml:space="preserve">5.75</w:t>
            </w:r>
          </w:p>
        </w:tc>
        <w:tc>
          <w:tcPr>
            <w:tcW w:w="2700" w:type="dxa"/>
            <w:tcBorders/>
            <w:vAlign w:val="center"/>
          </w:tcPr>
          <w:p>
            <w:pPr>
              <w:jc w:val="right"/>
            </w:pPr>
            <w:r>
              <w:rPr>
                <w:rFonts w:ascii="宋体" w:eastAsia="宋体" w:hAnsi="宋体" w:cs="宋体"/>
                <w:b w:val="0"/>
                <w:i w:val="0"/>
                <w:color w:val="000000"/>
                <w:sz w:val="25"/>
              </w:rPr>
              <w:t xml:space="preserve">5.75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2.67</w:t>
            </w:r>
          </w:p>
        </w:tc>
        <w:tc>
          <w:tcPr>
            <w:tcW w:w="2700" w:type="dxa"/>
            <w:tcBorders/>
            <w:vAlign w:val="center"/>
          </w:tcPr>
          <w:p>
            <w:pPr>
              <w:jc w:val="right"/>
            </w:pPr>
            <w:r>
              <w:rPr>
                <w:rFonts w:ascii="宋体" w:eastAsia="宋体" w:hAnsi="宋体" w:cs="宋体"/>
                <w:b w:val="0"/>
                <w:i w:val="0"/>
                <w:color w:val="000000"/>
                <w:sz w:val="25"/>
              </w:rPr>
              <w:t xml:space="preserve">2.67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4.08</w:t>
            </w:r>
          </w:p>
        </w:tc>
        <w:tc>
          <w:tcPr>
            <w:tcW w:w="2700" w:type="dxa"/>
            <w:tcBorders/>
            <w:vAlign w:val="center"/>
          </w:tcPr>
          <w:p>
            <w:pPr>
              <w:jc w:val="right"/>
            </w:pPr>
            <w:r>
              <w:rPr>
                <w:rFonts w:ascii="宋体" w:eastAsia="宋体" w:hAnsi="宋体" w:cs="宋体"/>
                <w:b w:val="0"/>
                <w:i w:val="0"/>
                <w:color w:val="000000"/>
                <w:sz w:val="25"/>
              </w:rPr>
              <w:t xml:space="preserve">4.08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4.62</w:t>
            </w:r>
          </w:p>
        </w:tc>
        <w:tc>
          <w:tcPr>
            <w:tcW w:w="2700" w:type="dxa"/>
            <w:tcBorders/>
            <w:vAlign w:val="center"/>
          </w:tcPr>
          <w:p>
            <w:pPr>
              <w:jc w:val="right"/>
            </w:pPr>
            <w:r>
              <w:rPr>
                <w:rFonts w:ascii="宋体" w:eastAsia="宋体" w:hAnsi="宋体" w:cs="宋体"/>
                <w:b w:val="0"/>
                <w:i w:val="0"/>
                <w:color w:val="000000"/>
                <w:sz w:val="25"/>
              </w:rPr>
              <w:t xml:space="preserve">4.62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4.62</w:t>
            </w:r>
          </w:p>
        </w:tc>
        <w:tc>
          <w:tcPr>
            <w:tcW w:w="2700" w:type="dxa"/>
            <w:tcBorders/>
            <w:vAlign w:val="center"/>
          </w:tcPr>
          <w:p>
            <w:pPr>
              <w:jc w:val="right"/>
            </w:pPr>
            <w:r>
              <w:rPr>
                <w:rFonts w:ascii="宋体" w:eastAsia="宋体" w:hAnsi="宋体" w:cs="宋体"/>
                <w:b w:val="0"/>
                <w:i w:val="0"/>
                <w:color w:val="000000"/>
                <w:sz w:val="25"/>
              </w:rPr>
              <w:t xml:space="preserve">4.62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行政单位医疗</w:t>
            </w:r>
          </w:p>
        </w:tc>
        <w:tc>
          <w:tcPr>
            <w:tcW w:w="2700" w:type="dxa"/>
            <w:tcBorders/>
            <w:vAlign w:val="center"/>
          </w:tcPr>
          <w:p>
            <w:pPr>
              <w:jc w:val="right"/>
            </w:pPr>
            <w:r>
              <w:rPr>
                <w:rFonts w:ascii="宋体" w:eastAsia="宋体" w:hAnsi="宋体" w:cs="宋体"/>
                <w:b w:val="0"/>
                <w:i w:val="0"/>
                <w:color w:val="000000"/>
                <w:sz w:val="25"/>
              </w:rPr>
              <w:t xml:space="preserve">2.20</w:t>
            </w:r>
          </w:p>
        </w:tc>
        <w:tc>
          <w:tcPr>
            <w:tcW w:w="2700" w:type="dxa"/>
            <w:tcBorders/>
            <w:vAlign w:val="center"/>
          </w:tcPr>
          <w:p>
            <w:pPr>
              <w:jc w:val="right"/>
            </w:pPr>
            <w:r>
              <w:rPr>
                <w:rFonts w:ascii="宋体" w:eastAsia="宋体" w:hAnsi="宋体" w:cs="宋体"/>
                <w:b w:val="0"/>
                <w:i w:val="0"/>
                <w:color w:val="000000"/>
                <w:sz w:val="25"/>
              </w:rPr>
              <w:t xml:space="preserve">2.20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2.42</w:t>
            </w:r>
          </w:p>
        </w:tc>
        <w:tc>
          <w:tcPr>
            <w:tcW w:w="2700" w:type="dxa"/>
            <w:tcBorders/>
            <w:vAlign w:val="center"/>
          </w:tcPr>
          <w:p>
            <w:pPr>
              <w:jc w:val="right"/>
            </w:pPr>
            <w:r>
              <w:rPr>
                <w:rFonts w:ascii="宋体" w:eastAsia="宋体" w:hAnsi="宋体" w:cs="宋体"/>
                <w:b w:val="0"/>
                <w:i w:val="0"/>
                <w:color w:val="000000"/>
                <w:sz w:val="25"/>
              </w:rPr>
              <w:t xml:space="preserve">2.42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3.88</w:t>
            </w:r>
          </w:p>
        </w:tc>
        <w:tc>
          <w:tcPr>
            <w:tcW w:w="2700" w:type="dxa"/>
            <w:tcBorders/>
            <w:vAlign w:val="center"/>
          </w:tcPr>
          <w:p>
            <w:pPr>
              <w:jc w:val="right"/>
            </w:pPr>
            <w:r>
              <w:rPr>
                <w:rFonts w:ascii="宋体" w:eastAsia="宋体" w:hAnsi="宋体" w:cs="宋体"/>
                <w:b w:val="0"/>
                <w:i w:val="0"/>
                <w:color w:val="000000"/>
                <w:sz w:val="25"/>
              </w:rPr>
              <w:t xml:space="preserve">3.88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3.88</w:t>
            </w:r>
          </w:p>
        </w:tc>
        <w:tc>
          <w:tcPr>
            <w:tcW w:w="2700" w:type="dxa"/>
            <w:tcBorders/>
            <w:vAlign w:val="center"/>
          </w:tcPr>
          <w:p>
            <w:pPr>
              <w:jc w:val="right"/>
            </w:pPr>
            <w:r>
              <w:rPr>
                <w:rFonts w:ascii="宋体" w:eastAsia="宋体" w:hAnsi="宋体" w:cs="宋体"/>
                <w:b w:val="0"/>
                <w:i w:val="0"/>
                <w:color w:val="000000"/>
                <w:sz w:val="25"/>
              </w:rPr>
              <w:t xml:space="preserve">3.88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3.88</w:t>
            </w:r>
          </w:p>
        </w:tc>
        <w:tc>
          <w:tcPr>
            <w:tcW w:w="2700" w:type="dxa"/>
            <w:tcBorders/>
            <w:vAlign w:val="center"/>
          </w:tcPr>
          <w:p>
            <w:pPr>
              <w:jc w:val="right"/>
            </w:pPr>
            <w:r>
              <w:rPr>
                <w:rFonts w:ascii="宋体" w:eastAsia="宋体" w:hAnsi="宋体" w:cs="宋体"/>
                <w:b w:val="0"/>
                <w:i w:val="0"/>
                <w:color w:val="000000"/>
                <w:sz w:val="25"/>
              </w:rPr>
              <w:t xml:space="preserve">3.88</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注：本表反映部门本年度一般公共预算财政拨款支出情况。本表金额转换为万元时，因四舍五入可能存在尾差。</w:t>
      </w: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部门：中国国民党革命委员会许昌市委员会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72.08</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13.23</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19.32</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4.44</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16.70</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23.37</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4.08</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0.05</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2.20</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2.42</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0.60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0.10</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2.80</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3.88</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8.41</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0.50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8.41</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0.15</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0.34</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0.42</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3.67</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0.25</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80.49</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13.23</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注：本表反映部门本年度一般公共预算财政拨款基本支出明细情况。本表金额转换为万元时，因四舍五入可能存在尾差。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部门：中国国民党革命委员会许昌市委员会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注：本表反映部门本年度政府性基金预算财政拨款收入、支出及结转和结余情况。本表金额转换为万元时，因四舍五入可能存在尾差。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说明：我部门没有政府性基金收入，也没有使用政府性基金安排的支出，故本表无数据。</w:t>
      </w:r>
    </w:p>
    <w:p>
      <w:pPr>
        <w:rPr>
          <w:rFonts w:ascii="华文中宋" w:eastAsia="华文中宋" w:hAnsi="华文中宋" w:cs="华文中宋" w:hint="default"/>
          <w:color w:val="000000"/>
          <w:kern w:val="0"/>
          <w:sz w:val="32"/>
          <w:szCs w:val="32"/>
          <w:lang w:val="en-US" w:eastAsia="zh-CN"/>
        </w:rPr>
      </w:pP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部门：中国国民党革命委员会许昌市委员会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说明：我部门没有国有资本经营收入，也没有使用国有资本经营安排的支出，故本表无数据。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部门：中国国民党革命委员会许昌市委员会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0.15</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0.15</w:t>
            </w:r>
          </w:p>
        </w:tc>
        <w:tc>
          <w:tcPr>
            <w:tcW w:w="1160" w:type="dxa"/>
            <w:tcBorders/>
            <w:vAlign w:val="center"/>
          </w:tcPr>
          <w:p>
            <w:pPr>
              <w:jc w:val="right"/>
            </w:pPr>
            <w:r>
              <w:rPr>
                <w:rFonts w:ascii="宋体" w:eastAsia="宋体" w:hAnsi="宋体" w:cs="宋体"/>
                <w:b w:val="0"/>
                <w:i w:val="0"/>
                <w:color w:val="000000"/>
                <w:sz w:val="17"/>
              </w:rPr>
              <w:t xml:space="preserve">0.15</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98" w:type="dxa"/>
            <w:tcBorders/>
            <w:vAlign w:val="center"/>
          </w:tcPr>
          <w:p>
            <w:pPr>
              <w:jc w:val="right"/>
            </w:pPr>
            <w:r>
              <w:rPr>
                <w:rFonts w:ascii="宋体" w:eastAsia="宋体" w:hAnsi="宋体" w:cs="宋体"/>
                <w:b w:val="0"/>
                <w:i w:val="0"/>
                <w:color w:val="000000"/>
                <w:sz w:val="17"/>
              </w:rPr>
              <w:t xml:space="preserve">0.15</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2023年度部门决算情况说明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93.72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增加21.32万元，增长29.45%</w:t>
      </w:r>
      <w:r>
        <w:rPr>
          <w:rFonts w:ascii="仿宋" w:eastAsia="仿宋" w:hAnsi="仿宋" w:cs="仿宋" w:hint="eastAsia"/>
          <w:kern w:val="0"/>
          <w:sz w:val="32"/>
          <w:szCs w:val="32"/>
          <w:lang w:val="en-US" w:eastAsia="zh-CN"/>
        </w:rPr>
        <w:t xml:space="preserve">。主要原因是本年度单位新增人员，各项支出金额增加。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93.72</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财政拨款收入93.72万元，占100.00%；上级补助收入0.00万元，占0.00%；事业收入0.00万元，占0.00%；经营收入0.00万元，占0.00%；附属单位上缴收入0.00万元，占0.00%；其他收入0.00万元，占0.00%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93.72</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基本支出93.72万元，占100.00%；项目支出0.00万元，占0.00%；上缴上级支出0.00万元，占0.00%；经营支出0.00万元，占0.00%；对附属单位补助支出0.00万元，占0.00%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93.72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增加21.32万元，增长29.45%</w:t>
      </w:r>
      <w:r>
        <w:rPr>
          <w:rFonts w:ascii="仿宋" w:eastAsia="仿宋" w:hAnsi="仿宋" w:cs="仿宋" w:hint="eastAsia"/>
          <w:kern w:val="0"/>
          <w:sz w:val="32"/>
          <w:szCs w:val="32"/>
          <w:lang w:val="en-US" w:eastAsia="zh-CN"/>
        </w:rPr>
        <w:t xml:space="preserve">。主要原因是本年度单位新增人员，各项支出金额增加。</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93.72</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增加21.32万元，增长29.45%</w:t>
      </w:r>
      <w:r>
        <w:rPr>
          <w:rFonts w:ascii="仿宋" w:eastAsia="仿宋" w:hAnsi="仿宋" w:cs="仿宋" w:hint="eastAsia"/>
          <w:kern w:val="0"/>
          <w:sz w:val="32"/>
          <w:szCs w:val="32"/>
          <w:lang w:val="en-US" w:eastAsia="zh-CN"/>
        </w:rPr>
        <w:t xml:space="preserve">。主要原因是本年度单位新增人员，各项支出金额增加。</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93.72</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一般公共服务支出（类）72.71万元，占77.58%；社会保障和就业支出（类）12.50万元，占13.34%；卫生健康支出（类）4.62万元，占4.93%；住房保障支出（类）3.88万元，占4.15%</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79.54</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93.72</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117.83</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1.一般公共服务支出（类）民主党派及工商联事务（款）行政运行（项）</w:t>
      </w:r>
      <w:r>
        <w:rPr>
          <w:rFonts w:ascii="仿宋" w:eastAsia="仿宋" w:hAnsi="仿宋" w:cs="仿宋" w:hint="default"/>
          <w:kern w:val="0"/>
          <w:sz w:val="32"/>
          <w:szCs w:val="32"/>
          <w:lang w:val="en-US" w:eastAsia="zh-CN"/>
        </w:rPr>
        <w:t xml:space="preserve">年初预算数为70.37万元，决算数70.37万元,完成年初预算的100.00%，决算数与年初预算数不存在差异。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2.一般公共服务支出（类）群众团体事务（款）工会事务（项）</w:t>
      </w:r>
      <w:r>
        <w:rPr>
          <w:rFonts w:ascii="仿宋" w:eastAsia="仿宋" w:hAnsi="仿宋" w:cs="仿宋" w:hint="default"/>
          <w:kern w:val="0"/>
          <w:sz w:val="32"/>
          <w:szCs w:val="32"/>
          <w:lang w:val="en-US" w:eastAsia="zh-CN"/>
        </w:rPr>
        <w:t xml:space="preserve">年初预算数为0.34万元，决算数0.34万元,完成年初预算的100.00%，决算数与年初预算数不存在差异。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3.一般公共服务支出（类）其他一般公共服务支出（款）其他一般公共服务支出（项）</w:t>
      </w:r>
      <w:r>
        <w:rPr>
          <w:rFonts w:ascii="仿宋" w:eastAsia="仿宋" w:hAnsi="仿宋" w:cs="仿宋" w:hint="default"/>
          <w:kern w:val="0"/>
          <w:sz w:val="32"/>
          <w:szCs w:val="32"/>
          <w:lang w:val="en-US" w:eastAsia="zh-CN"/>
        </w:rPr>
        <w:t xml:space="preserve">年初预算数为2.01万元，决算数2.01万元,完成年初预算的100.00%，决算数与年初预算数不存在差异。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4.社会保障和就业支出（类）行政事业单位养老支出（款）行政单位离退休（项）</w:t>
      </w:r>
      <w:r>
        <w:rPr>
          <w:rFonts w:ascii="仿宋" w:eastAsia="仿宋" w:hAnsi="仿宋" w:cs="仿宋" w:hint="default"/>
          <w:kern w:val="0"/>
          <w:sz w:val="32"/>
          <w:szCs w:val="32"/>
          <w:lang w:val="en-US" w:eastAsia="zh-CN"/>
        </w:rPr>
        <w:t xml:space="preserve">年初预算数为5.75万元，决算数5.75万元,完成年初预算的100.00%，决算数与年初预算数不存在差异。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5.社会保障和就业支出（类）行政事业单位养老支出（款）事业单位离退休（项）</w:t>
      </w:r>
      <w:r>
        <w:rPr>
          <w:rFonts w:ascii="仿宋" w:eastAsia="仿宋" w:hAnsi="仿宋" w:cs="仿宋" w:hint="default"/>
          <w:kern w:val="0"/>
          <w:sz w:val="32"/>
          <w:szCs w:val="32"/>
          <w:lang w:val="en-US" w:eastAsia="zh-CN"/>
        </w:rPr>
        <w:t xml:space="preserve">年初预算数为2.67万元，决算数2.67万元,完成年初预算的100.00%，决算数与年初预算数不存在差异。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6.社会保障和就业支出（类）行政事业单位养老支出（款）机关事业单位基本养老保险缴费支出（项）</w:t>
      </w:r>
      <w:r>
        <w:rPr>
          <w:rFonts w:ascii="仿宋" w:eastAsia="仿宋" w:hAnsi="仿宋" w:cs="仿宋" w:hint="default"/>
          <w:kern w:val="0"/>
          <w:sz w:val="32"/>
          <w:szCs w:val="32"/>
          <w:lang w:val="en-US" w:eastAsia="zh-CN"/>
        </w:rPr>
        <w:t xml:space="preserve">年初预算数为4.08万元，决算数4.08万元,完成年初预算的100.00%，决算数与年初预算数不存在差异。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7.卫生健康支出（类）行政事业单位医疗（款）行政单位医疗（项）</w:t>
      </w:r>
      <w:r>
        <w:rPr>
          <w:rFonts w:ascii="仿宋" w:eastAsia="仿宋" w:hAnsi="仿宋" w:cs="仿宋" w:hint="default"/>
          <w:kern w:val="0"/>
          <w:sz w:val="32"/>
          <w:szCs w:val="32"/>
          <w:lang w:val="en-US" w:eastAsia="zh-CN"/>
        </w:rPr>
        <w:t xml:space="preserve">年初预算数为2.20万元，决算数2.20万元,完成年初预算的100.00%，决算数与年初预算数不存在差异。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8.卫生健康支出（类）行政事业单位医疗（款）公务员医疗补助（项）</w:t>
      </w:r>
      <w:r>
        <w:rPr>
          <w:rFonts w:ascii="仿宋" w:eastAsia="仿宋" w:hAnsi="仿宋" w:cs="仿宋" w:hint="default"/>
          <w:kern w:val="0"/>
          <w:sz w:val="32"/>
          <w:szCs w:val="32"/>
          <w:lang w:val="en-US" w:eastAsia="zh-CN"/>
        </w:rPr>
        <w:t xml:space="preserve">年初预算数为2.42万元，决算数2.42万元,完成年初预算的100.00%，决算数与年初预算数不存在差异。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9.住房保障支出（类）住房改革支出（款）住房公积金（项）</w:t>
      </w:r>
      <w:r>
        <w:rPr>
          <w:rFonts w:ascii="仿宋" w:eastAsia="仿宋" w:hAnsi="仿宋" w:cs="仿宋" w:hint="default"/>
          <w:kern w:val="0"/>
          <w:sz w:val="32"/>
          <w:szCs w:val="32"/>
          <w:lang w:val="en-US" w:eastAsia="zh-CN"/>
        </w:rPr>
        <w:t xml:space="preserve">年初预算数为3.88万元，决算数3.88万元,完成年初预算的100.00%，决算数与年初预算数不存在差异。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93.72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其中：人员经费80.49万元，主要包括：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公用经费13.23万元，主要包括：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、物业管理费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、会议费</w:t>
      </w:r>
      <w:r>
        <w:rPr>
          <w:rFonts w:ascii="仿宋" w:eastAsia="仿宋" w:hAnsi="仿宋" w:cs="仿宋" w:hint="eastAsia"/>
          <w:kern w:val="0"/>
          <w:sz w:val="32"/>
          <w:szCs w:val="32"/>
          <w:lang w:val="en-US" w:eastAsia="zh-CN"/>
        </w:rPr>
        <w:t xml:space="preserve">、公务接待费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本部门2023年度没有政府性基金收入，也没有使用政府性基金安排的支出。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本部门2023年度没有国有资本经营收入，也没有使用国有资本经营安排的支出。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0.15</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0.15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0.15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2023年期末，部门开支财政拨款的公务用车保有量为</w:t>
      </w:r>
      <w:r>
        <w:rPr>
          <w:rFonts w:ascii="仿宋" w:eastAsia="仿宋" w:hAnsi="仿宋" w:cs="仿宋" w:hint="eastAsia"/>
          <w:kern w:val="2"/>
          <w:sz w:val="32"/>
          <w:szCs w:val="32"/>
          <w:lang w:val="en-US" w:eastAsia="zh-CN"/>
        </w:rPr>
        <w:t xml:space="preserve">0</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0.15</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0.15</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0.15</w:t>
      </w:r>
      <w:r>
        <w:rPr>
          <w:rFonts w:ascii="仿宋" w:eastAsia="仿宋" w:hAnsi="仿宋" w:cs="仿宋" w:hint="eastAsia"/>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主要用于接待省市民革组织考察调研。</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12</w:t>
      </w:r>
      <w:r>
        <w:rPr>
          <w:rFonts w:ascii="仿宋" w:eastAsia="仿宋" w:hAnsi="仿宋" w:cs="仿宋" w:hint="eastAsia"/>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2023年度机关运行经费支出13.23万元，</w:t>
      </w:r>
      <w:r>
        <w:rPr>
          <w:rFonts w:ascii="仿宋" w:eastAsia="仿宋" w:hAnsi="仿宋" w:cs="仿宋" w:hint="eastAsia"/>
          <w:kern w:val="0"/>
          <w:sz w:val="32"/>
          <w:szCs w:val="32"/>
          <w:lang w:val="en-US" w:eastAsia="zh-CN"/>
        </w:rPr>
        <w:t xml:space="preserve">较2022年度增长1.11万元，</w:t>
      </w:r>
      <w:r>
        <w:rPr>
          <w:rFonts w:ascii="仿宋" w:eastAsia="仿宋" w:hAnsi="仿宋" w:cs="仿宋" w:hint="eastAsia"/>
          <w:kern w:val="0"/>
          <w:sz w:val="32"/>
          <w:szCs w:val="32"/>
          <w:lang w:val="en-US" w:eastAsia="zh-CN"/>
        </w:rPr>
        <w:t xml:space="preserve">增长9.16%，</w:t>
      </w:r>
      <w:r>
        <w:rPr>
          <w:rFonts w:ascii="仿宋" w:eastAsia="仿宋" w:hAnsi="仿宋" w:cs="仿宋" w:hint="eastAsia"/>
          <w:kern w:val="0"/>
          <w:sz w:val="32"/>
          <w:szCs w:val="32"/>
          <w:lang w:val="en-US" w:eastAsia="zh-CN"/>
        </w:rPr>
        <w:t xml:space="preserve">主要原因是本年度单位新增人员，各项支出金额增加。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2023年期末，本部门共有车辆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sz w:val="32"/>
          <w:szCs w:val="32"/>
        </w:rPr>
        <w:t xml:space="preserve">我部门对本部门</w:t>
      </w:r>
      <w:r>
        <w:rPr>
          <w:rFonts w:ascii="仿宋" w:eastAsia="仿宋" w:hAnsi="仿宋" w:cs="仿宋" w:hint="eastAsia"/>
          <w:kern w:val="0"/>
          <w:sz w:val="32"/>
          <w:szCs w:val="32"/>
          <w:lang w:val="en-US" w:eastAsia="zh-CN"/>
        </w:rPr>
        <w:t xml:space="preserve">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1.部门整体绩效自评。</w:t>
      </w:r>
      <w:r>
        <w:rPr>
          <w:rFonts w:ascii="仿宋" w:eastAsia="仿宋" w:hAnsi="仿宋" w:cs="仿宋" w:hint="eastAsia"/>
          <w:kern w:val="0"/>
          <w:sz w:val="32"/>
          <w:szCs w:val="32"/>
          <w:lang w:val="en-US" w:eastAsia="zh-CN"/>
        </w:rPr>
        <w:t xml:space="preserve">涉及预算资金</w:t>
      </w:r>
      <w:r>
        <w:rPr>
          <w:rFonts w:ascii="仿宋" w:eastAsia="仿宋" w:hAnsi="仿宋" w:cs="仿宋" w:hint="eastAsia"/>
          <w:kern w:val="0"/>
          <w:sz w:val="32"/>
          <w:szCs w:val="32"/>
          <w:lang w:val="en-US" w:eastAsia="zh-CN"/>
        </w:rPr>
        <w:t xml:space="preserve">95.69</w:t>
      </w:r>
      <w:r>
        <w:rPr>
          <w:rFonts w:ascii="仿宋" w:eastAsia="仿宋" w:hAnsi="仿宋" w:cs="仿宋" w:hint="eastAsia"/>
          <w:kern w:val="0"/>
          <w:sz w:val="32"/>
          <w:szCs w:val="32"/>
          <w:lang w:val="en-US" w:eastAsia="zh-CN"/>
        </w:rPr>
        <w:t xml:space="preserve">万元。自评得分为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分，等级为“</w:t>
      </w:r>
      <w:r>
        <w:rPr>
          <w:rFonts w:ascii="仿宋" w:eastAsia="仿宋" w:hAnsi="仿宋" w:cs="仿宋" w:hint="eastAsia"/>
          <w:kern w:val="0"/>
          <w:sz w:val="32"/>
          <w:szCs w:val="32"/>
          <w:lang w:val="en-US" w:eastAsia="zh-CN"/>
        </w:rPr>
        <w:t xml:space="preserve">优</w:t>
      </w:r>
      <w:r>
        <w:rPr>
          <w:rFonts w:ascii="仿宋" w:eastAsia="仿宋" w:hAnsi="仿宋" w:cs="仿宋" w:hint="default"/>
          <w:kern w:val="0"/>
          <w:sz w:val="32"/>
          <w:szCs w:val="32"/>
          <w:lang w:val="en-US" w:eastAsia="zh-CN"/>
        </w:rPr>
        <w:t xml:space="preserve">”</w:t>
      </w:r>
      <w:r>
        <w:rPr>
          <w:rFonts w:ascii="仿宋" w:eastAsia="仿宋" w:hAnsi="仿宋" w:cs="仿宋" w:hint="eastAsia"/>
          <w:kern w:val="0"/>
          <w:sz w:val="32"/>
          <w:szCs w:val="32"/>
          <w:lang w:val="en-US" w:eastAsia="zh-CN"/>
        </w:rPr>
        <w:t xml:space="preserve">。从部门整体自评情况来看，</w:t>
      </w:r>
      <w:r>
        <w:rPr>
          <w:rFonts w:ascii="仿宋" w:eastAsia="仿宋" w:hAnsi="仿宋" w:cs="仿宋" w:hint="eastAsia"/>
          <w:kern w:val="0"/>
          <w:sz w:val="32"/>
          <w:szCs w:val="32"/>
          <w:lang w:val="en-US" w:eastAsia="zh-CN"/>
        </w:rPr>
        <w:t xml:space="preserve">绩效评价有效落实，指导经费开支合规，经费管理使用合理</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2.项目绩效自评。</w:t>
      </w:r>
      <w:r>
        <w:rPr>
          <w:rFonts w:ascii="仿宋" w:eastAsia="仿宋" w:hAnsi="仿宋" w:cs="仿宋" w:hint="eastAsia"/>
          <w:kern w:val="0"/>
          <w:sz w:val="32"/>
          <w:szCs w:val="32"/>
          <w:lang w:val="en-US" w:eastAsia="zh-CN"/>
        </w:rPr>
        <w:t xml:space="preserve">根据工作实际，我部门没有项目需要开展项目绩效自评。</w:t>
      </w:r>
      <w:bookmarkStart w:id="0" w:name="_GoBack"/>
      <w:bookmarkEnd w:id="0"/>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根据工作实际，我部门未选取项目开展部门重点绩效评价。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p>
    <w:tbl>
      <w:tblPr>
        <w:tblW w:w="0" w:type="auto"/>
        <w:jc w:val="center"/>
        <w:tblLayout w:type="fixed"/>
        <w:tblCellMar>
          <w:left w:w="20" w:type="dxa"/>
          <w:right w:w="20" w:type="dxa"/>
        </w:tblCellMar>
        <w:tblLook w:firstRow="0" w:lastRow="0" w:firstColumn="0" w:lastColumn="0" w:noHBand="1" w:noVBand="1"/>
      </w:tblPr>
      <w:tblGrid>
        <w:gridCol w:w="797"/>
        <w:gridCol w:w="936"/>
        <w:gridCol w:w="696"/>
        <w:gridCol w:w="582"/>
        <w:gridCol w:w="1594"/>
        <w:gridCol w:w="962"/>
        <w:gridCol w:w="1278"/>
        <w:gridCol w:w="582"/>
        <w:gridCol w:w="519"/>
        <w:gridCol w:w="683"/>
        <w:gridCol w:w="696"/>
        <w:gridCol w:w="582"/>
      </w:tblGrid>
      <w:tr>
        <w:trPr>
          <w:trHeight w:hRule="exact" w:val="364"/>
          <w:jc w:val="center"/>
        </w:trPr>
        <w:tc>
          <w:tcPr>
            <w:tcW w:w="9907" w:type="dxa"/>
            <w:hMerge w:val="restart"/>
            <w:tcBorders>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i w:val="0"/>
                <w:color w:val="000000"/>
                <w:sz w:val="24"/>
              </w:rPr>
              <w:t xml:space="preserve">部门整体自评表</w:t>
            </w: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301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部门（单位）名称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8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中国国民党革命委员会许昌市委员会</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部门整体支出情况</w:t>
            </w:r>
          </w:p>
        </w:tc>
        <w:tc>
          <w:tcPr>
            <w:tcW w:w="22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7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执行率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部门预算总额（万元）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79.54</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95.69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93.74</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7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97.96</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资金来源：（1）政府预算资金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79.54</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93.72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7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98.55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     （2）财政专户管理资金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7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     （3）单位资金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0.59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7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3.39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82"/>
          <w:jc w:val="center"/>
        </w:trPr>
        <w:tc>
          <w:tcPr>
            <w:tcW w:w="7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年度履职目标</w:t>
            </w:r>
          </w:p>
        </w:tc>
        <w:tc>
          <w:tcPr>
            <w:tcW w:w="47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421"/>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7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完成年度目标发展任务，加强自身建设，开展社会服务活动，认真履行职责，积极参政议政。</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完成年度目标发展任务，加强自身建设，开展社会服务活动，认真履行职责，积极参政议政。</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年度主要任务</w:t>
            </w:r>
          </w:p>
        </w:tc>
        <w:tc>
          <w:tcPr>
            <w:tcW w:w="163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任务名称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1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主要内容</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450"/>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3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自身建设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1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认真学习中共二十大会议精神，加强自身建设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认真学习中共二十大会议精神，加强自身建设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450"/>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3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参政议政</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1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围绕市委市政府中心工作，积极参政议政</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围绕市委市政府中心工作，积极参政议政</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一级指标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二级指标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三级指标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年度指标值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偏差度</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偏差原因分析及改进措施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绩效指标</w:t>
            </w:r>
          </w:p>
        </w:tc>
        <w:tc>
          <w:tcPr>
            <w:tcW w:w="936"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投入管理指标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工作目标管理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年度履职目标相关性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相关</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工作任务科学性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科学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绩效指标合理性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合理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预算和财务管理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预算编制完整性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完整</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专项资金细化率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预算调整率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结转结余率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“三公经费”控制率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政府采购执行率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≥80%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决算真实性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真实</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资金使用合规性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合规</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管理制度健全性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健全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预决算信息公开性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公开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资产管理规范性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规范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绩效管理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绩效目标编制完成率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绩效监控完成率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绩效自评完成率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部门绩效评价完成率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评价结果应用率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6"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产出指标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重点工作任务完成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参政议政</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自身建设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8</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8</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履职目标实现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参政议政</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7</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7</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自身建设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6"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履职效益</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参政议政能力提升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提升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自身建设不断加强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提高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群众满意度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11</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11</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04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bl>
    <w:p>
      <w:pPr>
        <w:sectPr>
          <w:pgSz w:w="11907" w:h="16839"/>
          <w:pgMar w:top="400" w:right="1000" w:bottom="400" w:left="1000" w:header="720" w:footer="720" w:gutter="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89"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2704"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2024-09-25T01:00:08Z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6696</Words>
  <Characters>19169</Characters>
  <Lines>1</Lines>
  <Paragraphs>1</Paragraphs>
  <TotalTime>7</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7</TotalTime>
  <Pages>44</Pages>
  <Words>6696</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2024-09-25T01:00:08Z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