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lang w:val="en-US" w:eastAsia="zh-CN"/>
        </w:rPr>
      </w:pPr>
      <w:r>
        <w:rPr>
          <w:rFonts w:hint="eastAsia" w:ascii="黑体" w:hAnsi="宋体" w:eastAsia="黑体" w:cs="黑体"/>
          <w:kern w:val="2"/>
          <w:sz w:val="44"/>
          <w:szCs w:val="44"/>
          <w:lang w:val="en-US" w:eastAsia="zh-CN"/>
        </w:rPr>
        <w:t>中国人民政治协商会议河南省许昌市委员会</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中国人民政治协商会议河南省许昌市委员会概况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中国人民政治协商会议河南省许昌市委员会概况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中国人民政治协商会议河南省许昌市委员会主要职能是政治协商、民主监督、参政议政。这三项主要职能是我市各党派团体、各族各界人士在中国政治体制中参与国事、发挥作用的重要内容和基本形式，体现了政协的性质和特点，是政协区别于其他政治组织的重要标志。</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中国人民政治协商会议河南省许昌市委员会内设机构8个,包括：办公室、政研室、提案委、经济委、教科卫体委、民族宗教“三胞”联谊委、社会和法制委、文化和文史委。。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从决算单位构成看，中国人民政治协商会议河南省许昌市委员会部门决算包括：本级决算（1个）、所属单位决算（2个）。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本决算为汇总决算，纳入本部门2023年度部门决算编制范围的单位共3个，具体是：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1.中国人民政治协商会议河南省许昌市委员会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2.许昌市政协委员联络服务中心（未独立核算）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3.政协许昌市委员会机关信息化和服务保障中心（未独立核算)</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2,159.23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1,561.57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2.86</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470.87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94.06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71.57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2,162.09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2,201.54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41.77</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2.31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2,203.85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2,203.85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2,162.09</w:t>
            </w:r>
          </w:p>
        </w:tc>
        <w:tc>
          <w:tcPr>
            <w:tcW w:w="1440" w:type="dxa"/>
            <w:vAlign w:val="center"/>
          </w:tcPr>
          <w:p>
            <w:pPr>
              <w:jc w:val="right"/>
            </w:pPr>
            <w:r>
              <w:rPr>
                <w:rFonts w:ascii="宋体" w:hAnsi="宋体" w:eastAsia="宋体" w:cs="宋体"/>
                <w:b/>
                <w:i w:val="0"/>
                <w:color w:val="000000"/>
                <w:sz w:val="17"/>
              </w:rPr>
              <w:t>2,159.23</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1,520.42</w:t>
            </w:r>
          </w:p>
        </w:tc>
        <w:tc>
          <w:tcPr>
            <w:tcW w:w="1440" w:type="dxa"/>
            <w:vAlign w:val="center"/>
          </w:tcPr>
          <w:p>
            <w:pPr>
              <w:jc w:val="right"/>
            </w:pPr>
            <w:r>
              <w:rPr>
                <w:rFonts w:ascii="宋体" w:hAnsi="宋体" w:eastAsia="宋体" w:cs="宋体"/>
                <w:b w:val="0"/>
                <w:i w:val="0"/>
                <w:color w:val="000000"/>
                <w:sz w:val="17"/>
              </w:rPr>
              <w:t>1,520.42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20102</w:t>
            </w:r>
          </w:p>
        </w:tc>
        <w:tc>
          <w:tcPr>
            <w:tcW w:w="3140" w:type="dxa"/>
            <w:vAlign w:val="center"/>
          </w:tcPr>
          <w:p>
            <w:pPr>
              <w:jc w:val="left"/>
            </w:pPr>
            <w:r>
              <w:rPr>
                <w:rFonts w:ascii="宋体" w:hAnsi="宋体" w:eastAsia="宋体" w:cs="宋体"/>
                <w:b w:val="0"/>
                <w:i w:val="0"/>
                <w:color w:val="000000"/>
                <w:sz w:val="17"/>
              </w:rPr>
              <w:t>政协事务</w:t>
            </w:r>
          </w:p>
        </w:tc>
        <w:tc>
          <w:tcPr>
            <w:tcW w:w="1440" w:type="dxa"/>
            <w:vAlign w:val="center"/>
          </w:tcPr>
          <w:p>
            <w:pPr>
              <w:jc w:val="right"/>
            </w:pPr>
            <w:r>
              <w:rPr>
                <w:rFonts w:ascii="宋体" w:hAnsi="宋体" w:eastAsia="宋体" w:cs="宋体"/>
                <w:b w:val="0"/>
                <w:i w:val="0"/>
                <w:color w:val="000000"/>
                <w:sz w:val="17"/>
              </w:rPr>
              <w:t>1,449.98</w:t>
            </w:r>
          </w:p>
        </w:tc>
        <w:tc>
          <w:tcPr>
            <w:tcW w:w="1440" w:type="dxa"/>
            <w:vAlign w:val="center"/>
          </w:tcPr>
          <w:p>
            <w:pPr>
              <w:jc w:val="right"/>
            </w:pPr>
            <w:r>
              <w:rPr>
                <w:rFonts w:ascii="宋体" w:hAnsi="宋体" w:eastAsia="宋体" w:cs="宋体"/>
                <w:b w:val="0"/>
                <w:i w:val="0"/>
                <w:color w:val="000000"/>
                <w:sz w:val="17"/>
              </w:rPr>
              <w:t>1,449.98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1,197.06</w:t>
            </w:r>
          </w:p>
        </w:tc>
        <w:tc>
          <w:tcPr>
            <w:tcW w:w="1440" w:type="dxa"/>
            <w:vAlign w:val="center"/>
          </w:tcPr>
          <w:p>
            <w:pPr>
              <w:jc w:val="right"/>
            </w:pPr>
            <w:r>
              <w:rPr>
                <w:rFonts w:ascii="宋体" w:hAnsi="宋体" w:eastAsia="宋体" w:cs="宋体"/>
                <w:b w:val="0"/>
                <w:i w:val="0"/>
                <w:color w:val="000000"/>
                <w:sz w:val="17"/>
              </w:rPr>
              <w:t>1,197.06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183.94</w:t>
            </w:r>
          </w:p>
        </w:tc>
        <w:tc>
          <w:tcPr>
            <w:tcW w:w="1440" w:type="dxa"/>
            <w:vAlign w:val="center"/>
          </w:tcPr>
          <w:p>
            <w:pPr>
              <w:jc w:val="right"/>
            </w:pPr>
            <w:r>
              <w:rPr>
                <w:rFonts w:ascii="宋体" w:hAnsi="宋体" w:eastAsia="宋体" w:cs="宋体"/>
                <w:b w:val="0"/>
                <w:i w:val="0"/>
                <w:color w:val="000000"/>
                <w:sz w:val="17"/>
              </w:rPr>
              <w:t>183.94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2010250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68.98</w:t>
            </w:r>
          </w:p>
        </w:tc>
        <w:tc>
          <w:tcPr>
            <w:tcW w:w="1440" w:type="dxa"/>
            <w:vAlign w:val="center"/>
          </w:tcPr>
          <w:p>
            <w:pPr>
              <w:jc w:val="right"/>
            </w:pPr>
            <w:r>
              <w:rPr>
                <w:rFonts w:ascii="宋体" w:hAnsi="宋体" w:eastAsia="宋体" w:cs="宋体"/>
                <w:b w:val="0"/>
                <w:i w:val="0"/>
                <w:color w:val="000000"/>
                <w:sz w:val="17"/>
              </w:rPr>
              <w:t>68.98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6.18</w:t>
            </w:r>
          </w:p>
        </w:tc>
        <w:tc>
          <w:tcPr>
            <w:tcW w:w="1440" w:type="dxa"/>
            <w:vAlign w:val="center"/>
          </w:tcPr>
          <w:p>
            <w:pPr>
              <w:jc w:val="right"/>
            </w:pPr>
            <w:r>
              <w:rPr>
                <w:rFonts w:ascii="宋体" w:hAnsi="宋体" w:eastAsia="宋体" w:cs="宋体"/>
                <w:b w:val="0"/>
                <w:i w:val="0"/>
                <w:color w:val="000000"/>
                <w:sz w:val="17"/>
              </w:rPr>
              <w:t>6.18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6.18</w:t>
            </w:r>
          </w:p>
        </w:tc>
        <w:tc>
          <w:tcPr>
            <w:tcW w:w="1440" w:type="dxa"/>
            <w:vAlign w:val="center"/>
          </w:tcPr>
          <w:p>
            <w:pPr>
              <w:jc w:val="right"/>
            </w:pPr>
            <w:r>
              <w:rPr>
                <w:rFonts w:ascii="宋体" w:hAnsi="宋体" w:eastAsia="宋体" w:cs="宋体"/>
                <w:b w:val="0"/>
                <w:i w:val="0"/>
                <w:color w:val="000000"/>
                <w:sz w:val="17"/>
              </w:rPr>
              <w:t>6.18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470.87</w:t>
            </w:r>
          </w:p>
        </w:tc>
        <w:tc>
          <w:tcPr>
            <w:tcW w:w="1440" w:type="dxa"/>
            <w:vAlign w:val="center"/>
          </w:tcPr>
          <w:p>
            <w:pPr>
              <w:jc w:val="right"/>
            </w:pPr>
            <w:r>
              <w:rPr>
                <w:rFonts w:ascii="宋体" w:hAnsi="宋体" w:eastAsia="宋体" w:cs="宋体"/>
                <w:b w:val="0"/>
                <w:i w:val="0"/>
                <w:color w:val="000000"/>
                <w:sz w:val="17"/>
              </w:rPr>
              <w:t>470.87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416.71</w:t>
            </w:r>
          </w:p>
        </w:tc>
        <w:tc>
          <w:tcPr>
            <w:tcW w:w="1440" w:type="dxa"/>
            <w:vAlign w:val="center"/>
          </w:tcPr>
          <w:p>
            <w:pPr>
              <w:jc w:val="right"/>
            </w:pPr>
            <w:r>
              <w:rPr>
                <w:rFonts w:ascii="宋体" w:hAnsi="宋体" w:eastAsia="宋体" w:cs="宋体"/>
                <w:b w:val="0"/>
                <w:i w:val="0"/>
                <w:color w:val="000000"/>
                <w:sz w:val="17"/>
              </w:rPr>
              <w:t>416.71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322.82</w:t>
            </w:r>
          </w:p>
        </w:tc>
        <w:tc>
          <w:tcPr>
            <w:tcW w:w="1440" w:type="dxa"/>
            <w:vAlign w:val="center"/>
          </w:tcPr>
          <w:p>
            <w:pPr>
              <w:jc w:val="right"/>
            </w:pPr>
            <w:r>
              <w:rPr>
                <w:rFonts w:ascii="宋体" w:hAnsi="宋体" w:eastAsia="宋体" w:cs="宋体"/>
                <w:b w:val="0"/>
                <w:i w:val="0"/>
                <w:color w:val="000000"/>
                <w:sz w:val="17"/>
              </w:rPr>
              <w:t>322.82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21.17</w:t>
            </w:r>
          </w:p>
        </w:tc>
        <w:tc>
          <w:tcPr>
            <w:tcW w:w="1440" w:type="dxa"/>
            <w:vAlign w:val="center"/>
          </w:tcPr>
          <w:p>
            <w:pPr>
              <w:jc w:val="right"/>
            </w:pPr>
            <w:r>
              <w:rPr>
                <w:rFonts w:ascii="宋体" w:hAnsi="宋体" w:eastAsia="宋体" w:cs="宋体"/>
                <w:b w:val="0"/>
                <w:i w:val="0"/>
                <w:color w:val="000000"/>
                <w:sz w:val="17"/>
              </w:rPr>
              <w:t>21.17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72.72</w:t>
            </w:r>
          </w:p>
        </w:tc>
        <w:tc>
          <w:tcPr>
            <w:tcW w:w="1440" w:type="dxa"/>
            <w:vAlign w:val="center"/>
          </w:tcPr>
          <w:p>
            <w:pPr>
              <w:jc w:val="right"/>
            </w:pPr>
            <w:r>
              <w:rPr>
                <w:rFonts w:ascii="宋体" w:hAnsi="宋体" w:eastAsia="宋体" w:cs="宋体"/>
                <w:b w:val="0"/>
                <w:i w:val="0"/>
                <w:color w:val="000000"/>
                <w:sz w:val="17"/>
              </w:rPr>
              <w:t>72.72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54.15</w:t>
            </w:r>
          </w:p>
        </w:tc>
        <w:tc>
          <w:tcPr>
            <w:tcW w:w="1440" w:type="dxa"/>
            <w:vAlign w:val="center"/>
          </w:tcPr>
          <w:p>
            <w:pPr>
              <w:jc w:val="right"/>
            </w:pPr>
            <w:r>
              <w:rPr>
                <w:rFonts w:ascii="宋体" w:hAnsi="宋体" w:eastAsia="宋体" w:cs="宋体"/>
                <w:b w:val="0"/>
                <w:i w:val="0"/>
                <w:color w:val="000000"/>
                <w:sz w:val="17"/>
              </w:rPr>
              <w:t>54.15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54.15</w:t>
            </w:r>
          </w:p>
        </w:tc>
        <w:tc>
          <w:tcPr>
            <w:tcW w:w="1440" w:type="dxa"/>
            <w:vAlign w:val="center"/>
          </w:tcPr>
          <w:p>
            <w:pPr>
              <w:jc w:val="right"/>
            </w:pPr>
            <w:r>
              <w:rPr>
                <w:rFonts w:ascii="宋体" w:hAnsi="宋体" w:eastAsia="宋体" w:cs="宋体"/>
                <w:b w:val="0"/>
                <w:i w:val="0"/>
                <w:color w:val="000000"/>
                <w:sz w:val="17"/>
              </w:rPr>
              <w:t>54.15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94.06</w:t>
            </w:r>
          </w:p>
        </w:tc>
        <w:tc>
          <w:tcPr>
            <w:tcW w:w="1440" w:type="dxa"/>
            <w:vAlign w:val="center"/>
          </w:tcPr>
          <w:p>
            <w:pPr>
              <w:jc w:val="right"/>
            </w:pPr>
            <w:r>
              <w:rPr>
                <w:rFonts w:ascii="宋体" w:hAnsi="宋体" w:eastAsia="宋体" w:cs="宋体"/>
                <w:b w:val="0"/>
                <w:i w:val="0"/>
                <w:color w:val="000000"/>
                <w:sz w:val="17"/>
              </w:rPr>
              <w:t>94.06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94.06</w:t>
            </w:r>
          </w:p>
        </w:tc>
        <w:tc>
          <w:tcPr>
            <w:tcW w:w="1440" w:type="dxa"/>
            <w:vAlign w:val="center"/>
          </w:tcPr>
          <w:p>
            <w:pPr>
              <w:jc w:val="right"/>
            </w:pPr>
            <w:r>
              <w:rPr>
                <w:rFonts w:ascii="宋体" w:hAnsi="宋体" w:eastAsia="宋体" w:cs="宋体"/>
                <w:b w:val="0"/>
                <w:i w:val="0"/>
                <w:color w:val="000000"/>
                <w:sz w:val="17"/>
              </w:rPr>
              <w:t>94.06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48.36</w:t>
            </w:r>
          </w:p>
        </w:tc>
        <w:tc>
          <w:tcPr>
            <w:tcW w:w="1440" w:type="dxa"/>
            <w:vAlign w:val="center"/>
          </w:tcPr>
          <w:p>
            <w:pPr>
              <w:jc w:val="right"/>
            </w:pPr>
            <w:r>
              <w:rPr>
                <w:rFonts w:ascii="宋体" w:hAnsi="宋体" w:eastAsia="宋体" w:cs="宋体"/>
                <w:b w:val="0"/>
                <w:i w:val="0"/>
                <w:color w:val="000000"/>
                <w:sz w:val="17"/>
              </w:rPr>
              <w:t>48.36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4.48</w:t>
            </w:r>
          </w:p>
        </w:tc>
        <w:tc>
          <w:tcPr>
            <w:tcW w:w="1440" w:type="dxa"/>
            <w:vAlign w:val="center"/>
          </w:tcPr>
          <w:p>
            <w:pPr>
              <w:jc w:val="right"/>
            </w:pPr>
            <w:r>
              <w:rPr>
                <w:rFonts w:ascii="宋体" w:hAnsi="宋体" w:eastAsia="宋体" w:cs="宋体"/>
                <w:b w:val="0"/>
                <w:i w:val="0"/>
                <w:color w:val="000000"/>
                <w:sz w:val="17"/>
              </w:rPr>
              <w:t>4.48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41.22</w:t>
            </w:r>
          </w:p>
        </w:tc>
        <w:tc>
          <w:tcPr>
            <w:tcW w:w="1440" w:type="dxa"/>
            <w:vAlign w:val="center"/>
          </w:tcPr>
          <w:p>
            <w:pPr>
              <w:jc w:val="right"/>
            </w:pPr>
            <w:r>
              <w:rPr>
                <w:rFonts w:ascii="宋体" w:hAnsi="宋体" w:eastAsia="宋体" w:cs="宋体"/>
                <w:b w:val="0"/>
                <w:i w:val="0"/>
                <w:color w:val="000000"/>
                <w:sz w:val="17"/>
              </w:rPr>
              <w:t>41.22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2.31</w:t>
            </w:r>
          </w:p>
        </w:tc>
        <w:tc>
          <w:tcPr>
            <w:tcW w:w="1440" w:type="dxa"/>
            <w:vAlign w:val="center"/>
          </w:tcPr>
          <w:p>
            <w:pPr>
              <w:jc w:val="right"/>
            </w:pPr>
            <w:r>
              <w:rPr>
                <w:rFonts w:ascii="宋体" w:hAnsi="宋体" w:eastAsia="宋体" w:cs="宋体"/>
                <w:b w:val="0"/>
                <w:i w:val="0"/>
                <w:color w:val="000000"/>
                <w:sz w:val="17"/>
              </w:rPr>
              <w:t>2.31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2.31</w:t>
            </w:r>
          </w:p>
        </w:tc>
        <w:tc>
          <w:tcPr>
            <w:tcW w:w="1440" w:type="dxa"/>
            <w:vAlign w:val="center"/>
          </w:tcPr>
          <w:p>
            <w:pPr>
              <w:jc w:val="right"/>
            </w:pPr>
            <w:r>
              <w:rPr>
                <w:rFonts w:ascii="宋体" w:hAnsi="宋体" w:eastAsia="宋体" w:cs="宋体"/>
                <w:b w:val="0"/>
                <w:i w:val="0"/>
                <w:color w:val="000000"/>
                <w:sz w:val="17"/>
              </w:rPr>
              <w:t>2.31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2.31</w:t>
            </w:r>
          </w:p>
        </w:tc>
        <w:tc>
          <w:tcPr>
            <w:tcW w:w="1440" w:type="dxa"/>
            <w:vAlign w:val="center"/>
          </w:tcPr>
          <w:p>
            <w:pPr>
              <w:jc w:val="right"/>
            </w:pPr>
            <w:r>
              <w:rPr>
                <w:rFonts w:ascii="宋体" w:hAnsi="宋体" w:eastAsia="宋体" w:cs="宋体"/>
                <w:b w:val="0"/>
                <w:i w:val="0"/>
                <w:color w:val="000000"/>
                <w:sz w:val="17"/>
              </w:rPr>
              <w:t>2.31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71.57</w:t>
            </w:r>
          </w:p>
        </w:tc>
        <w:tc>
          <w:tcPr>
            <w:tcW w:w="1440" w:type="dxa"/>
            <w:vAlign w:val="center"/>
          </w:tcPr>
          <w:p>
            <w:pPr>
              <w:jc w:val="right"/>
            </w:pPr>
            <w:r>
              <w:rPr>
                <w:rFonts w:ascii="宋体" w:hAnsi="宋体" w:eastAsia="宋体" w:cs="宋体"/>
                <w:b w:val="0"/>
                <w:i w:val="0"/>
                <w:color w:val="000000"/>
                <w:sz w:val="17"/>
              </w:rPr>
              <w:t>71.57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71.57</w:t>
            </w:r>
          </w:p>
        </w:tc>
        <w:tc>
          <w:tcPr>
            <w:tcW w:w="1440" w:type="dxa"/>
            <w:vAlign w:val="center"/>
          </w:tcPr>
          <w:p>
            <w:pPr>
              <w:jc w:val="right"/>
            </w:pPr>
            <w:r>
              <w:rPr>
                <w:rFonts w:ascii="宋体" w:hAnsi="宋体" w:eastAsia="宋体" w:cs="宋体"/>
                <w:b w:val="0"/>
                <w:i w:val="0"/>
                <w:color w:val="000000"/>
                <w:sz w:val="17"/>
              </w:rPr>
              <w:t>71.57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71.57</w:t>
            </w:r>
          </w:p>
        </w:tc>
        <w:tc>
          <w:tcPr>
            <w:tcW w:w="1440" w:type="dxa"/>
            <w:vAlign w:val="center"/>
          </w:tcPr>
          <w:p>
            <w:pPr>
              <w:jc w:val="right"/>
            </w:pPr>
            <w:r>
              <w:rPr>
                <w:rFonts w:ascii="宋体" w:hAnsi="宋体" w:eastAsia="宋体" w:cs="宋体"/>
                <w:b w:val="0"/>
                <w:i w:val="0"/>
                <w:color w:val="000000"/>
                <w:sz w:val="17"/>
              </w:rPr>
              <w:t>71.57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2.86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2.86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2.86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2.86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2,201.54</w:t>
            </w:r>
          </w:p>
        </w:tc>
        <w:tc>
          <w:tcPr>
            <w:tcW w:w="1600" w:type="dxa"/>
            <w:vAlign w:val="center"/>
          </w:tcPr>
          <w:p>
            <w:pPr>
              <w:jc w:val="right"/>
            </w:pPr>
            <w:r>
              <w:rPr>
                <w:rFonts w:ascii="宋体" w:hAnsi="宋体" w:eastAsia="宋体" w:cs="宋体"/>
                <w:b/>
                <w:i w:val="0"/>
                <w:color w:val="000000"/>
                <w:sz w:val="19"/>
              </w:rPr>
              <w:t>1,991.33</w:t>
            </w:r>
          </w:p>
        </w:tc>
        <w:tc>
          <w:tcPr>
            <w:tcW w:w="1600" w:type="dxa"/>
            <w:vAlign w:val="center"/>
          </w:tcPr>
          <w:p>
            <w:pPr>
              <w:jc w:val="right"/>
            </w:pPr>
            <w:r>
              <w:rPr>
                <w:rFonts w:ascii="宋体" w:hAnsi="宋体" w:eastAsia="宋体" w:cs="宋体"/>
                <w:b/>
                <w:i w:val="0"/>
                <w:color w:val="000000"/>
                <w:sz w:val="19"/>
              </w:rPr>
              <w:t>210.21</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1,561.57</w:t>
            </w:r>
          </w:p>
        </w:tc>
        <w:tc>
          <w:tcPr>
            <w:tcW w:w="1600" w:type="dxa"/>
            <w:vAlign w:val="center"/>
          </w:tcPr>
          <w:p>
            <w:pPr>
              <w:jc w:val="right"/>
            </w:pPr>
            <w:r>
              <w:rPr>
                <w:rFonts w:ascii="宋体" w:hAnsi="宋体" w:eastAsia="宋体" w:cs="宋体"/>
                <w:b w:val="0"/>
                <w:i w:val="0"/>
                <w:color w:val="000000"/>
                <w:sz w:val="19"/>
              </w:rPr>
              <w:t>1,353.67</w:t>
            </w:r>
          </w:p>
        </w:tc>
        <w:tc>
          <w:tcPr>
            <w:tcW w:w="1600" w:type="dxa"/>
            <w:vAlign w:val="center"/>
          </w:tcPr>
          <w:p>
            <w:pPr>
              <w:jc w:val="right"/>
            </w:pPr>
            <w:r>
              <w:rPr>
                <w:rFonts w:ascii="宋体" w:hAnsi="宋体" w:eastAsia="宋体" w:cs="宋体"/>
                <w:b w:val="0"/>
                <w:i w:val="0"/>
                <w:color w:val="000000"/>
                <w:sz w:val="19"/>
              </w:rPr>
              <w:t>207.90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20102</w:t>
            </w:r>
          </w:p>
        </w:tc>
        <w:tc>
          <w:tcPr>
            <w:tcW w:w="3480" w:type="dxa"/>
            <w:vAlign w:val="center"/>
          </w:tcPr>
          <w:p>
            <w:pPr>
              <w:jc w:val="left"/>
            </w:pPr>
            <w:r>
              <w:rPr>
                <w:rFonts w:ascii="宋体" w:hAnsi="宋体" w:eastAsia="宋体" w:cs="宋体"/>
                <w:b w:val="0"/>
                <w:i w:val="0"/>
                <w:color w:val="000000"/>
                <w:sz w:val="19"/>
              </w:rPr>
              <w:t>政协事务</w:t>
            </w:r>
          </w:p>
        </w:tc>
        <w:tc>
          <w:tcPr>
            <w:tcW w:w="1600" w:type="dxa"/>
            <w:vAlign w:val="center"/>
          </w:tcPr>
          <w:p>
            <w:pPr>
              <w:jc w:val="right"/>
            </w:pPr>
            <w:r>
              <w:rPr>
                <w:rFonts w:ascii="宋体" w:hAnsi="宋体" w:eastAsia="宋体" w:cs="宋体"/>
                <w:b w:val="0"/>
                <w:i w:val="0"/>
                <w:color w:val="000000"/>
                <w:sz w:val="19"/>
              </w:rPr>
              <w:t>1,491.13</w:t>
            </w:r>
          </w:p>
        </w:tc>
        <w:tc>
          <w:tcPr>
            <w:tcW w:w="1600" w:type="dxa"/>
            <w:vAlign w:val="center"/>
          </w:tcPr>
          <w:p>
            <w:pPr>
              <w:jc w:val="right"/>
            </w:pPr>
            <w:r>
              <w:rPr>
                <w:rFonts w:ascii="宋体" w:hAnsi="宋体" w:eastAsia="宋体" w:cs="宋体"/>
                <w:b w:val="0"/>
                <w:i w:val="0"/>
                <w:color w:val="000000"/>
                <w:sz w:val="19"/>
              </w:rPr>
              <w:t>1,301.73</w:t>
            </w:r>
          </w:p>
        </w:tc>
        <w:tc>
          <w:tcPr>
            <w:tcW w:w="1600" w:type="dxa"/>
            <w:vAlign w:val="center"/>
          </w:tcPr>
          <w:p>
            <w:pPr>
              <w:jc w:val="right"/>
            </w:pPr>
            <w:r>
              <w:rPr>
                <w:rFonts w:ascii="宋体" w:hAnsi="宋体" w:eastAsia="宋体" w:cs="宋体"/>
                <w:b w:val="0"/>
                <w:i w:val="0"/>
                <w:color w:val="000000"/>
                <w:sz w:val="19"/>
              </w:rPr>
              <w:t>189.40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1,203.06</w:t>
            </w:r>
          </w:p>
        </w:tc>
        <w:tc>
          <w:tcPr>
            <w:tcW w:w="1600" w:type="dxa"/>
            <w:vAlign w:val="center"/>
          </w:tcPr>
          <w:p>
            <w:pPr>
              <w:jc w:val="right"/>
            </w:pPr>
            <w:r>
              <w:rPr>
                <w:rFonts w:ascii="宋体" w:hAnsi="宋体" w:eastAsia="宋体" w:cs="宋体"/>
                <w:b w:val="0"/>
                <w:i w:val="0"/>
                <w:color w:val="000000"/>
                <w:sz w:val="19"/>
              </w:rPr>
              <w:t>1,203.06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219.08</w:t>
            </w:r>
          </w:p>
        </w:tc>
        <w:tc>
          <w:tcPr>
            <w:tcW w:w="1600" w:type="dxa"/>
            <w:vAlign w:val="center"/>
          </w:tcPr>
          <w:p>
            <w:pPr>
              <w:jc w:val="right"/>
            </w:pPr>
            <w:r>
              <w:rPr>
                <w:rFonts w:ascii="宋体" w:hAnsi="宋体" w:eastAsia="宋体" w:cs="宋体"/>
                <w:b w:val="0"/>
                <w:i w:val="0"/>
                <w:color w:val="000000"/>
                <w:sz w:val="19"/>
              </w:rPr>
              <w:t>29.68</w:t>
            </w:r>
          </w:p>
        </w:tc>
        <w:tc>
          <w:tcPr>
            <w:tcW w:w="1600" w:type="dxa"/>
            <w:vAlign w:val="center"/>
          </w:tcPr>
          <w:p>
            <w:pPr>
              <w:jc w:val="right"/>
            </w:pPr>
            <w:r>
              <w:rPr>
                <w:rFonts w:ascii="宋体" w:hAnsi="宋体" w:eastAsia="宋体" w:cs="宋体"/>
                <w:b w:val="0"/>
                <w:i w:val="0"/>
                <w:color w:val="000000"/>
                <w:sz w:val="19"/>
              </w:rPr>
              <w:t>189.40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2010250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68.98</w:t>
            </w:r>
          </w:p>
        </w:tc>
        <w:tc>
          <w:tcPr>
            <w:tcW w:w="1600" w:type="dxa"/>
            <w:vAlign w:val="center"/>
          </w:tcPr>
          <w:p>
            <w:pPr>
              <w:jc w:val="right"/>
            </w:pPr>
            <w:r>
              <w:rPr>
                <w:rFonts w:ascii="宋体" w:hAnsi="宋体" w:eastAsia="宋体" w:cs="宋体"/>
                <w:b w:val="0"/>
                <w:i w:val="0"/>
                <w:color w:val="000000"/>
                <w:sz w:val="19"/>
              </w:rPr>
              <w:t>68.98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6.18</w:t>
            </w:r>
          </w:p>
        </w:tc>
        <w:tc>
          <w:tcPr>
            <w:tcW w:w="1600" w:type="dxa"/>
            <w:vAlign w:val="center"/>
          </w:tcPr>
          <w:p>
            <w:pPr>
              <w:jc w:val="right"/>
            </w:pPr>
            <w:r>
              <w:rPr>
                <w:rFonts w:ascii="宋体" w:hAnsi="宋体" w:eastAsia="宋体" w:cs="宋体"/>
                <w:b w:val="0"/>
                <w:i w:val="0"/>
                <w:color w:val="000000"/>
                <w:sz w:val="19"/>
              </w:rPr>
              <w:t>6.18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6.18</w:t>
            </w:r>
          </w:p>
        </w:tc>
        <w:tc>
          <w:tcPr>
            <w:tcW w:w="1600" w:type="dxa"/>
            <w:vAlign w:val="center"/>
          </w:tcPr>
          <w:p>
            <w:pPr>
              <w:jc w:val="right"/>
            </w:pPr>
            <w:r>
              <w:rPr>
                <w:rFonts w:ascii="宋体" w:hAnsi="宋体" w:eastAsia="宋体" w:cs="宋体"/>
                <w:b w:val="0"/>
                <w:i w:val="0"/>
                <w:color w:val="000000"/>
                <w:sz w:val="19"/>
              </w:rPr>
              <w:t>6.18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470.87</w:t>
            </w:r>
          </w:p>
        </w:tc>
        <w:tc>
          <w:tcPr>
            <w:tcW w:w="1600" w:type="dxa"/>
            <w:vAlign w:val="center"/>
          </w:tcPr>
          <w:p>
            <w:pPr>
              <w:jc w:val="right"/>
            </w:pPr>
            <w:r>
              <w:rPr>
                <w:rFonts w:ascii="宋体" w:hAnsi="宋体" w:eastAsia="宋体" w:cs="宋体"/>
                <w:b w:val="0"/>
                <w:i w:val="0"/>
                <w:color w:val="000000"/>
                <w:sz w:val="19"/>
              </w:rPr>
              <w:t>470.87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416.71</w:t>
            </w:r>
          </w:p>
        </w:tc>
        <w:tc>
          <w:tcPr>
            <w:tcW w:w="1600" w:type="dxa"/>
            <w:vAlign w:val="center"/>
          </w:tcPr>
          <w:p>
            <w:pPr>
              <w:jc w:val="right"/>
            </w:pPr>
            <w:r>
              <w:rPr>
                <w:rFonts w:ascii="宋体" w:hAnsi="宋体" w:eastAsia="宋体" w:cs="宋体"/>
                <w:b w:val="0"/>
                <w:i w:val="0"/>
                <w:color w:val="000000"/>
                <w:sz w:val="19"/>
              </w:rPr>
              <w:t>416.71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322.82</w:t>
            </w:r>
          </w:p>
        </w:tc>
        <w:tc>
          <w:tcPr>
            <w:tcW w:w="1600" w:type="dxa"/>
            <w:vAlign w:val="center"/>
          </w:tcPr>
          <w:p>
            <w:pPr>
              <w:jc w:val="right"/>
            </w:pPr>
            <w:r>
              <w:rPr>
                <w:rFonts w:ascii="宋体" w:hAnsi="宋体" w:eastAsia="宋体" w:cs="宋体"/>
                <w:b w:val="0"/>
                <w:i w:val="0"/>
                <w:color w:val="000000"/>
                <w:sz w:val="19"/>
              </w:rPr>
              <w:t>322.82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21.17</w:t>
            </w:r>
          </w:p>
        </w:tc>
        <w:tc>
          <w:tcPr>
            <w:tcW w:w="1600" w:type="dxa"/>
            <w:vAlign w:val="center"/>
          </w:tcPr>
          <w:p>
            <w:pPr>
              <w:jc w:val="right"/>
            </w:pPr>
            <w:r>
              <w:rPr>
                <w:rFonts w:ascii="宋体" w:hAnsi="宋体" w:eastAsia="宋体" w:cs="宋体"/>
                <w:b w:val="0"/>
                <w:i w:val="0"/>
                <w:color w:val="000000"/>
                <w:sz w:val="19"/>
              </w:rPr>
              <w:t>21.17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72.72</w:t>
            </w:r>
          </w:p>
        </w:tc>
        <w:tc>
          <w:tcPr>
            <w:tcW w:w="1600" w:type="dxa"/>
            <w:vAlign w:val="center"/>
          </w:tcPr>
          <w:p>
            <w:pPr>
              <w:jc w:val="right"/>
            </w:pPr>
            <w:r>
              <w:rPr>
                <w:rFonts w:ascii="宋体" w:hAnsi="宋体" w:eastAsia="宋体" w:cs="宋体"/>
                <w:b w:val="0"/>
                <w:i w:val="0"/>
                <w:color w:val="000000"/>
                <w:sz w:val="19"/>
              </w:rPr>
              <w:t>72.72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54.15</w:t>
            </w:r>
          </w:p>
        </w:tc>
        <w:tc>
          <w:tcPr>
            <w:tcW w:w="1600" w:type="dxa"/>
            <w:vAlign w:val="center"/>
          </w:tcPr>
          <w:p>
            <w:pPr>
              <w:jc w:val="right"/>
            </w:pPr>
            <w:r>
              <w:rPr>
                <w:rFonts w:ascii="宋体" w:hAnsi="宋体" w:eastAsia="宋体" w:cs="宋体"/>
                <w:b w:val="0"/>
                <w:i w:val="0"/>
                <w:color w:val="000000"/>
                <w:sz w:val="19"/>
              </w:rPr>
              <w:t>54.15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54.15</w:t>
            </w:r>
          </w:p>
        </w:tc>
        <w:tc>
          <w:tcPr>
            <w:tcW w:w="1600" w:type="dxa"/>
            <w:vAlign w:val="center"/>
          </w:tcPr>
          <w:p>
            <w:pPr>
              <w:jc w:val="right"/>
            </w:pPr>
            <w:r>
              <w:rPr>
                <w:rFonts w:ascii="宋体" w:hAnsi="宋体" w:eastAsia="宋体" w:cs="宋体"/>
                <w:b w:val="0"/>
                <w:i w:val="0"/>
                <w:color w:val="000000"/>
                <w:sz w:val="19"/>
              </w:rPr>
              <w:t>54.15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94.06</w:t>
            </w:r>
          </w:p>
        </w:tc>
        <w:tc>
          <w:tcPr>
            <w:tcW w:w="1600" w:type="dxa"/>
            <w:vAlign w:val="center"/>
          </w:tcPr>
          <w:p>
            <w:pPr>
              <w:jc w:val="right"/>
            </w:pPr>
            <w:r>
              <w:rPr>
                <w:rFonts w:ascii="宋体" w:hAnsi="宋体" w:eastAsia="宋体" w:cs="宋体"/>
                <w:b w:val="0"/>
                <w:i w:val="0"/>
                <w:color w:val="000000"/>
                <w:sz w:val="19"/>
              </w:rPr>
              <w:t>94.06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94.06</w:t>
            </w:r>
          </w:p>
        </w:tc>
        <w:tc>
          <w:tcPr>
            <w:tcW w:w="1600" w:type="dxa"/>
            <w:vAlign w:val="center"/>
          </w:tcPr>
          <w:p>
            <w:pPr>
              <w:jc w:val="right"/>
            </w:pPr>
            <w:r>
              <w:rPr>
                <w:rFonts w:ascii="宋体" w:hAnsi="宋体" w:eastAsia="宋体" w:cs="宋体"/>
                <w:b w:val="0"/>
                <w:i w:val="0"/>
                <w:color w:val="000000"/>
                <w:sz w:val="19"/>
              </w:rPr>
              <w:t>94.06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48.36</w:t>
            </w:r>
          </w:p>
        </w:tc>
        <w:tc>
          <w:tcPr>
            <w:tcW w:w="1600" w:type="dxa"/>
            <w:vAlign w:val="center"/>
          </w:tcPr>
          <w:p>
            <w:pPr>
              <w:jc w:val="right"/>
            </w:pPr>
            <w:r>
              <w:rPr>
                <w:rFonts w:ascii="宋体" w:hAnsi="宋体" w:eastAsia="宋体" w:cs="宋体"/>
                <w:b w:val="0"/>
                <w:i w:val="0"/>
                <w:color w:val="000000"/>
                <w:sz w:val="19"/>
              </w:rPr>
              <w:t>48.36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4.48</w:t>
            </w:r>
          </w:p>
        </w:tc>
        <w:tc>
          <w:tcPr>
            <w:tcW w:w="1600" w:type="dxa"/>
            <w:vAlign w:val="center"/>
          </w:tcPr>
          <w:p>
            <w:pPr>
              <w:jc w:val="right"/>
            </w:pPr>
            <w:r>
              <w:rPr>
                <w:rFonts w:ascii="宋体" w:hAnsi="宋体" w:eastAsia="宋体" w:cs="宋体"/>
                <w:b w:val="0"/>
                <w:i w:val="0"/>
                <w:color w:val="000000"/>
                <w:sz w:val="19"/>
              </w:rPr>
              <w:t>4.48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41.22</w:t>
            </w:r>
          </w:p>
        </w:tc>
        <w:tc>
          <w:tcPr>
            <w:tcW w:w="1600" w:type="dxa"/>
            <w:vAlign w:val="center"/>
          </w:tcPr>
          <w:p>
            <w:pPr>
              <w:jc w:val="right"/>
            </w:pPr>
            <w:r>
              <w:rPr>
                <w:rFonts w:ascii="宋体" w:hAnsi="宋体" w:eastAsia="宋体" w:cs="宋体"/>
                <w:b w:val="0"/>
                <w:i w:val="0"/>
                <w:color w:val="000000"/>
                <w:sz w:val="19"/>
              </w:rPr>
              <w:t>41.22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71.57</w:t>
            </w:r>
          </w:p>
        </w:tc>
        <w:tc>
          <w:tcPr>
            <w:tcW w:w="1600" w:type="dxa"/>
            <w:vAlign w:val="center"/>
          </w:tcPr>
          <w:p>
            <w:pPr>
              <w:jc w:val="right"/>
            </w:pPr>
            <w:r>
              <w:rPr>
                <w:rFonts w:ascii="宋体" w:hAnsi="宋体" w:eastAsia="宋体" w:cs="宋体"/>
                <w:b w:val="0"/>
                <w:i w:val="0"/>
                <w:color w:val="000000"/>
                <w:sz w:val="19"/>
              </w:rPr>
              <w:t>71.57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71.57</w:t>
            </w:r>
          </w:p>
        </w:tc>
        <w:tc>
          <w:tcPr>
            <w:tcW w:w="1600" w:type="dxa"/>
            <w:vAlign w:val="center"/>
          </w:tcPr>
          <w:p>
            <w:pPr>
              <w:jc w:val="right"/>
            </w:pPr>
            <w:r>
              <w:rPr>
                <w:rFonts w:ascii="宋体" w:hAnsi="宋体" w:eastAsia="宋体" w:cs="宋体"/>
                <w:b w:val="0"/>
                <w:i w:val="0"/>
                <w:color w:val="000000"/>
                <w:sz w:val="19"/>
              </w:rPr>
              <w:t>71.57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71.57</w:t>
            </w:r>
          </w:p>
        </w:tc>
        <w:tc>
          <w:tcPr>
            <w:tcW w:w="1600" w:type="dxa"/>
            <w:vAlign w:val="center"/>
          </w:tcPr>
          <w:p>
            <w:pPr>
              <w:jc w:val="right"/>
            </w:pPr>
            <w:r>
              <w:rPr>
                <w:rFonts w:ascii="宋体" w:hAnsi="宋体" w:eastAsia="宋体" w:cs="宋体"/>
                <w:b w:val="0"/>
                <w:i w:val="0"/>
                <w:color w:val="000000"/>
                <w:sz w:val="19"/>
              </w:rPr>
              <w:t>71.57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1.16</w:t>
            </w:r>
          </w:p>
        </w:tc>
        <w:tc>
          <w:tcPr>
            <w:tcW w:w="1600" w:type="dxa"/>
            <w:vAlign w:val="center"/>
          </w:tcPr>
          <w:p>
            <w:pPr>
              <w:jc w:val="right"/>
            </w:pPr>
            <w:r>
              <w:rPr>
                <w:rFonts w:ascii="宋体" w:hAnsi="宋体" w:eastAsia="宋体" w:cs="宋体"/>
                <w:b w:val="0"/>
                <w:i w:val="0"/>
                <w:color w:val="000000"/>
                <w:sz w:val="19"/>
              </w:rPr>
              <w:t>1.16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1.16</w:t>
            </w:r>
          </w:p>
        </w:tc>
        <w:tc>
          <w:tcPr>
            <w:tcW w:w="1600" w:type="dxa"/>
            <w:vAlign w:val="center"/>
          </w:tcPr>
          <w:p>
            <w:pPr>
              <w:jc w:val="right"/>
            </w:pPr>
            <w:r>
              <w:rPr>
                <w:rFonts w:ascii="宋体" w:hAnsi="宋体" w:eastAsia="宋体" w:cs="宋体"/>
                <w:b w:val="0"/>
                <w:i w:val="0"/>
                <w:color w:val="000000"/>
                <w:sz w:val="19"/>
              </w:rPr>
              <w:t>1.16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1.16</w:t>
            </w:r>
          </w:p>
        </w:tc>
        <w:tc>
          <w:tcPr>
            <w:tcW w:w="1600" w:type="dxa"/>
            <w:vAlign w:val="center"/>
          </w:tcPr>
          <w:p>
            <w:pPr>
              <w:jc w:val="right"/>
            </w:pPr>
            <w:r>
              <w:rPr>
                <w:rFonts w:ascii="宋体" w:hAnsi="宋体" w:eastAsia="宋体" w:cs="宋体"/>
                <w:b w:val="0"/>
                <w:i w:val="0"/>
                <w:color w:val="000000"/>
                <w:sz w:val="19"/>
              </w:rPr>
              <w:t>1.16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2,159.23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1,561.57</w:t>
            </w:r>
          </w:p>
        </w:tc>
        <w:tc>
          <w:tcPr>
            <w:tcW w:w="1420" w:type="dxa"/>
            <w:vAlign w:val="center"/>
          </w:tcPr>
          <w:p>
            <w:pPr>
              <w:jc w:val="right"/>
            </w:pPr>
            <w:r>
              <w:rPr>
                <w:rFonts w:ascii="宋体" w:hAnsi="宋体" w:eastAsia="宋体" w:cs="宋体"/>
                <w:b w:val="0"/>
                <w:i w:val="0"/>
                <w:color w:val="000000"/>
                <w:sz w:val="18"/>
              </w:rPr>
              <w:t>1,561.57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470.87</w:t>
            </w:r>
          </w:p>
        </w:tc>
        <w:tc>
          <w:tcPr>
            <w:tcW w:w="1420" w:type="dxa"/>
            <w:vAlign w:val="center"/>
          </w:tcPr>
          <w:p>
            <w:pPr>
              <w:jc w:val="right"/>
            </w:pPr>
            <w:r>
              <w:rPr>
                <w:rFonts w:ascii="宋体" w:hAnsi="宋体" w:eastAsia="宋体" w:cs="宋体"/>
                <w:b w:val="0"/>
                <w:i w:val="0"/>
                <w:color w:val="000000"/>
                <w:sz w:val="18"/>
              </w:rPr>
              <w:t>470.87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94.06</w:t>
            </w:r>
          </w:p>
        </w:tc>
        <w:tc>
          <w:tcPr>
            <w:tcW w:w="1420" w:type="dxa"/>
            <w:vAlign w:val="center"/>
          </w:tcPr>
          <w:p>
            <w:pPr>
              <w:jc w:val="right"/>
            </w:pPr>
            <w:r>
              <w:rPr>
                <w:rFonts w:ascii="宋体" w:hAnsi="宋体" w:eastAsia="宋体" w:cs="宋体"/>
                <w:b w:val="0"/>
                <w:i w:val="0"/>
                <w:color w:val="000000"/>
                <w:sz w:val="18"/>
              </w:rPr>
              <w:t>94.06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2.31</w:t>
            </w:r>
          </w:p>
        </w:tc>
        <w:tc>
          <w:tcPr>
            <w:tcW w:w="1420" w:type="dxa"/>
            <w:vAlign w:val="center"/>
          </w:tcPr>
          <w:p>
            <w:pPr>
              <w:jc w:val="right"/>
            </w:pPr>
            <w:r>
              <w:rPr>
                <w:rFonts w:ascii="宋体" w:hAnsi="宋体" w:eastAsia="宋体" w:cs="宋体"/>
                <w:b w:val="0"/>
                <w:i w:val="0"/>
                <w:color w:val="000000"/>
                <w:sz w:val="18"/>
              </w:rPr>
              <w:t>2.31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71.57</w:t>
            </w:r>
          </w:p>
        </w:tc>
        <w:tc>
          <w:tcPr>
            <w:tcW w:w="1420" w:type="dxa"/>
            <w:vAlign w:val="center"/>
          </w:tcPr>
          <w:p>
            <w:pPr>
              <w:jc w:val="right"/>
            </w:pPr>
            <w:r>
              <w:rPr>
                <w:rFonts w:ascii="宋体" w:hAnsi="宋体" w:eastAsia="宋体" w:cs="宋体"/>
                <w:b w:val="0"/>
                <w:i w:val="0"/>
                <w:color w:val="000000"/>
                <w:sz w:val="18"/>
              </w:rPr>
              <w:t>71.57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2,159.23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2,200.38</w:t>
            </w:r>
          </w:p>
        </w:tc>
        <w:tc>
          <w:tcPr>
            <w:tcW w:w="1420" w:type="dxa"/>
            <w:vAlign w:val="center"/>
          </w:tcPr>
          <w:p>
            <w:pPr>
              <w:jc w:val="right"/>
            </w:pPr>
            <w:r>
              <w:rPr>
                <w:rFonts w:ascii="宋体" w:hAnsi="宋体" w:eastAsia="宋体" w:cs="宋体"/>
                <w:b w:val="0"/>
                <w:i w:val="0"/>
                <w:color w:val="000000"/>
                <w:sz w:val="18"/>
              </w:rPr>
              <w:t>2,200.38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41.15</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41.15</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2,200.38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2,200.38</w:t>
            </w:r>
          </w:p>
        </w:tc>
        <w:tc>
          <w:tcPr>
            <w:tcW w:w="1420" w:type="dxa"/>
            <w:vAlign w:val="center"/>
          </w:tcPr>
          <w:p>
            <w:pPr>
              <w:jc w:val="right"/>
            </w:pPr>
            <w:r>
              <w:rPr>
                <w:rFonts w:ascii="宋体" w:hAnsi="宋体" w:eastAsia="宋体" w:cs="宋体"/>
                <w:b w:val="0"/>
                <w:i w:val="0"/>
                <w:color w:val="000000"/>
                <w:sz w:val="18"/>
              </w:rPr>
              <w:t>2,200.38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2,200.38</w:t>
            </w:r>
          </w:p>
        </w:tc>
        <w:tc>
          <w:tcPr>
            <w:tcW w:w="2700" w:type="dxa"/>
            <w:vAlign w:val="center"/>
          </w:tcPr>
          <w:p>
            <w:pPr>
              <w:jc w:val="right"/>
            </w:pPr>
            <w:r>
              <w:rPr>
                <w:rFonts w:ascii="宋体" w:hAnsi="宋体" w:eastAsia="宋体" w:cs="宋体"/>
                <w:b/>
                <w:i w:val="0"/>
                <w:color w:val="000000"/>
                <w:sz w:val="25"/>
              </w:rPr>
              <w:t>1,990.17</w:t>
            </w:r>
          </w:p>
        </w:tc>
        <w:tc>
          <w:tcPr>
            <w:tcW w:w="2658" w:type="dxa"/>
            <w:vAlign w:val="center"/>
          </w:tcPr>
          <w:p>
            <w:pPr>
              <w:jc w:val="right"/>
            </w:pPr>
            <w:r>
              <w:rPr>
                <w:rFonts w:ascii="宋体" w:hAnsi="宋体" w:eastAsia="宋体" w:cs="宋体"/>
                <w:b/>
                <w:i w:val="0"/>
                <w:color w:val="000000"/>
                <w:sz w:val="25"/>
              </w:rPr>
              <w:t>210.21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1,561.57</w:t>
            </w:r>
          </w:p>
        </w:tc>
        <w:tc>
          <w:tcPr>
            <w:tcW w:w="2700" w:type="dxa"/>
            <w:vAlign w:val="center"/>
          </w:tcPr>
          <w:p>
            <w:pPr>
              <w:jc w:val="right"/>
            </w:pPr>
            <w:r>
              <w:rPr>
                <w:rFonts w:ascii="宋体" w:hAnsi="宋体" w:eastAsia="宋体" w:cs="宋体"/>
                <w:b w:val="0"/>
                <w:i w:val="0"/>
                <w:color w:val="000000"/>
                <w:sz w:val="25"/>
              </w:rPr>
              <w:t>1,353.67</w:t>
            </w:r>
          </w:p>
        </w:tc>
        <w:tc>
          <w:tcPr>
            <w:tcW w:w="2658" w:type="dxa"/>
            <w:vAlign w:val="center"/>
          </w:tcPr>
          <w:p>
            <w:pPr>
              <w:jc w:val="right"/>
            </w:pPr>
            <w:r>
              <w:rPr>
                <w:rFonts w:ascii="宋体" w:hAnsi="宋体" w:eastAsia="宋体" w:cs="宋体"/>
                <w:b w:val="0"/>
                <w:i w:val="0"/>
                <w:color w:val="000000"/>
                <w:sz w:val="25"/>
              </w:rPr>
              <w:t>207.90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18.50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18.50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20102</w:t>
            </w:r>
          </w:p>
        </w:tc>
        <w:tc>
          <w:tcPr>
            <w:tcW w:w="4700" w:type="dxa"/>
            <w:vAlign w:val="center"/>
          </w:tcPr>
          <w:p>
            <w:pPr>
              <w:jc w:val="left"/>
            </w:pPr>
            <w:r>
              <w:rPr>
                <w:rFonts w:ascii="宋体" w:hAnsi="宋体" w:eastAsia="宋体" w:cs="宋体"/>
                <w:b w:val="0"/>
                <w:i w:val="0"/>
                <w:color w:val="000000"/>
                <w:sz w:val="25"/>
              </w:rPr>
              <w:t>政协事务</w:t>
            </w:r>
          </w:p>
        </w:tc>
        <w:tc>
          <w:tcPr>
            <w:tcW w:w="2700" w:type="dxa"/>
            <w:vAlign w:val="center"/>
          </w:tcPr>
          <w:p>
            <w:pPr>
              <w:jc w:val="right"/>
            </w:pPr>
            <w:r>
              <w:rPr>
                <w:rFonts w:ascii="宋体" w:hAnsi="宋体" w:eastAsia="宋体" w:cs="宋体"/>
                <w:b w:val="0"/>
                <w:i w:val="0"/>
                <w:color w:val="000000"/>
                <w:sz w:val="25"/>
              </w:rPr>
              <w:t>1,491.13</w:t>
            </w:r>
          </w:p>
        </w:tc>
        <w:tc>
          <w:tcPr>
            <w:tcW w:w="2700" w:type="dxa"/>
            <w:vAlign w:val="center"/>
          </w:tcPr>
          <w:p>
            <w:pPr>
              <w:jc w:val="right"/>
            </w:pPr>
            <w:r>
              <w:rPr>
                <w:rFonts w:ascii="宋体" w:hAnsi="宋体" w:eastAsia="宋体" w:cs="宋体"/>
                <w:b w:val="0"/>
                <w:i w:val="0"/>
                <w:color w:val="000000"/>
                <w:sz w:val="25"/>
              </w:rPr>
              <w:t>1,301.73</w:t>
            </w:r>
          </w:p>
        </w:tc>
        <w:tc>
          <w:tcPr>
            <w:tcW w:w="2658" w:type="dxa"/>
            <w:vAlign w:val="center"/>
          </w:tcPr>
          <w:p>
            <w:pPr>
              <w:jc w:val="right"/>
            </w:pPr>
            <w:r>
              <w:rPr>
                <w:rFonts w:ascii="宋体" w:hAnsi="宋体" w:eastAsia="宋体" w:cs="宋体"/>
                <w:b w:val="0"/>
                <w:i w:val="0"/>
                <w:color w:val="000000"/>
                <w:sz w:val="25"/>
              </w:rPr>
              <w:t>189.40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1,203.06</w:t>
            </w:r>
          </w:p>
        </w:tc>
        <w:tc>
          <w:tcPr>
            <w:tcW w:w="2700" w:type="dxa"/>
            <w:vAlign w:val="center"/>
          </w:tcPr>
          <w:p>
            <w:pPr>
              <w:jc w:val="right"/>
            </w:pPr>
            <w:r>
              <w:rPr>
                <w:rFonts w:ascii="宋体" w:hAnsi="宋体" w:eastAsia="宋体" w:cs="宋体"/>
                <w:b w:val="0"/>
                <w:i w:val="0"/>
                <w:color w:val="000000"/>
                <w:sz w:val="25"/>
              </w:rPr>
              <w:t>1,203.06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219.08</w:t>
            </w:r>
          </w:p>
        </w:tc>
        <w:tc>
          <w:tcPr>
            <w:tcW w:w="2700" w:type="dxa"/>
            <w:vAlign w:val="center"/>
          </w:tcPr>
          <w:p>
            <w:pPr>
              <w:jc w:val="right"/>
            </w:pPr>
            <w:r>
              <w:rPr>
                <w:rFonts w:ascii="宋体" w:hAnsi="宋体" w:eastAsia="宋体" w:cs="宋体"/>
                <w:b w:val="0"/>
                <w:i w:val="0"/>
                <w:color w:val="000000"/>
                <w:sz w:val="25"/>
              </w:rPr>
              <w:t>29.68</w:t>
            </w:r>
          </w:p>
        </w:tc>
        <w:tc>
          <w:tcPr>
            <w:tcW w:w="2658" w:type="dxa"/>
            <w:vAlign w:val="center"/>
          </w:tcPr>
          <w:p>
            <w:pPr>
              <w:jc w:val="right"/>
            </w:pPr>
            <w:r>
              <w:rPr>
                <w:rFonts w:ascii="宋体" w:hAnsi="宋体" w:eastAsia="宋体" w:cs="宋体"/>
                <w:b w:val="0"/>
                <w:i w:val="0"/>
                <w:color w:val="000000"/>
                <w:sz w:val="25"/>
              </w:rPr>
              <w:t>189.40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2010250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68.98</w:t>
            </w:r>
          </w:p>
        </w:tc>
        <w:tc>
          <w:tcPr>
            <w:tcW w:w="2700" w:type="dxa"/>
            <w:vAlign w:val="center"/>
          </w:tcPr>
          <w:p>
            <w:pPr>
              <w:jc w:val="right"/>
            </w:pPr>
            <w:r>
              <w:rPr>
                <w:rFonts w:ascii="宋体" w:hAnsi="宋体" w:eastAsia="宋体" w:cs="宋体"/>
                <w:b w:val="0"/>
                <w:i w:val="0"/>
                <w:color w:val="000000"/>
                <w:sz w:val="25"/>
              </w:rPr>
              <w:t>68.98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6.18</w:t>
            </w:r>
          </w:p>
        </w:tc>
        <w:tc>
          <w:tcPr>
            <w:tcW w:w="2700" w:type="dxa"/>
            <w:vAlign w:val="center"/>
          </w:tcPr>
          <w:p>
            <w:pPr>
              <w:jc w:val="right"/>
            </w:pPr>
            <w:r>
              <w:rPr>
                <w:rFonts w:ascii="宋体" w:hAnsi="宋体" w:eastAsia="宋体" w:cs="宋体"/>
                <w:b w:val="0"/>
                <w:i w:val="0"/>
                <w:color w:val="000000"/>
                <w:sz w:val="25"/>
              </w:rPr>
              <w:t>6.18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6.18</w:t>
            </w:r>
          </w:p>
        </w:tc>
        <w:tc>
          <w:tcPr>
            <w:tcW w:w="2700" w:type="dxa"/>
            <w:vAlign w:val="center"/>
          </w:tcPr>
          <w:p>
            <w:pPr>
              <w:jc w:val="right"/>
            </w:pPr>
            <w:r>
              <w:rPr>
                <w:rFonts w:ascii="宋体" w:hAnsi="宋体" w:eastAsia="宋体" w:cs="宋体"/>
                <w:b w:val="0"/>
                <w:i w:val="0"/>
                <w:color w:val="000000"/>
                <w:sz w:val="25"/>
              </w:rPr>
              <w:t>6.18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45.76</w:t>
            </w:r>
          </w:p>
        </w:tc>
        <w:tc>
          <w:tcPr>
            <w:tcW w:w="2700" w:type="dxa"/>
            <w:vAlign w:val="center"/>
          </w:tcPr>
          <w:p>
            <w:pPr>
              <w:jc w:val="right"/>
            </w:pPr>
            <w:r>
              <w:rPr>
                <w:rFonts w:ascii="宋体" w:hAnsi="宋体" w:eastAsia="宋体" w:cs="宋体"/>
                <w:b w:val="0"/>
                <w:i w:val="0"/>
                <w:color w:val="000000"/>
                <w:sz w:val="25"/>
              </w:rPr>
              <w:t>45.76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45.76</w:t>
            </w:r>
          </w:p>
        </w:tc>
        <w:tc>
          <w:tcPr>
            <w:tcW w:w="2700" w:type="dxa"/>
            <w:vAlign w:val="center"/>
          </w:tcPr>
          <w:p>
            <w:pPr>
              <w:jc w:val="right"/>
            </w:pPr>
            <w:r>
              <w:rPr>
                <w:rFonts w:ascii="宋体" w:hAnsi="宋体" w:eastAsia="宋体" w:cs="宋体"/>
                <w:b w:val="0"/>
                <w:i w:val="0"/>
                <w:color w:val="000000"/>
                <w:sz w:val="25"/>
              </w:rPr>
              <w:t>45.76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470.87</w:t>
            </w:r>
          </w:p>
        </w:tc>
        <w:tc>
          <w:tcPr>
            <w:tcW w:w="2700" w:type="dxa"/>
            <w:vAlign w:val="center"/>
          </w:tcPr>
          <w:p>
            <w:pPr>
              <w:jc w:val="right"/>
            </w:pPr>
            <w:r>
              <w:rPr>
                <w:rFonts w:ascii="宋体" w:hAnsi="宋体" w:eastAsia="宋体" w:cs="宋体"/>
                <w:b w:val="0"/>
                <w:i w:val="0"/>
                <w:color w:val="000000"/>
                <w:sz w:val="25"/>
              </w:rPr>
              <w:t>470.87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416.71</w:t>
            </w:r>
          </w:p>
        </w:tc>
        <w:tc>
          <w:tcPr>
            <w:tcW w:w="2700" w:type="dxa"/>
            <w:vAlign w:val="center"/>
          </w:tcPr>
          <w:p>
            <w:pPr>
              <w:jc w:val="right"/>
            </w:pPr>
            <w:r>
              <w:rPr>
                <w:rFonts w:ascii="宋体" w:hAnsi="宋体" w:eastAsia="宋体" w:cs="宋体"/>
                <w:b w:val="0"/>
                <w:i w:val="0"/>
                <w:color w:val="000000"/>
                <w:sz w:val="25"/>
              </w:rPr>
              <w:t>416.71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322.82</w:t>
            </w:r>
          </w:p>
        </w:tc>
        <w:tc>
          <w:tcPr>
            <w:tcW w:w="2700" w:type="dxa"/>
            <w:vAlign w:val="center"/>
          </w:tcPr>
          <w:p>
            <w:pPr>
              <w:jc w:val="right"/>
            </w:pPr>
            <w:r>
              <w:rPr>
                <w:rFonts w:ascii="宋体" w:hAnsi="宋体" w:eastAsia="宋体" w:cs="宋体"/>
                <w:b w:val="0"/>
                <w:i w:val="0"/>
                <w:color w:val="000000"/>
                <w:sz w:val="25"/>
              </w:rPr>
              <w:t>322.82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21.17</w:t>
            </w:r>
          </w:p>
        </w:tc>
        <w:tc>
          <w:tcPr>
            <w:tcW w:w="2700" w:type="dxa"/>
            <w:vAlign w:val="center"/>
          </w:tcPr>
          <w:p>
            <w:pPr>
              <w:jc w:val="right"/>
            </w:pPr>
            <w:r>
              <w:rPr>
                <w:rFonts w:ascii="宋体" w:hAnsi="宋体" w:eastAsia="宋体" w:cs="宋体"/>
                <w:b w:val="0"/>
                <w:i w:val="0"/>
                <w:color w:val="000000"/>
                <w:sz w:val="25"/>
              </w:rPr>
              <w:t>21.17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72.72</w:t>
            </w:r>
          </w:p>
        </w:tc>
        <w:tc>
          <w:tcPr>
            <w:tcW w:w="2700" w:type="dxa"/>
            <w:vAlign w:val="center"/>
          </w:tcPr>
          <w:p>
            <w:pPr>
              <w:jc w:val="right"/>
            </w:pPr>
            <w:r>
              <w:rPr>
                <w:rFonts w:ascii="宋体" w:hAnsi="宋体" w:eastAsia="宋体" w:cs="宋体"/>
                <w:b w:val="0"/>
                <w:i w:val="0"/>
                <w:color w:val="000000"/>
                <w:sz w:val="25"/>
              </w:rPr>
              <w:t>72.72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54.15</w:t>
            </w:r>
          </w:p>
        </w:tc>
        <w:tc>
          <w:tcPr>
            <w:tcW w:w="2700" w:type="dxa"/>
            <w:vAlign w:val="center"/>
          </w:tcPr>
          <w:p>
            <w:pPr>
              <w:jc w:val="right"/>
            </w:pPr>
            <w:r>
              <w:rPr>
                <w:rFonts w:ascii="宋体" w:hAnsi="宋体" w:eastAsia="宋体" w:cs="宋体"/>
                <w:b w:val="0"/>
                <w:i w:val="0"/>
                <w:color w:val="000000"/>
                <w:sz w:val="25"/>
              </w:rPr>
              <w:t>54.15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54.15</w:t>
            </w:r>
          </w:p>
        </w:tc>
        <w:tc>
          <w:tcPr>
            <w:tcW w:w="2700" w:type="dxa"/>
            <w:vAlign w:val="center"/>
          </w:tcPr>
          <w:p>
            <w:pPr>
              <w:jc w:val="right"/>
            </w:pPr>
            <w:r>
              <w:rPr>
                <w:rFonts w:ascii="宋体" w:hAnsi="宋体" w:eastAsia="宋体" w:cs="宋体"/>
                <w:b w:val="0"/>
                <w:i w:val="0"/>
                <w:color w:val="000000"/>
                <w:sz w:val="25"/>
              </w:rPr>
              <w:t>54.15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94.06</w:t>
            </w:r>
          </w:p>
        </w:tc>
        <w:tc>
          <w:tcPr>
            <w:tcW w:w="2700" w:type="dxa"/>
            <w:vAlign w:val="center"/>
          </w:tcPr>
          <w:p>
            <w:pPr>
              <w:jc w:val="right"/>
            </w:pPr>
            <w:r>
              <w:rPr>
                <w:rFonts w:ascii="宋体" w:hAnsi="宋体" w:eastAsia="宋体" w:cs="宋体"/>
                <w:b w:val="0"/>
                <w:i w:val="0"/>
                <w:color w:val="000000"/>
                <w:sz w:val="25"/>
              </w:rPr>
              <w:t>94.06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94.06</w:t>
            </w:r>
          </w:p>
        </w:tc>
        <w:tc>
          <w:tcPr>
            <w:tcW w:w="2700" w:type="dxa"/>
            <w:vAlign w:val="center"/>
          </w:tcPr>
          <w:p>
            <w:pPr>
              <w:jc w:val="right"/>
            </w:pPr>
            <w:r>
              <w:rPr>
                <w:rFonts w:ascii="宋体" w:hAnsi="宋体" w:eastAsia="宋体" w:cs="宋体"/>
                <w:b w:val="0"/>
                <w:i w:val="0"/>
                <w:color w:val="000000"/>
                <w:sz w:val="25"/>
              </w:rPr>
              <w:t>94.06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48.36</w:t>
            </w:r>
          </w:p>
        </w:tc>
        <w:tc>
          <w:tcPr>
            <w:tcW w:w="2700" w:type="dxa"/>
            <w:vAlign w:val="center"/>
          </w:tcPr>
          <w:p>
            <w:pPr>
              <w:jc w:val="right"/>
            </w:pPr>
            <w:r>
              <w:rPr>
                <w:rFonts w:ascii="宋体" w:hAnsi="宋体" w:eastAsia="宋体" w:cs="宋体"/>
                <w:b w:val="0"/>
                <w:i w:val="0"/>
                <w:color w:val="000000"/>
                <w:sz w:val="25"/>
              </w:rPr>
              <w:t>48.36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4.48</w:t>
            </w:r>
          </w:p>
        </w:tc>
        <w:tc>
          <w:tcPr>
            <w:tcW w:w="2700" w:type="dxa"/>
            <w:vAlign w:val="center"/>
          </w:tcPr>
          <w:p>
            <w:pPr>
              <w:jc w:val="right"/>
            </w:pPr>
            <w:r>
              <w:rPr>
                <w:rFonts w:ascii="宋体" w:hAnsi="宋体" w:eastAsia="宋体" w:cs="宋体"/>
                <w:b w:val="0"/>
                <w:i w:val="0"/>
                <w:color w:val="000000"/>
                <w:sz w:val="25"/>
              </w:rPr>
              <w:t>4.48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41.22</w:t>
            </w:r>
          </w:p>
        </w:tc>
        <w:tc>
          <w:tcPr>
            <w:tcW w:w="2700" w:type="dxa"/>
            <w:vAlign w:val="center"/>
          </w:tcPr>
          <w:p>
            <w:pPr>
              <w:jc w:val="right"/>
            </w:pPr>
            <w:r>
              <w:rPr>
                <w:rFonts w:ascii="宋体" w:hAnsi="宋体" w:eastAsia="宋体" w:cs="宋体"/>
                <w:b w:val="0"/>
                <w:i w:val="0"/>
                <w:color w:val="000000"/>
                <w:sz w:val="25"/>
              </w:rPr>
              <w:t>41.22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2.31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2.31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2.31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71.57</w:t>
            </w:r>
          </w:p>
        </w:tc>
        <w:tc>
          <w:tcPr>
            <w:tcW w:w="2700" w:type="dxa"/>
            <w:vAlign w:val="center"/>
          </w:tcPr>
          <w:p>
            <w:pPr>
              <w:jc w:val="right"/>
            </w:pPr>
            <w:r>
              <w:rPr>
                <w:rFonts w:ascii="宋体" w:hAnsi="宋体" w:eastAsia="宋体" w:cs="宋体"/>
                <w:b w:val="0"/>
                <w:i w:val="0"/>
                <w:color w:val="000000"/>
                <w:sz w:val="25"/>
              </w:rPr>
              <w:t>71.57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71.57</w:t>
            </w:r>
          </w:p>
        </w:tc>
        <w:tc>
          <w:tcPr>
            <w:tcW w:w="2700" w:type="dxa"/>
            <w:vAlign w:val="center"/>
          </w:tcPr>
          <w:p>
            <w:pPr>
              <w:jc w:val="right"/>
            </w:pPr>
            <w:r>
              <w:rPr>
                <w:rFonts w:ascii="宋体" w:hAnsi="宋体" w:eastAsia="宋体" w:cs="宋体"/>
                <w:b w:val="0"/>
                <w:i w:val="0"/>
                <w:color w:val="000000"/>
                <w:sz w:val="25"/>
              </w:rPr>
              <w:t>71.57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71.57</w:t>
            </w:r>
          </w:p>
        </w:tc>
        <w:tc>
          <w:tcPr>
            <w:tcW w:w="2700" w:type="dxa"/>
            <w:vAlign w:val="center"/>
          </w:tcPr>
          <w:p>
            <w:pPr>
              <w:jc w:val="right"/>
            </w:pPr>
            <w:r>
              <w:rPr>
                <w:rFonts w:ascii="宋体" w:hAnsi="宋体" w:eastAsia="宋体" w:cs="宋体"/>
                <w:b w:val="0"/>
                <w:i w:val="0"/>
                <w:color w:val="000000"/>
                <w:sz w:val="25"/>
              </w:rPr>
              <w:t>71.57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1,335.96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223.30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315.25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27.02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321.06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8.65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385.26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4.77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8.61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4.77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74.21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9.09</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37.16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41.22</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0.66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30.24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71.57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12.67</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80.95</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426.13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81.92</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2.50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271.72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54.15</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2.65</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21.30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15.69</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4.09</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6.18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9.38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22.29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57.82</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11.25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1,762.09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228.08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部门：中国人民政治协商会议河南省许昌市委员会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right"/>
            </w:pPr>
            <w:r>
              <w:rPr>
                <w:rFonts w:ascii="宋体" w:hAnsi="宋体" w:eastAsia="宋体" w:cs="宋体"/>
                <w:b w:val="0"/>
                <w:i w:val="0"/>
                <w:color w:val="000000"/>
                <w:sz w:val="17"/>
              </w:rPr>
              <w:t>41.49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40.79</w:t>
            </w:r>
          </w:p>
        </w:tc>
        <w:tc>
          <w:tcPr>
            <w:tcW w:w="1160" w:type="dxa"/>
            <w:vAlign w:val="center"/>
          </w:tcPr>
          <w:p>
            <w:pPr>
              <w:jc w:val="right"/>
            </w:pPr>
            <w:r>
              <w:rPr>
                <w:rFonts w:ascii="宋体" w:hAnsi="宋体" w:eastAsia="宋体" w:cs="宋体"/>
                <w:b w:val="0"/>
                <w:i w:val="0"/>
                <w:color w:val="000000"/>
                <w:sz w:val="17"/>
              </w:rPr>
              <w:t>17.98</w:t>
            </w:r>
          </w:p>
        </w:tc>
        <w:tc>
          <w:tcPr>
            <w:tcW w:w="1160" w:type="dxa"/>
            <w:vAlign w:val="center"/>
          </w:tcPr>
          <w:p>
            <w:pPr>
              <w:jc w:val="right"/>
            </w:pPr>
            <w:r>
              <w:rPr>
                <w:rFonts w:ascii="宋体" w:hAnsi="宋体" w:eastAsia="宋体" w:cs="宋体"/>
                <w:b w:val="0"/>
                <w:i w:val="0"/>
                <w:color w:val="000000"/>
                <w:sz w:val="17"/>
              </w:rPr>
              <w:t>22.81</w:t>
            </w:r>
          </w:p>
        </w:tc>
        <w:tc>
          <w:tcPr>
            <w:tcW w:w="1160" w:type="dxa"/>
            <w:vAlign w:val="center"/>
          </w:tcPr>
          <w:p>
            <w:pPr>
              <w:jc w:val="right"/>
            </w:pPr>
            <w:r>
              <w:rPr>
                <w:rFonts w:ascii="宋体" w:hAnsi="宋体" w:eastAsia="宋体" w:cs="宋体"/>
                <w:b w:val="0"/>
                <w:i w:val="0"/>
                <w:color w:val="000000"/>
                <w:sz w:val="17"/>
              </w:rPr>
              <w:t>0.70</w:t>
            </w:r>
          </w:p>
        </w:tc>
        <w:tc>
          <w:tcPr>
            <w:tcW w:w="1160" w:type="dxa"/>
            <w:vAlign w:val="center"/>
          </w:tcPr>
          <w:p>
            <w:pPr>
              <w:jc w:val="right"/>
            </w:pPr>
            <w:r>
              <w:rPr>
                <w:rFonts w:ascii="宋体" w:hAnsi="宋体" w:eastAsia="宋体" w:cs="宋体"/>
                <w:b w:val="0"/>
                <w:i w:val="0"/>
                <w:color w:val="000000"/>
                <w:sz w:val="17"/>
              </w:rPr>
              <w:t>41.49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40.79</w:t>
            </w:r>
          </w:p>
        </w:tc>
        <w:tc>
          <w:tcPr>
            <w:tcW w:w="1160" w:type="dxa"/>
            <w:vAlign w:val="center"/>
          </w:tcPr>
          <w:p>
            <w:pPr>
              <w:jc w:val="right"/>
            </w:pPr>
            <w:r>
              <w:rPr>
                <w:rFonts w:ascii="宋体" w:hAnsi="宋体" w:eastAsia="宋体" w:cs="宋体"/>
                <w:b w:val="0"/>
                <w:i w:val="0"/>
                <w:color w:val="000000"/>
                <w:sz w:val="17"/>
              </w:rPr>
              <w:t>17.98</w:t>
            </w:r>
          </w:p>
        </w:tc>
        <w:tc>
          <w:tcPr>
            <w:tcW w:w="1160" w:type="dxa"/>
            <w:vAlign w:val="center"/>
          </w:tcPr>
          <w:p>
            <w:pPr>
              <w:jc w:val="right"/>
            </w:pPr>
            <w:r>
              <w:rPr>
                <w:rFonts w:ascii="宋体" w:hAnsi="宋体" w:eastAsia="宋体" w:cs="宋体"/>
                <w:b w:val="0"/>
                <w:i w:val="0"/>
                <w:color w:val="000000"/>
                <w:sz w:val="17"/>
              </w:rPr>
              <w:t>22.81</w:t>
            </w:r>
          </w:p>
        </w:tc>
        <w:tc>
          <w:tcPr>
            <w:tcW w:w="1198" w:type="dxa"/>
            <w:vAlign w:val="center"/>
          </w:tcPr>
          <w:p>
            <w:pPr>
              <w:jc w:val="right"/>
            </w:pPr>
            <w:r>
              <w:rPr>
                <w:rFonts w:ascii="宋体" w:hAnsi="宋体" w:eastAsia="宋体" w:cs="宋体"/>
                <w:b w:val="0"/>
                <w:i w:val="0"/>
                <w:color w:val="000000"/>
                <w:sz w:val="17"/>
              </w:rPr>
              <w:t>0.70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2023年度收、支总计均为2203.85万元。与上年度相比，收、支总计各增加419.64万元，增长23.52%。主要原因是追加新增人员经费、项目经费增加。</w:t>
      </w:r>
      <w:bookmarkStart w:id="0" w:name="_GoBack"/>
      <w:bookmarkEnd w:id="0"/>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2162.09万元，其中：财政拨款收入2159.23万元，占99.87%；上级补助收入0.00万元，占0.00%；事业收入0.00万元，占0.00%；经营收入0.00万元，占0.00%；附属单位上缴收入0.00万元，占0.00%；其他收入2.86万元，占0.13%</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2023年度支出合计2201.54万元，其中：基本支出1991.33万元，占90.45%；项目支出210.21万元，占9.55%；上缴上级支出0.00万元，占0.00%；经营支出0.00万元，占0.00%；对附属单位补助支出0.00万元，占0.00%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2023年度财政拨款收、支总计均为2200.38万元。与上年度相比，财政拨款收、支总计各增加421.17万元，增长23.67%。主要原因是追加新增人员经费、项目经费增加。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2023年度一般公共预算财政拨款支出2200.38万元，占支出合计的99.95%。与上年度相比，一般公共预算财政拨款支出增加421.17万元，增长23.67%。主要原因是追加新增人员经费、项目经费增加。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2200.38万元，主要用于以下方面：一般公共服务支出（类）1561.57万元，占70.97%；社会保障和就业支出（类）470.87万元，占21.40%；卫生健康支出（类）94.06万元，占4.27%；农林水支出（类）2.31万元，占0.10%；住房保障支出（类）71.57万元，占3.26%</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2023年度一般公共预算财政拨款支出年初预算为2009.29万元，支出决算为2200.38万元，完成年初预算的109.51%。其中：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1.一般公共服务支出（类）人大事务（款）一般行政管理事务（项）</w:t>
      </w:r>
      <w:r>
        <w:rPr>
          <w:rFonts w:hint="default" w:ascii="仿宋" w:hAnsi="仿宋" w:eastAsia="仿宋" w:cs="仿宋"/>
          <w:kern w:val="0"/>
          <w:sz w:val="32"/>
          <w:szCs w:val="32"/>
          <w:lang w:val="en-US" w:eastAsia="zh-CN"/>
        </w:rPr>
        <w:t>年初预算数为268.95万元，决算数18.50万元,完成年初预算的6.88%，决算数与年初预算数存在差异的主要原因是根据实际调整经费。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2.一般公共服务支出（类）政协事务（款）行政运行（项）</w:t>
      </w:r>
      <w:r>
        <w:rPr>
          <w:rFonts w:hint="default" w:ascii="仿宋" w:hAnsi="仿宋" w:eastAsia="仿宋" w:cs="仿宋"/>
          <w:kern w:val="0"/>
          <w:sz w:val="32"/>
          <w:szCs w:val="32"/>
          <w:lang w:val="en-US" w:eastAsia="zh-CN"/>
        </w:rPr>
        <w:t>年初预算数为1074.29万元，决算数1203.06万元,完成年初预算的111.99%，决算数与年初预算数存在差异的主要原因是追加新增人员经费。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3.一般公共服务支出（类）政协事务（款）一般行政管理事务（项）</w:t>
      </w:r>
      <w:r>
        <w:rPr>
          <w:rFonts w:hint="default" w:ascii="仿宋" w:hAnsi="仿宋" w:eastAsia="仿宋" w:cs="仿宋"/>
          <w:kern w:val="0"/>
          <w:sz w:val="32"/>
          <w:szCs w:val="32"/>
          <w:lang w:val="en-US" w:eastAsia="zh-CN"/>
        </w:rPr>
        <w:t>年初预算数为268.00万元，决算数219.08万元,完成年初预算的81.75%，决算数与年初预算数存在差异的主要原因是单位厉行节约，压缩会议费开支。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4.一般公共服务支出（类）政协事务（款）事业运行（项）</w:t>
      </w:r>
      <w:r>
        <w:rPr>
          <w:rFonts w:hint="default" w:ascii="仿宋" w:hAnsi="仿宋" w:eastAsia="仿宋" w:cs="仿宋"/>
          <w:kern w:val="0"/>
          <w:sz w:val="32"/>
          <w:szCs w:val="32"/>
          <w:lang w:val="en-US" w:eastAsia="zh-CN"/>
        </w:rPr>
        <w:t>年初预算数为117.34万元，决算数68.98万元,完成年初预算的58.79%，决算数与年初预算数存在差异的主要原因是根据实际调整经费。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年初预算数为6.18万元，决算数6.18万元,完成年初预算的100.00%，决算数与年初预算数不存在差异。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年初预算数为0.00万元，决算数45.76万元,决算数与年初预算数存在差异的主要原因是根据实际调整经费。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年初预算数为303.12万元，决算数322.82万元,完成年初预算的106.50%，决算数与年初预算数存在差异的主要原因是追加新增退休人员经费。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8.社会保障和就业支出（类）行政事业单位养老支出（款）事业单位离退休（项）</w:t>
      </w:r>
      <w:r>
        <w:rPr>
          <w:rFonts w:hint="default" w:ascii="仿宋" w:hAnsi="仿宋" w:eastAsia="仿宋" w:cs="仿宋"/>
          <w:kern w:val="0"/>
          <w:sz w:val="32"/>
          <w:szCs w:val="32"/>
          <w:lang w:val="en-US" w:eastAsia="zh-CN"/>
        </w:rPr>
        <w:t>年初预算数为23.48万元，决算数21.17万元,完成年初预算的90.16%，决算数与年初预算数存在差异的主要原因是事业退休人员死亡1人。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年初预算数为69.35万元，决算数72.72万元,完成年初预算的104.86%，决算数与年初预算数存在差异的主要原因是新增人员、养老保险基数调整，追加经费。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10.社会保障和就业支出（类）抚恤（款）死亡抚恤（项）</w:t>
      </w:r>
      <w:r>
        <w:rPr>
          <w:rFonts w:hint="default" w:ascii="仿宋" w:hAnsi="仿宋" w:eastAsia="仿宋" w:cs="仿宋"/>
          <w:kern w:val="0"/>
          <w:sz w:val="32"/>
          <w:szCs w:val="32"/>
          <w:lang w:val="en-US" w:eastAsia="zh-CN"/>
        </w:rPr>
        <w:t>年初预算数为0.00万元，决算数54.15万元,决算数与年初预算数存在差异的主要原因是追加死亡2人抚恤金和丧葬费。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0"/>
          <w:sz w:val="32"/>
          <w:szCs w:val="32"/>
          <w:lang w:val="en-US" w:eastAsia="zh-CN"/>
        </w:rPr>
        <w:t>年初预算数为32.52万元，决算数48.36万元,完成年初预算的148.71%，决算数与年初预算数存在差异的主要原因是行政人员医疗保险基数调整，追加经费；拨入离休干部2023年医药费。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12.卫生健康支出（类）行政事业单位医疗（款）事业单位医疗（项）</w:t>
      </w:r>
      <w:r>
        <w:rPr>
          <w:rFonts w:hint="default" w:ascii="仿宋" w:hAnsi="仿宋" w:eastAsia="仿宋" w:cs="仿宋"/>
          <w:kern w:val="0"/>
          <w:sz w:val="32"/>
          <w:szCs w:val="32"/>
          <w:lang w:val="en-US" w:eastAsia="zh-CN"/>
        </w:rPr>
        <w:t>年初预算数为4.48万元，决算数4.48万元,完成年初预算的100.00%，决算数与年初预算数不存在差异。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13.卫生健康支出（类）行政事业单位医疗（款）公务员医疗补助（项）</w:t>
      </w:r>
      <w:r>
        <w:rPr>
          <w:rFonts w:hint="default" w:ascii="仿宋" w:hAnsi="仿宋" w:eastAsia="仿宋" w:cs="仿宋"/>
          <w:kern w:val="0"/>
          <w:sz w:val="32"/>
          <w:szCs w:val="32"/>
          <w:lang w:val="en-US" w:eastAsia="zh-CN"/>
        </w:rPr>
        <w:t>年初预算数为39.12万元，决算数41.22万元,完成年初预算的105.37%，决算数与年初预算数存在差异的主要原因是公务员医疗补助基数调整，追加经费。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年初预算数为0.00万元，决算数2.31万元,决算数与年初预算数存在差异的主要原因是拨入驻村第一书记补助。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15.住房保障支出（类）住房改革支出（款）住房公积金（项）</w:t>
      </w:r>
      <w:r>
        <w:rPr>
          <w:rFonts w:hint="default" w:ascii="仿宋" w:hAnsi="仿宋" w:eastAsia="仿宋" w:cs="仿宋"/>
          <w:kern w:val="0"/>
          <w:sz w:val="32"/>
          <w:szCs w:val="32"/>
          <w:lang w:val="en-US" w:eastAsia="zh-CN"/>
        </w:rPr>
        <w:t>年初预算数为70.47万元，决算数71.57万元,完成年初预算的101.56%，决算数与年初预算数存在差异的主要原因是住房公积金基数调整，追加经费。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1990.17万元。其中：人员经费1762.09万元，主要包括：基本工资、津贴补贴、奖金、绩效工资、机关事业单位基本养老保险缴费、职工基本医疗保险缴费、公务员医疗补助缴费、其他社会保障缴费、住房公积金、其他工资福利支出、离休费、退休费、抚恤金、生活补助、医疗费补助。公用经费228.08万元，主要包括：办公费、印刷费、邮电费、差旅费、维修（护）费、会议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2023年度“三公”经费财政拨款支出预算为41.49万元，支出决算为41.49万元，完成预算的100.00%。2023年度“三公”经费支出决算数与预算数无差异。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40.79万元,完成预算的100.00%，占98.31%；公务接待费支出决算0.70万元，完成预算的100.00%，占1.69%。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预算为40.79万元，支出决算为40.79万元，完成预算的100.00%。决算数与预算数无差异。其中：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17.98万元，购置车辆1台，其中机要通讯车1辆。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22.81万元。主要用于公车燃油、维修维护、ETC充值。2023年期末，部门开支财政拨款的公务用车保有量为</w:t>
      </w:r>
      <w:r>
        <w:rPr>
          <w:rFonts w:hint="eastAsia" w:ascii="仿宋" w:hAnsi="仿宋" w:eastAsia="仿宋" w:cs="仿宋"/>
          <w:kern w:val="2"/>
          <w:sz w:val="32"/>
          <w:szCs w:val="32"/>
          <w:lang w:val="en-US" w:eastAsia="zh-CN"/>
        </w:rPr>
        <w:t>12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预算为0.70万元，支出决算为0.70万元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0.70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主要用于接待外地政协来许考察。</w:t>
      </w:r>
      <w:r>
        <w:rPr>
          <w:rFonts w:hint="eastAsia" w:ascii="仿宋" w:hAnsi="仿宋" w:eastAsia="仿宋" w:cs="仿宋"/>
          <w:kern w:val="0"/>
          <w:sz w:val="32"/>
          <w:szCs w:val="32"/>
          <w:lang w:val="en-US" w:eastAsia="zh-CN"/>
        </w:rPr>
        <w:t>2023年共接待国内来访团组7个、来宾69人次（不包括陪同人员）。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2023年度机关运行经费支出228.08万元，较2022年度增长63.19万元，增长38.32%，主要原因是因新增人员，工会经费、职工福利费、公务交通补贴增加。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16.49万元，其中：政府采购货物支出16.49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2023年期末，本部门共有车辆14辆，其中：省级领导干部用车0辆、主要领导干部用车0辆、机要通信用车13辆、应急保障车0辆、执法执勤用车0辆、特种专业技术用车0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辆、离退休干部用车0辆、其他用车1辆；单价100万元（含）以上设备（不含车辆）0台（套）。财政拨款的公务用车保有量与国有资产车辆差异原因:我单位实际有车辆12辆，未超出车辆编制数。</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涉及预算资金2473.83万元，预算执行数2200.38万元。自评得分为99.88分，等级为“优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。从部门整体自评情况来看，2023年我单位整体预算情况执行良好，绩效完成较好。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基于项目预期目标的实现程度，我部门对2023年度部门预算项目支出（含部门参与分配的转移支付项目）开展绩效自评，涉及项目7个，项目金额296.36万元。其中：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（1）会议室音响设备购置，预算数为8.86万元，预算执行数为8.86万元，预算执行率为100%，自评得分为100分，等级为“优”，已完成各项绩效目标。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（2）委员履职费，预算数为18万元，预算执行数为18万元，预算执行率为100%，自评得分为100分，等级为“优”，已完成各项绩效目标。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（3）2022年度委员履职费，预算数为13.99万元，预算执行数为13.99万元，预算执行率为100%，自评得分为100分，等级为“优”，已完成各项绩效目标。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智慧政协”信息化平台升级及等保密评项目经费，预算数为40.2万元，预算执行数为34.05万元，预算执行率为98.47%，自评得分为98.47分，等级为“优”，执行率未达到100%的原因是因客观因素信息化平台密评未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（5）市政协“智慧政协”信息化平台第三年合同款，预算数为12.56万元，预算执行数为12.56万元，预算执行率为100%，自评得分为100分，等级为“优”，已完成各项绩效目标。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（6）办公经费，预算数为6万元，预算执行数为6万元，预算执行率为100%，自评得分为100分，等级为“优”，已完成各项绩效目标。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（7）政协八届一次会议费，预算数为196.75万元，预算执行数为72.8万元，预算执行率为93.7%，自评得分为93.7分，等级为“优”，执行率未达到100%的原因是单位厉行节约，压缩会议经费。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从项目绩效自评情况来看，2023年我单位项目预算情况执行良好，绩效完成较好。下一步，我部门将继续加强预算管理，进一步提高项目预算精细化程度。</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0" w:type="auto"/>
        <w:jc w:val="center"/>
        <w:tblLayout w:type="fixed"/>
        <w:tblCellMar>
          <w:top w:w="0" w:type="dxa"/>
          <w:left w:w="20" w:type="dxa"/>
          <w:bottom w:w="0" w:type="dxa"/>
          <w:right w:w="20" w:type="dxa"/>
        </w:tblCellMar>
      </w:tblPr>
      <w:tblGrid>
        <w:gridCol w:w="794"/>
        <w:gridCol w:w="1626"/>
        <w:gridCol w:w="580"/>
        <w:gridCol w:w="1588"/>
        <w:gridCol w:w="2255"/>
        <w:gridCol w:w="1096"/>
        <w:gridCol w:w="1399"/>
        <w:gridCol w:w="567"/>
        <w:gridCol w:w="360"/>
        <w:gridCol w:w="360"/>
        <w:gridCol w:w="360"/>
      </w:tblGrid>
      <w:tr>
        <w:trPr>
          <w:gridAfter w:val="3"/>
          <w:trHeight w:val="410" w:hRule="exact"/>
          <w:jc w:val="center"/>
        </w:trPr>
        <w:tc>
          <w:tcPr>
            <w:tcW w:w="9905" w:type="dxa"/>
            <w:gridSpan w:val="8"/>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部门整体自评表</w:t>
            </w:r>
          </w:p>
        </w:tc>
      </w:tr>
      <w:tr>
        <w:trPr>
          <w:gridAfter w:val="3"/>
          <w:trHeight w:val="200" w:hRule="exact"/>
          <w:jc w:val="center"/>
        </w:trPr>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部门（单位）名称</w:t>
            </w:r>
          </w:p>
        </w:tc>
        <w:tc>
          <w:tcPr>
            <w:tcW w:w="6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rPr>
          <w:gridAfter w:val="1"/>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部门整体支出情况</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gridAfter w:val="1"/>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部门预算总额（万元）</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1598.92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1989.79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1779.21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89.42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9.94</w:t>
            </w:r>
          </w:p>
        </w:tc>
      </w:tr>
      <w:tr>
        <w:trPr>
          <w:gridAfter w:val="1"/>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资金来源：（1）政府预算资金</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1598.92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1954.76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1779.21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91.02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gridAfter w:val="1"/>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 xml:space="preserve">     （2）财政专户管理资金</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gridAfter w:val="1"/>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 xml:space="preserve">     （3）单位资金</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35.03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gridAfter w:val="3"/>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年度履职目标</w:t>
            </w:r>
          </w:p>
        </w:tc>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gridAfter w:val="3"/>
          <w:trHeight w:val="337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职能：中国人民政治协商会议许昌市委员会单位是政治协商、民主监督、参政议政。其主要职责：各党派团体、各族各界人士在中国政治体制中参与国事、发挥作用的重要内容和基本形式，体现了人民政协的性质和特点，是人民政协区别于其他政治组织的重要标志。</w:t>
            </w:r>
          </w:p>
          <w:p>
            <w:pPr>
              <w:snapToGrid w:val="0"/>
              <w:spacing w:before="0" w:beforeAutospacing="0" w:after="0" w:afterAutospacing="0" w:line="240" w:lineRule="auto"/>
              <w:jc w:val="center"/>
            </w:pPr>
            <w:r>
              <w:rPr>
                <w:rFonts w:ascii="宋体" w:hAnsi="宋体" w:eastAsia="宋体" w:cs="宋体"/>
                <w:b w:val="0"/>
                <w:i w:val="0"/>
                <w:color w:val="000000"/>
                <w:sz w:val="11"/>
              </w:rPr>
              <w:t xml:space="preserve">   履职目标：2022年许昌市政协坚持以习近平新时代中国特色社会主义思想为指导，全面学习贯彻党的十九大和十九届二中、三中、四中、五中、六中全会精神，认真贯彻落实中央、省委、市委经济工作会议精神，按照中央、省委、市委政协工作会议要求，全面加强政协党的建设工作，以服务高质量发展为主线，以提质增效为重点，着力推进建言资政和凝聚共识双向发力，积极助推改革发展，主动服务民生改善，广泛凝聚智慧力量，为全面开创许昌社会主义现代化建设新局面作出积极贡献。</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专题议政性常委会会议议题（2个）</w:t>
            </w:r>
          </w:p>
          <w:p>
            <w:pPr>
              <w:snapToGrid w:val="0"/>
              <w:spacing w:before="0" w:beforeAutospacing="0" w:after="0" w:afterAutospacing="0" w:line="240" w:lineRule="auto"/>
              <w:jc w:val="center"/>
            </w:pPr>
            <w:r>
              <w:rPr>
                <w:rFonts w:ascii="宋体" w:hAnsi="宋体" w:eastAsia="宋体" w:cs="宋体"/>
                <w:b w:val="0"/>
                <w:i w:val="0"/>
                <w:color w:val="000000"/>
                <w:sz w:val="11"/>
              </w:rPr>
              <w:t>1.推动文化旅游深度融合发展</w:t>
            </w:r>
          </w:p>
          <w:p>
            <w:pPr>
              <w:snapToGrid w:val="0"/>
              <w:spacing w:before="0" w:beforeAutospacing="0" w:after="0" w:afterAutospacing="0" w:line="240" w:lineRule="auto"/>
              <w:jc w:val="center"/>
            </w:pPr>
            <w:r>
              <w:rPr>
                <w:rFonts w:ascii="宋体" w:hAnsi="宋体" w:eastAsia="宋体" w:cs="宋体"/>
                <w:b w:val="0"/>
                <w:i w:val="0"/>
                <w:color w:val="000000"/>
                <w:sz w:val="11"/>
              </w:rPr>
              <w:t>2.推进城乡融合共同富裕先行区建设</w:t>
            </w:r>
          </w:p>
          <w:p>
            <w:pPr>
              <w:snapToGrid w:val="0"/>
              <w:spacing w:before="0" w:beforeAutospacing="0" w:after="0" w:afterAutospacing="0" w:line="240" w:lineRule="auto"/>
              <w:jc w:val="center"/>
            </w:pPr>
            <w:r>
              <w:rPr>
                <w:rFonts w:ascii="宋体" w:hAnsi="宋体" w:eastAsia="宋体" w:cs="宋体"/>
                <w:b w:val="0"/>
                <w:i w:val="0"/>
                <w:color w:val="000000"/>
                <w:sz w:val="11"/>
              </w:rPr>
              <w:t>专题协商会议议题（4个）</w:t>
            </w:r>
          </w:p>
          <w:p>
            <w:pPr>
              <w:snapToGrid w:val="0"/>
              <w:spacing w:before="0" w:beforeAutospacing="0" w:after="0" w:afterAutospacing="0" w:line="240" w:lineRule="auto"/>
              <w:jc w:val="center"/>
            </w:pPr>
            <w:r>
              <w:rPr>
                <w:rFonts w:ascii="宋体" w:hAnsi="宋体" w:eastAsia="宋体" w:cs="宋体"/>
                <w:b w:val="0"/>
                <w:i w:val="0"/>
                <w:color w:val="000000"/>
                <w:sz w:val="11"/>
              </w:rPr>
              <w:t>1.加快推进全市医养康养相结合、促进健康老龄化</w:t>
            </w:r>
          </w:p>
          <w:p>
            <w:pPr>
              <w:snapToGrid w:val="0"/>
              <w:spacing w:before="0" w:beforeAutospacing="0" w:after="0" w:afterAutospacing="0" w:line="240" w:lineRule="auto"/>
              <w:jc w:val="center"/>
            </w:pPr>
            <w:r>
              <w:rPr>
                <w:rFonts w:ascii="宋体" w:hAnsi="宋体" w:eastAsia="宋体" w:cs="宋体"/>
                <w:b w:val="0"/>
                <w:i w:val="0"/>
                <w:color w:val="000000"/>
                <w:sz w:val="11"/>
              </w:rPr>
              <w:t>2.莲城智能体建设情况</w:t>
            </w:r>
          </w:p>
          <w:p>
            <w:pPr>
              <w:snapToGrid w:val="0"/>
              <w:spacing w:before="0" w:beforeAutospacing="0" w:after="0" w:afterAutospacing="0" w:line="240" w:lineRule="auto"/>
              <w:jc w:val="center"/>
            </w:pPr>
            <w:r>
              <w:rPr>
                <w:rFonts w:ascii="宋体" w:hAnsi="宋体" w:eastAsia="宋体" w:cs="宋体"/>
                <w:b w:val="0"/>
                <w:i w:val="0"/>
                <w:color w:val="000000"/>
                <w:sz w:val="11"/>
              </w:rPr>
              <w:t>3.民族乡乡村振兴工作</w:t>
            </w:r>
          </w:p>
          <w:p>
            <w:pPr>
              <w:snapToGrid w:val="0"/>
              <w:spacing w:before="0" w:beforeAutospacing="0" w:after="0" w:afterAutospacing="0" w:line="240" w:lineRule="auto"/>
              <w:jc w:val="center"/>
            </w:pPr>
            <w:r>
              <w:rPr>
                <w:rFonts w:ascii="宋体" w:hAnsi="宋体" w:eastAsia="宋体" w:cs="宋体"/>
                <w:b w:val="0"/>
                <w:i w:val="0"/>
                <w:color w:val="000000"/>
                <w:sz w:val="11"/>
              </w:rPr>
              <w:t>4.健全农村低收入人群帮扶机制</w:t>
            </w:r>
          </w:p>
          <w:p>
            <w:pPr>
              <w:snapToGrid w:val="0"/>
              <w:spacing w:before="0" w:beforeAutospacing="0" w:after="0" w:afterAutospacing="0" w:line="240" w:lineRule="auto"/>
              <w:jc w:val="center"/>
            </w:pPr>
            <w:r>
              <w:rPr>
                <w:rFonts w:ascii="宋体" w:hAnsi="宋体" w:eastAsia="宋体" w:cs="宋体"/>
                <w:b w:val="0"/>
                <w:i w:val="0"/>
                <w:color w:val="000000"/>
                <w:sz w:val="11"/>
              </w:rPr>
              <w:t>对口协商议题（6个）</w:t>
            </w:r>
          </w:p>
          <w:p>
            <w:pPr>
              <w:snapToGrid w:val="0"/>
              <w:spacing w:before="0" w:beforeAutospacing="0" w:after="0" w:afterAutospacing="0" w:line="240" w:lineRule="auto"/>
              <w:jc w:val="center"/>
            </w:pPr>
            <w:r>
              <w:rPr>
                <w:rFonts w:ascii="宋体" w:hAnsi="宋体" w:eastAsia="宋体" w:cs="宋体"/>
                <w:b w:val="0"/>
                <w:i w:val="0"/>
                <w:color w:val="000000"/>
                <w:sz w:val="11"/>
              </w:rPr>
              <w:t>1.推进对外贸易创新发展，着力建设开放强市</w:t>
            </w:r>
          </w:p>
          <w:p>
            <w:pPr>
              <w:snapToGrid w:val="0"/>
              <w:spacing w:before="0" w:beforeAutospacing="0" w:after="0" w:afterAutospacing="0" w:line="240" w:lineRule="auto"/>
              <w:jc w:val="center"/>
            </w:pPr>
            <w:r>
              <w:rPr>
                <w:rFonts w:ascii="宋体" w:hAnsi="宋体" w:eastAsia="宋体" w:cs="宋体"/>
                <w:b w:val="0"/>
                <w:i w:val="0"/>
                <w:color w:val="000000"/>
                <w:sz w:val="11"/>
              </w:rPr>
              <w:t>2.加强法治宣传教育，增强全民法治观念</w:t>
            </w:r>
          </w:p>
          <w:p>
            <w:pPr>
              <w:snapToGrid w:val="0"/>
              <w:spacing w:before="0" w:beforeAutospacing="0" w:after="0" w:afterAutospacing="0" w:line="240" w:lineRule="auto"/>
              <w:jc w:val="center"/>
            </w:pPr>
            <w:r>
              <w:rPr>
                <w:rFonts w:ascii="宋体" w:hAnsi="宋体" w:eastAsia="宋体" w:cs="宋体"/>
                <w:b w:val="0"/>
                <w:i w:val="0"/>
                <w:color w:val="000000"/>
                <w:sz w:val="11"/>
              </w:rPr>
              <w:t>3.全市完整社区和绿色社区建设推进情况</w:t>
            </w:r>
          </w:p>
          <w:p>
            <w:pPr>
              <w:snapToGrid w:val="0"/>
              <w:spacing w:before="0" w:beforeAutospacing="0" w:after="0" w:afterAutospacing="0" w:line="240" w:lineRule="auto"/>
              <w:jc w:val="center"/>
            </w:pPr>
            <w:r>
              <w:rPr>
                <w:rFonts w:ascii="宋体" w:hAnsi="宋体" w:eastAsia="宋体" w:cs="宋体"/>
                <w:b w:val="0"/>
                <w:i w:val="0"/>
                <w:color w:val="000000"/>
                <w:sz w:val="11"/>
              </w:rPr>
              <w:t>4.加强基层科普服务体系和服务能力建设</w:t>
            </w:r>
          </w:p>
          <w:p>
            <w:pPr>
              <w:snapToGrid w:val="0"/>
              <w:spacing w:before="0" w:beforeAutospacing="0" w:after="0" w:afterAutospacing="0" w:line="240" w:lineRule="auto"/>
              <w:jc w:val="center"/>
            </w:pPr>
            <w:r>
              <w:rPr>
                <w:rFonts w:ascii="宋体" w:hAnsi="宋体" w:eastAsia="宋体" w:cs="宋体"/>
                <w:b w:val="0"/>
                <w:i w:val="0"/>
                <w:color w:val="000000"/>
                <w:sz w:val="11"/>
              </w:rPr>
              <w:t>5.传统村落保护与利用</w:t>
            </w:r>
          </w:p>
          <w:p>
            <w:pPr>
              <w:snapToGrid w:val="0"/>
              <w:spacing w:before="0" w:beforeAutospacing="0" w:after="0" w:afterAutospacing="0" w:line="240" w:lineRule="auto"/>
              <w:jc w:val="center"/>
            </w:pPr>
            <w:r>
              <w:rPr>
                <w:rFonts w:ascii="宋体" w:hAnsi="宋体" w:eastAsia="宋体" w:cs="宋体"/>
                <w:b w:val="0"/>
                <w:i w:val="0"/>
                <w:color w:val="000000"/>
                <w:sz w:val="11"/>
              </w:rPr>
              <w:t>6.公共卫生服务体系建设</w:t>
            </w:r>
          </w:p>
          <w:p>
            <w:pPr>
              <w:snapToGrid w:val="0"/>
              <w:spacing w:before="0" w:beforeAutospacing="0" w:after="0" w:afterAutospacing="0" w:line="240" w:lineRule="auto"/>
              <w:jc w:val="center"/>
            </w:pPr>
            <w:r>
              <w:rPr>
                <w:rFonts w:ascii="宋体" w:hAnsi="宋体" w:eastAsia="宋体" w:cs="宋体"/>
                <w:b w:val="0"/>
                <w:i w:val="0"/>
                <w:color w:val="000000"/>
                <w:sz w:val="11"/>
              </w:rPr>
              <w:t>专题视察考察活动议题（5个）</w:t>
            </w:r>
          </w:p>
          <w:p>
            <w:pPr>
              <w:snapToGrid w:val="0"/>
              <w:spacing w:before="0" w:beforeAutospacing="0" w:after="0" w:afterAutospacing="0" w:line="240" w:lineRule="auto"/>
              <w:jc w:val="center"/>
            </w:pPr>
            <w:r>
              <w:rPr>
                <w:rFonts w:ascii="宋体" w:hAnsi="宋体" w:eastAsia="宋体" w:cs="宋体"/>
                <w:b w:val="0"/>
                <w:i w:val="0"/>
                <w:color w:val="000000"/>
                <w:sz w:val="11"/>
              </w:rPr>
              <w:t>1.全市小城镇和农村人居环境综合整治情况</w:t>
            </w:r>
          </w:p>
          <w:p>
            <w:pPr>
              <w:snapToGrid w:val="0"/>
              <w:spacing w:before="0" w:beforeAutospacing="0" w:after="0" w:afterAutospacing="0" w:line="240" w:lineRule="auto"/>
              <w:jc w:val="center"/>
            </w:pPr>
            <w:r>
              <w:rPr>
                <w:rFonts w:ascii="宋体" w:hAnsi="宋体" w:eastAsia="宋体" w:cs="宋体"/>
                <w:b w:val="0"/>
                <w:i w:val="0"/>
                <w:color w:val="000000"/>
                <w:sz w:val="11"/>
              </w:rPr>
              <w:t>2.全市政法队伍教育整顿情况</w:t>
            </w:r>
          </w:p>
          <w:p>
            <w:pPr>
              <w:snapToGrid w:val="0"/>
              <w:spacing w:before="0" w:beforeAutospacing="0" w:after="0" w:afterAutospacing="0" w:line="240" w:lineRule="auto"/>
              <w:jc w:val="center"/>
            </w:pPr>
            <w:r>
              <w:rPr>
                <w:rFonts w:ascii="宋体" w:hAnsi="宋体" w:eastAsia="宋体" w:cs="宋体"/>
                <w:b w:val="0"/>
                <w:i w:val="0"/>
                <w:color w:val="000000"/>
                <w:sz w:val="11"/>
              </w:rPr>
              <w:t>3.古城规划与保护利用问题</w:t>
            </w:r>
          </w:p>
          <w:p>
            <w:pPr>
              <w:snapToGrid w:val="0"/>
              <w:spacing w:before="0" w:beforeAutospacing="0" w:after="0" w:afterAutospacing="0" w:line="240" w:lineRule="auto"/>
              <w:jc w:val="center"/>
            </w:pPr>
            <w:r>
              <w:rPr>
                <w:rFonts w:ascii="宋体" w:hAnsi="宋体" w:eastAsia="宋体" w:cs="宋体"/>
                <w:b w:val="0"/>
                <w:i w:val="0"/>
                <w:color w:val="000000"/>
                <w:sz w:val="11"/>
              </w:rPr>
              <w:t>4.郑州大都市圈建设情况</w:t>
            </w:r>
          </w:p>
          <w:p>
            <w:pPr>
              <w:snapToGrid w:val="0"/>
              <w:spacing w:before="0" w:beforeAutospacing="0" w:after="0" w:afterAutospacing="0" w:line="240" w:lineRule="auto"/>
              <w:jc w:val="center"/>
            </w:pPr>
            <w:r>
              <w:rPr>
                <w:rFonts w:ascii="宋体" w:hAnsi="宋体" w:eastAsia="宋体" w:cs="宋体"/>
                <w:b w:val="0"/>
                <w:i w:val="0"/>
                <w:color w:val="000000"/>
                <w:sz w:val="11"/>
              </w:rPr>
              <w:t>5.优化营商环境情况</w:t>
            </w:r>
          </w:p>
        </w:tc>
      </w:tr>
      <w:tr>
        <w:trPr>
          <w:gridAfter w:val="3"/>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年度主要任务</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任务名称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主要内容</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gridAfter w:val="3"/>
          <w:trHeight w:val="5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2个专题性议政协商会议议题</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1.推动文化旅游深度融合发展   2.推进城乡融合共同富裕先行区建设</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trPr>
          <w:gridAfter w:val="3"/>
          <w:trHeight w:val="5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4个专题协商会议议题</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1.加快推进全市医养康养相结合、促进健康老龄化  2.莲城智能体建设情况    3.民族乡乡村振兴工作    4.健全农村低收入人群帮扶机制</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trPr>
          <w:gridAfter w:val="3"/>
          <w:trHeight w:val="801"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6个对口协商议题</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1.推进对外贸易创新发展，着力建设开放强市2.加强法治宣传教育3.全市完整社区和绿色社区建设推进情况，增强全民法治观念4.加强基层科普服务体系和服务能力建设5.传统村落保护与利用6.公共卫生服务体系建设</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trPr>
          <w:gridAfter w:val="3"/>
          <w:trHeight w:val="5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5个专题视察考察活动议题</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1.全市小城镇和农村人居环境综合整治情况   2.全市政法队伍教育整顿情况  3.古城规划与保护利用问题   4.郑州大都市圈建设情况5.优化营商环境情况</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trPr>
          <w:gridAfter w:val="3"/>
          <w:trHeight w:val="5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召开政协七届六次全会</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召开政协七届六次全会。</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trPr>
          <w:trHeight w:val="200" w:hRule="exac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投入管理指标</w:t>
            </w: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工作目标管理</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年度履职目标相关性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相关</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工作任务科学性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科学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绩效指标合理性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预算和财务管理</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预算编制完整性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完整</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专项资金细化率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预算执行率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预算调整率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结转结余率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“三公经费”控制率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政府采购执行率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决算真实性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真实</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资金使用合规性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管理制度健全性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健全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预决算信息公开性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公开</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资产管理规范性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绩效管理</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绩效目标编制完成率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绩效监控完成率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绩效自评完成率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部门绩效评价完成率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评价结果应用率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重点工作任务完成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召开七届六次全会完成率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2个专题性议政协商会议议题完成率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4个专题协商会议议题完成率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6个对口协商议题完成率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5个专题视察考察活动议题完成率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履职目标实现</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年度各项重点工作</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履职效益</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提升建言资政和凝聚共识力量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政协委员满意率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市委市政府满意率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773"/>
        <w:gridCol w:w="675"/>
        <w:gridCol w:w="675"/>
        <w:gridCol w:w="773"/>
      </w:tblGrid>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会议室音响系统设备购置</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8.86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8.86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8.86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8.86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改善会议室音响设备效果、提高会议质量</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会议质量得到显著提高，会议室环境得到很大改善。</w:t>
            </w: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设备安装服务成本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≤0.46万元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0.46万元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设备购置成本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≤8.402万元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有线会议话筒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数字均衡器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电源序时器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无线话筒主机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数字反馈抑制器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视频设备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混音器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音频设备MP12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交货时间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4月26日前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满足会议需求</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有效满足</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提高会议质量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显著提高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参会人员满意率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r>
      <w:tr>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委员履职费（基本运转支出）</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圆满完成各项绩效目标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认真贯彻落实中央、省委、市委政协工作会议精神，紧紧围绕市委市政府中心工作，坚持建言资政和凝聚共识双向发力，发挥专门协商机构作用，带领全市各级政协组织、政协各参加单位和广大政协委员，守正创新，积极进取，助力许昌大发展。</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认真贯彻落实中央、省委、市委政协工作会议精神，紧紧围绕市委市政府中心工作，坚持建言资政和凝聚共识双向发力，发挥专门协商机构作用，带领全市各级政协组织、政协各参加单位和广大政协委员，守正创新，积极进取，助力许昌大发展。</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调研差旅费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智库会议费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完成外出调研</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完成书本编印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≤200本</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200本</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书本编印质量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会议完成质量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圆满完成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会议完成时限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当年完成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外出调研完成时限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当年完成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委员履职能力提升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委员满意度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智库成员满意度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tcBorders>
              <w:top w:val="single" w:color="000000" w:sz="4" w:space="0"/>
            </w:tcBorders>
            <w:shd w:val="clear" w:color="auto" w:fill="auto"/>
            <w:vAlign w:val="center"/>
          </w:tcPr>
          <w:p>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2022年度政协委员履职费（结转本级资金）</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目标1：完成专项调研4次；</w:t>
            </w:r>
          </w:p>
          <w:p>
            <w:pPr>
              <w:snapToGrid w:val="0"/>
              <w:spacing w:before="0" w:beforeAutospacing="0" w:after="0" w:afterAutospacing="0" w:line="240" w:lineRule="auto"/>
              <w:jc w:val="center"/>
            </w:pPr>
            <w:r>
              <w:rPr>
                <w:rFonts w:ascii="宋体" w:hAnsi="宋体" w:eastAsia="宋体" w:cs="宋体"/>
                <w:b w:val="0"/>
                <w:i w:val="0"/>
                <w:color w:val="000000"/>
                <w:sz w:val="11"/>
              </w:rPr>
              <w:t>目标2：完成许昌政协智库第五次专题研讨会，并完成资料汇编</w:t>
            </w:r>
          </w:p>
          <w:p>
            <w:pPr>
              <w:snapToGrid w:val="0"/>
              <w:spacing w:before="0" w:beforeAutospacing="0" w:after="0" w:afterAutospacing="0" w:line="240" w:lineRule="auto"/>
              <w:jc w:val="center"/>
            </w:pPr>
            <w:r>
              <w:rPr>
                <w:rFonts w:ascii="宋体" w:hAnsi="宋体" w:eastAsia="宋体" w:cs="宋体"/>
                <w:b w:val="0"/>
                <w:i w:val="0"/>
                <w:color w:val="000000"/>
                <w:sz w:val="11"/>
              </w:rPr>
              <w:t>目标3：完成第36辑《许昌文史资料》编印</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完成专项调研4次，许昌政协智库第五次专题研讨会圆满完成，智库材料汇编完成印制、完成第36辑《许昌文史资料》的编印。</w:t>
            </w: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专项调研成本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≤606622万元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606622万元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《许昌政协智库第五次专题研讨会发言汇编》印制成本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≤3.447万元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3.45万元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保留小数四舍五入导致的偏差</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《许昌文史资料》印制成本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≤3.88186万元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3.88万元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印制《许昌政协智库第五次专题研讨会发言汇编》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153本</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153本</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《许昌文史资料》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2000本</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2000本</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完成专项调研</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圆满完成会议议程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圆满完成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高质量收集《许昌文史资料》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高质量收集</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印刷质量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会议召开时间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调研完成时间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印刷完成时间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完成许昌文史资料保存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提高履职能力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显著提高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发挥智库建言资政、团结联谊作用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充分发挥</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参会人员满意度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市委市政府满意度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r>
      <w:tr>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办公经费（结转本级资金）</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因市政协换届，人员变动较大，导致公用经费紧张，结转本级资金，用于弥补公用经费不足。结转6万元本级资金，用于保障新增人员正常履职。</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新增人员正常履职，保障机关正常运行。</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办公经费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保障人数增加6人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提升履职能力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使用时间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12月</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保障机关运行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保障</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政协委员满意度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r>
      <w:tr>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市政协”智慧政协“信息化平台第三年合同款</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12.56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12.56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trHeight w:val="1393"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目标1：各模块运行良好，故障率低。                                                                                                                                                                                                        目标2：委员信息录入完成，实现线上互通互联。                                                                                                                                                                                                  目标3：完成手机APP平台注册，机关活动实现线上交流，提升机关信息推送能力，业务处理能力，履职服务质量。</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各模块运行良好，故障率低，委员信息录入完成，实现线上互通互联。完成手机APP平台注册，机关活动实现线上交流，提升机关信息推送能力，业务处理能力，履职服务质量。</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当年建设费用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≤12.557088万元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12.56万元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四舍五入引起的偏差</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付合同款比例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智慧履职系统模块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≥31个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31个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远程政治协商系统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网络议政、远程协商平台模块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运行良好，验收合格率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付款时间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10月底前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节约线下会议、培训成本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提高履职能力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显著提升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政协委员满意度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tcBorders>
              <w:top w:val="single" w:color="000000" w:sz="4" w:space="0"/>
            </w:tcBorders>
            <w:shd w:val="clear" w:color="auto" w:fill="auto"/>
            <w:vAlign w:val="center"/>
          </w:tcPr>
          <w:p>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“智慧政协”信息化平台升级及等保和密评项目经费（结转本级资金）</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34.05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84.7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8.47</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34.05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84.7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圆满完成各项绩效目标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1114"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1.实现许昌市政协与省政协的数据联通对接</w:t>
            </w:r>
          </w:p>
          <w:p>
            <w:pPr>
              <w:snapToGrid w:val="0"/>
              <w:spacing w:before="0" w:beforeAutospacing="0" w:after="0" w:afterAutospacing="0" w:line="240" w:lineRule="auto"/>
              <w:jc w:val="center"/>
            </w:pPr>
            <w:r>
              <w:rPr>
                <w:rFonts w:ascii="宋体" w:hAnsi="宋体" w:eastAsia="宋体" w:cs="宋体"/>
                <w:b w:val="0"/>
                <w:i w:val="0"/>
                <w:color w:val="000000"/>
                <w:sz w:val="11"/>
              </w:rPr>
              <w:t>2.省市县三级“共建共享，协同联动”，加强信息资源共享</w:t>
            </w:r>
          </w:p>
          <w:p>
            <w:pPr>
              <w:snapToGrid w:val="0"/>
              <w:spacing w:before="0" w:beforeAutospacing="0" w:after="0" w:afterAutospacing="0" w:line="240" w:lineRule="auto"/>
              <w:jc w:val="center"/>
            </w:pPr>
            <w:r>
              <w:rPr>
                <w:rFonts w:ascii="宋体" w:hAnsi="宋体" w:eastAsia="宋体" w:cs="宋体"/>
                <w:b w:val="0"/>
                <w:i w:val="0"/>
                <w:color w:val="000000"/>
                <w:sz w:val="11"/>
              </w:rPr>
              <w:t>3.拓宽群众有序参与政协协商渠道。</w:t>
            </w:r>
          </w:p>
          <w:p>
            <w:pPr>
              <w:snapToGrid w:val="0"/>
              <w:spacing w:before="0" w:beforeAutospacing="0" w:after="0" w:afterAutospacing="0" w:line="240" w:lineRule="auto"/>
              <w:jc w:val="center"/>
            </w:pPr>
            <w:r>
              <w:rPr>
                <w:rFonts w:ascii="宋体" w:hAnsi="宋体" w:eastAsia="宋体" w:cs="宋体"/>
                <w:b w:val="0"/>
                <w:i w:val="0"/>
                <w:color w:val="000000"/>
                <w:sz w:val="11"/>
              </w:rPr>
              <w:t>4.开展等级保护评测，剖析与确定许昌政协信息管理系统安全防范管理体系能力；</w:t>
            </w:r>
          </w:p>
          <w:p>
            <w:pPr>
              <w:snapToGrid w:val="0"/>
              <w:spacing w:before="0" w:beforeAutospacing="0" w:after="0" w:afterAutospacing="0" w:line="240" w:lineRule="auto"/>
              <w:jc w:val="center"/>
            </w:pPr>
            <w:r>
              <w:rPr>
                <w:rFonts w:ascii="宋体" w:hAnsi="宋体" w:eastAsia="宋体" w:cs="宋体"/>
                <w:b w:val="0"/>
                <w:i w:val="0"/>
                <w:color w:val="000000"/>
                <w:sz w:val="11"/>
              </w:rPr>
              <w:t>5.发觉存有的安全风险；</w:t>
            </w:r>
          </w:p>
          <w:p>
            <w:pPr>
              <w:snapToGrid w:val="0"/>
              <w:spacing w:before="0" w:beforeAutospacing="0" w:after="0" w:afterAutospacing="0" w:line="240" w:lineRule="auto"/>
              <w:jc w:val="center"/>
            </w:pPr>
            <w:r>
              <w:rPr>
                <w:rFonts w:ascii="宋体" w:hAnsi="宋体" w:eastAsia="宋体" w:cs="宋体"/>
                <w:b w:val="0"/>
                <w:i w:val="0"/>
                <w:color w:val="000000"/>
                <w:sz w:val="11"/>
              </w:rPr>
              <w:t>6.提高网络信息安全安全防护水准；</w:t>
            </w:r>
          </w:p>
          <w:p>
            <w:pPr>
              <w:snapToGrid w:val="0"/>
              <w:spacing w:before="0" w:beforeAutospacing="0" w:after="0" w:afterAutospacing="0" w:line="240" w:lineRule="auto"/>
              <w:jc w:val="center"/>
            </w:pPr>
            <w:r>
              <w:rPr>
                <w:rFonts w:ascii="宋体" w:hAnsi="宋体" w:eastAsia="宋体" w:cs="宋体"/>
                <w:b w:val="0"/>
                <w:i w:val="0"/>
                <w:color w:val="000000"/>
                <w:sz w:val="11"/>
              </w:rPr>
              <w:t>7.对信息管理系统安全性基本建设开展合乎性评测。</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1.实现许昌市政协与省政协的数据联通对接</w:t>
            </w:r>
          </w:p>
          <w:p>
            <w:pPr>
              <w:snapToGrid w:val="0"/>
              <w:spacing w:before="0" w:beforeAutospacing="0" w:after="0" w:afterAutospacing="0" w:line="240" w:lineRule="auto"/>
              <w:jc w:val="center"/>
            </w:pPr>
            <w:r>
              <w:rPr>
                <w:rFonts w:ascii="宋体" w:hAnsi="宋体" w:eastAsia="宋体" w:cs="宋体"/>
                <w:b w:val="0"/>
                <w:i w:val="0"/>
                <w:color w:val="000000"/>
                <w:sz w:val="11"/>
              </w:rPr>
              <w:t>2.省市县三级“共建共享，协同联动”，加强信息资源共享</w:t>
            </w:r>
          </w:p>
          <w:p>
            <w:pPr>
              <w:snapToGrid w:val="0"/>
              <w:spacing w:before="0" w:beforeAutospacing="0" w:after="0" w:afterAutospacing="0" w:line="240" w:lineRule="auto"/>
              <w:jc w:val="center"/>
            </w:pPr>
            <w:r>
              <w:rPr>
                <w:rFonts w:ascii="宋体" w:hAnsi="宋体" w:eastAsia="宋体" w:cs="宋体"/>
                <w:b w:val="0"/>
                <w:i w:val="0"/>
                <w:color w:val="000000"/>
                <w:sz w:val="11"/>
              </w:rPr>
              <w:t>3.拓宽群众有序参与政协协商渠道。</w:t>
            </w:r>
          </w:p>
          <w:p>
            <w:pPr>
              <w:snapToGrid w:val="0"/>
              <w:spacing w:before="0" w:beforeAutospacing="0" w:after="0" w:afterAutospacing="0" w:line="240" w:lineRule="auto"/>
              <w:jc w:val="center"/>
            </w:pPr>
            <w:r>
              <w:rPr>
                <w:rFonts w:ascii="宋体" w:hAnsi="宋体" w:eastAsia="宋体" w:cs="宋体"/>
                <w:b w:val="0"/>
                <w:i w:val="0"/>
                <w:color w:val="000000"/>
                <w:sz w:val="11"/>
              </w:rPr>
              <w:t>4.开展等级保护评测，剖析与确定许昌政协信息管理系统安全防范管理体系能力；</w:t>
            </w:r>
          </w:p>
          <w:p>
            <w:pPr>
              <w:snapToGrid w:val="0"/>
              <w:spacing w:before="0" w:beforeAutospacing="0" w:after="0" w:afterAutospacing="0" w:line="240" w:lineRule="auto"/>
              <w:jc w:val="center"/>
            </w:pPr>
            <w:r>
              <w:rPr>
                <w:rFonts w:ascii="宋体" w:hAnsi="宋体" w:eastAsia="宋体" w:cs="宋体"/>
                <w:b w:val="0"/>
                <w:i w:val="0"/>
                <w:color w:val="000000"/>
                <w:sz w:val="11"/>
              </w:rPr>
              <w:t>5.发觉存有的安全风险；</w:t>
            </w:r>
          </w:p>
          <w:p>
            <w:pPr>
              <w:snapToGrid w:val="0"/>
              <w:spacing w:before="0" w:beforeAutospacing="0" w:after="0" w:afterAutospacing="0" w:line="240" w:lineRule="auto"/>
              <w:jc w:val="center"/>
            </w:pPr>
            <w:r>
              <w:rPr>
                <w:rFonts w:ascii="宋体" w:hAnsi="宋体" w:eastAsia="宋体" w:cs="宋体"/>
                <w:b w:val="0"/>
                <w:i w:val="0"/>
                <w:color w:val="000000"/>
                <w:sz w:val="11"/>
              </w:rPr>
              <w:t>6.提高网络信息安全安全防护水准；</w:t>
            </w:r>
          </w:p>
          <w:p>
            <w:pPr>
              <w:snapToGrid w:val="0"/>
              <w:spacing w:before="0" w:beforeAutospacing="0" w:after="0" w:afterAutospacing="0" w:line="240" w:lineRule="auto"/>
              <w:jc w:val="center"/>
            </w:pPr>
            <w:r>
              <w:rPr>
                <w:rFonts w:ascii="宋体" w:hAnsi="宋体" w:eastAsia="宋体" w:cs="宋体"/>
                <w:b w:val="0"/>
                <w:i w:val="0"/>
                <w:color w:val="000000"/>
                <w:sz w:val="11"/>
              </w:rPr>
              <w:t>7.对信息管理系统安全性基本建设开展合乎性评测。</w:t>
            </w: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等保和密评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智慧政协信息化平台升级建设成本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25.2万元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密码安全测评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良好</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保障信息化网络安全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安全良好</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绿色环保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环保</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杀毒软件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75套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75套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防火墙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网络入侵防御系统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密码测评工作时间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≥1月</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升级基础信息管理系统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升级委员履职管理系统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升级社情民意系统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升级提案管理系统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购置设备合格率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安全性能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工程验收合格率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防护性能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等保级别</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3级</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服务时效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病毒拦截时效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系统查询响应时间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≤3秒</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3秒</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降低政治协商成本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降低公众能参政议政成本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避免重复投资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降低安全运行成本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网络入侵防护率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提升委员参政议政履职能力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明显提升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提高工作效率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显著提高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培养专业人员，提高干部综合素质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明显提高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政协委员满意度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98.47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pPr>
              <w:snapToGrid w:val="0"/>
              <w:spacing w:before="0" w:beforeAutospacing="0" w:after="0" w:afterAutospacing="0" w:line="240" w:lineRule="auto"/>
            </w:pPr>
          </w:p>
        </w:tc>
      </w:tr>
      <w:tr>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政协八届一次会议费（基本运转支出）</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中国人民政治协商会议河南省许昌市委员会</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196.75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196.75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72.8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3.7</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196.75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196.75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72.8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圆满完成各项绩效目标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trHeight w:val="237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目标1：政协八届一次会议于2023年1月初召开。会期4天。参加会议人员810人左右.一是做好会议筹备工作，保障全会顺利召开。二是做好八届政协委员换届选举工作。                                                                                                                                                                                                                         目标2：建言质效，在助力全市高质量发展上展现政协更大作为。                                                                                                                                                                                 目标3： 凝聚共识，画好最大同心圆彰显政协更大担当 。                                                                                                                                                        目标4： 突出工作创新，在践行全过程人民民主上发挥更大作用。                                                                                                                                        目标5 ：突出能力作风建设，在同心奋斗新征程上争创更大业绩。</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政协八届一次会议于2023年1月初召开。会期4天。参加会议人员810人左右.一是做好会议筹备工作，保障全会顺利召开。二是做好八届政协委员换届选举工作。                                                                                                                                                                                                                      建言质效，在助力全市高质量发展上展现政协更大作为。  凝聚共识，画好最大同心圆彰显政协更大担当 。 突出工作创新，在践行全过程人民民主上发挥更大作用。                                                                                                                                        突出能力作风建设，在同心奋斗新征程上争创更大业绩。</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住宿费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≤87.12万元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87.12万元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防疫费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w:t>
            </w:r>
            <w:r>
              <w:rPr>
                <w:rFonts w:ascii="宋体" w:hAnsi="宋体" w:eastAsia="宋体" w:cs="宋体"/>
                <w:b w:val="0"/>
                <w:i w:val="0"/>
                <w:color w:val="000000"/>
                <w:sz w:val="11"/>
              </w:rPr>
              <w:tab/>
            </w:r>
            <w:r>
              <w:rPr>
                <w:rFonts w:ascii="宋体" w:hAnsi="宋体" w:eastAsia="宋体" w:cs="宋体"/>
                <w:b w:val="0"/>
                <w:i w:val="0"/>
                <w:color w:val="000000"/>
                <w:sz w:val="11"/>
              </w:rPr>
              <w:t xml:space="preserve"> 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w:t>
            </w:r>
            <w:r>
              <w:rPr>
                <w:rFonts w:ascii="宋体" w:hAnsi="宋体" w:eastAsia="宋体" w:cs="宋体"/>
                <w:b w:val="0"/>
                <w:i w:val="0"/>
                <w:color w:val="000000"/>
                <w:sz w:val="11"/>
              </w:rPr>
              <w:tab/>
            </w:r>
            <w:r>
              <w:rPr>
                <w:rFonts w:ascii="宋体" w:hAnsi="宋体" w:eastAsia="宋体" w:cs="宋体"/>
                <w:b w:val="0"/>
                <w:i w:val="0"/>
                <w:color w:val="000000"/>
                <w:sz w:val="11"/>
              </w:rPr>
              <w:t xml:space="preserve"> 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公杂费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≤61.13</w:t>
            </w:r>
            <w:r>
              <w:rPr>
                <w:rFonts w:ascii="宋体" w:hAnsi="宋体" w:eastAsia="宋体" w:cs="宋体"/>
                <w:b w:val="0"/>
                <w:i w:val="0"/>
                <w:color w:val="000000"/>
                <w:sz w:val="11"/>
              </w:rPr>
              <w:tab/>
            </w:r>
            <w:r>
              <w:rPr>
                <w:rFonts w:ascii="宋体" w:hAnsi="宋体" w:eastAsia="宋体" w:cs="宋体"/>
                <w:b w:val="0"/>
                <w:i w:val="0"/>
                <w:color w:val="000000"/>
                <w:sz w:val="11"/>
              </w:rPr>
              <w:t xml:space="preserve"> 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61.13</w:t>
            </w:r>
            <w:r>
              <w:rPr>
                <w:rFonts w:ascii="宋体" w:hAnsi="宋体" w:eastAsia="宋体" w:cs="宋体"/>
                <w:b w:val="0"/>
                <w:i w:val="0"/>
                <w:color w:val="000000"/>
                <w:sz w:val="11"/>
              </w:rPr>
              <w:tab/>
            </w:r>
            <w:r>
              <w:rPr>
                <w:rFonts w:ascii="宋体" w:hAnsi="宋体" w:eastAsia="宋体" w:cs="宋体"/>
                <w:b w:val="0"/>
                <w:i w:val="0"/>
                <w:color w:val="000000"/>
                <w:sz w:val="11"/>
              </w:rPr>
              <w:t xml:space="preserve"> 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餐费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参会人数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≤810人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810人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会议天数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≤5天</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5天</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参会率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完成会议议程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安全事故发生率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会议如期召开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压缩会议开支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市委市政府满意度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委员满意度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93.7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Droid Sans Fallback"/>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Nnw5W4C&#10;AgAACw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1B33"/>
    <w:multiLevelType w:val="multilevel"/>
    <w:tmpl w:val="EFBF1B3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DFD7C9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8</TotalTime>
  <ScaleCrop>false</ScaleCrop>
  <LinksUpToDate>false</LinksUpToDate>
  <CharactersWithSpaces>19414</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2024-10-09T15:38:58Z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DF94CE1DC53D4C5F990C8EECCB3F5EB2_13</vt:lpwstr>
  </property>
</Properties>
</file>