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中共许昌市委组织部部门决算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中共许昌市委组织部概况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中共许昌市委组织部概况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（一）研究和指导全市党的组织建设工作，突出加强对各领域党的基层组织建设的指导；协调、规划和指导党员教育工作；主管党员的管理和发展工作；指导和组织新时代党的建设理论研究和阐释。</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（二）贯彻执行中央关于干部队伍建设的方针政策和省委、市委决策部署，加强领导班子和干部队伍建设，指导领导班子的思想政治和作风建设，组织落实培养选拔优秀年轻干部工作。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三）提出市委管理的领导班子和领导干部调整、配备的意见和建议；负责市委管理干部的考察、考核和办理任免、工资、待遇、退休、兼职等工作；负责县(市、区)科级干部的宏观管理和党委组织部副部长、纪委副书记的考察任免和乡镇(街道)党政正职的备案审批工作；负责市直机关科级干部的备案审核和宏观管理工作，承办市委管理干部和其他部分干部的调配、交流、安置、出国(境)事宜；承担省委和地方共同管理单位领导班子、领导干部的协助管理工作；负责对全市事业单位领导人员的宏观管理和部分市直事业单位的人事管理。</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（四）研究和指导全市党的组织制度和干部人事制度改革，制订或参与制订全市组织、干部、人事工作的有关制度和规范性文件。</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（五）负责全市组织工作、干部工作的检查落实；加强对全市选拔任用干部工作和公务员、科级及以上领导干部的监督，及时向市委反映有关重要情况、提出建议。</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（六）贯彻中央关于人才工作的方针政策和省委、市委决策部署，牵头抓总、指导协调全市人才工作，参与制订人才工作规范性文件，牵头组织实施重大人才工程，统筹推进各类人才队伍建设。</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（七）主管全市干部教育工作，贯彻中央关于干部教育工作的方针政策，负责干部教育工作的整体规划、制度建设、宏观指导和督促检查。</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八）统一管理全市公务员录用调配、考核奖励、培训和工资福利等事务，贯彻执行中央和国家关于公务员管理的法律和政策法规，贯彻执行全省公务员管理法规、规章政策，研究拟订全市公务员管理的规范性文件并组织实施，指导全市公务员队伍建设和绩效管理，负责全市公务员管理工作对外交流合作等。</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（九）承担市委党的建设工作领导小组办公室具体工作。</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（十）统一管理市委机构编制委员会办公室和市委老干部局。</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（十一）完成市委交办的其他任务。</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许昌市委组织部内设机构20个,包括：办公室、研究室（政策法规科、党建综合科）、组织一科、组织二科（党员干部驻村工作办公室）、组织三科（非公经济组织和社会组织工作科、代表委员科）、干部一科、干部二科、干部三科、干部四科、干部队伍建设规划办公室、公务员一科、公务员二科、公务员三科、人才科、考核工作科、干部教育科、干部监督一科、干部监督二科、信息管理科、党员电化教育科。另设有许昌市党员教育中心、许昌市专家人才服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从决算单位构成看，中共许昌市委组织部部门决算包括：本级决算（1个）。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纳入本部门2023年度部门决算编制范围的单位共1个，具体是：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中共许昌市委组织部（核算包括许昌市党员教育中心和许昌市专家人才服务中心的预算资金）。</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部门：中共许昌市委组织部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1,742.30</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1,692.22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71.25</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126.74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67.26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61.39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48.74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1,813.55</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1,998.85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207.82</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22.51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2,021.36</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2,021.36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部门：中共许昌市委组织部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1,813.55</w:t>
            </w:r>
          </w:p>
        </w:tc>
        <w:tc>
          <w:tcPr>
            <w:tcW w:w="1440" w:type="dxa"/>
            <w:vAlign w:val="center"/>
          </w:tcPr>
          <w:p>
            <w:pPr>
              <w:jc w:val="right"/>
            </w:pPr>
            <w:r>
              <w:rPr>
                <w:rFonts w:ascii="宋体" w:hAnsi="宋体" w:eastAsia="宋体" w:cs="宋体"/>
                <w:b/>
                <w:i w:val="0"/>
                <w:color w:val="000000"/>
                <w:sz w:val="17"/>
              </w:rPr>
              <w:t>1,742.30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71.25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1,484.40</w:t>
            </w:r>
          </w:p>
        </w:tc>
        <w:tc>
          <w:tcPr>
            <w:tcW w:w="1440" w:type="dxa"/>
            <w:vAlign w:val="center"/>
          </w:tcPr>
          <w:p>
            <w:pPr>
              <w:jc w:val="right"/>
            </w:pPr>
            <w:r>
              <w:rPr>
                <w:rFonts w:ascii="宋体" w:hAnsi="宋体" w:eastAsia="宋体" w:cs="宋体"/>
                <w:b w:val="0"/>
                <w:i w:val="0"/>
                <w:color w:val="000000"/>
                <w:sz w:val="17"/>
              </w:rPr>
              <w:t>1,484.40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39.13</w:t>
            </w:r>
          </w:p>
        </w:tc>
        <w:tc>
          <w:tcPr>
            <w:tcW w:w="1440" w:type="dxa"/>
            <w:vAlign w:val="center"/>
          </w:tcPr>
          <w:p>
            <w:pPr>
              <w:jc w:val="right"/>
            </w:pPr>
            <w:r>
              <w:rPr>
                <w:rFonts w:ascii="宋体" w:hAnsi="宋体" w:eastAsia="宋体" w:cs="宋体"/>
                <w:b w:val="0"/>
                <w:i w:val="0"/>
                <w:color w:val="000000"/>
                <w:sz w:val="17"/>
              </w:rPr>
              <w:t>39.13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39.13</w:t>
            </w:r>
          </w:p>
        </w:tc>
        <w:tc>
          <w:tcPr>
            <w:tcW w:w="1440" w:type="dxa"/>
            <w:vAlign w:val="center"/>
          </w:tcPr>
          <w:p>
            <w:pPr>
              <w:jc w:val="right"/>
            </w:pPr>
            <w:r>
              <w:rPr>
                <w:rFonts w:ascii="宋体" w:hAnsi="宋体" w:eastAsia="宋体" w:cs="宋体"/>
                <w:b w:val="0"/>
                <w:i w:val="0"/>
                <w:color w:val="000000"/>
                <w:sz w:val="17"/>
              </w:rPr>
              <w:t>39.13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5.34</w:t>
            </w:r>
          </w:p>
        </w:tc>
        <w:tc>
          <w:tcPr>
            <w:tcW w:w="1440" w:type="dxa"/>
            <w:vAlign w:val="center"/>
          </w:tcPr>
          <w:p>
            <w:pPr>
              <w:jc w:val="right"/>
            </w:pPr>
            <w:r>
              <w:rPr>
                <w:rFonts w:ascii="宋体" w:hAnsi="宋体" w:eastAsia="宋体" w:cs="宋体"/>
                <w:b w:val="0"/>
                <w:i w:val="0"/>
                <w:color w:val="000000"/>
                <w:sz w:val="17"/>
              </w:rPr>
              <w:t>5.34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5.34</w:t>
            </w:r>
          </w:p>
        </w:tc>
        <w:tc>
          <w:tcPr>
            <w:tcW w:w="1440" w:type="dxa"/>
            <w:vAlign w:val="center"/>
          </w:tcPr>
          <w:p>
            <w:pPr>
              <w:jc w:val="right"/>
            </w:pPr>
            <w:r>
              <w:rPr>
                <w:rFonts w:ascii="宋体" w:hAnsi="宋体" w:eastAsia="宋体" w:cs="宋体"/>
                <w:b w:val="0"/>
                <w:i w:val="0"/>
                <w:color w:val="000000"/>
                <w:sz w:val="17"/>
              </w:rPr>
              <w:t>5.34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20132</w:t>
            </w:r>
          </w:p>
        </w:tc>
        <w:tc>
          <w:tcPr>
            <w:tcW w:w="3140" w:type="dxa"/>
            <w:vAlign w:val="center"/>
          </w:tcPr>
          <w:p>
            <w:pPr>
              <w:jc w:val="left"/>
            </w:pPr>
            <w:r>
              <w:rPr>
                <w:rFonts w:ascii="宋体" w:hAnsi="宋体" w:eastAsia="宋体" w:cs="宋体"/>
                <w:b w:val="0"/>
                <w:i w:val="0"/>
                <w:color w:val="000000"/>
                <w:sz w:val="17"/>
              </w:rPr>
              <w:t>组织事务</w:t>
            </w:r>
          </w:p>
        </w:tc>
        <w:tc>
          <w:tcPr>
            <w:tcW w:w="1440" w:type="dxa"/>
            <w:vAlign w:val="center"/>
          </w:tcPr>
          <w:p>
            <w:pPr>
              <w:jc w:val="right"/>
            </w:pPr>
            <w:r>
              <w:rPr>
                <w:rFonts w:ascii="宋体" w:hAnsi="宋体" w:eastAsia="宋体" w:cs="宋体"/>
                <w:b w:val="0"/>
                <w:i w:val="0"/>
                <w:color w:val="000000"/>
                <w:sz w:val="17"/>
              </w:rPr>
              <w:t>1,384.85</w:t>
            </w:r>
          </w:p>
        </w:tc>
        <w:tc>
          <w:tcPr>
            <w:tcW w:w="1440" w:type="dxa"/>
            <w:vAlign w:val="center"/>
          </w:tcPr>
          <w:p>
            <w:pPr>
              <w:jc w:val="right"/>
            </w:pPr>
            <w:r>
              <w:rPr>
                <w:rFonts w:ascii="宋体" w:hAnsi="宋体" w:eastAsia="宋体" w:cs="宋体"/>
                <w:b w:val="0"/>
                <w:i w:val="0"/>
                <w:color w:val="000000"/>
                <w:sz w:val="17"/>
              </w:rPr>
              <w:t>1,384.85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1,055.25</w:t>
            </w:r>
          </w:p>
        </w:tc>
        <w:tc>
          <w:tcPr>
            <w:tcW w:w="1440" w:type="dxa"/>
            <w:vAlign w:val="center"/>
          </w:tcPr>
          <w:p>
            <w:pPr>
              <w:jc w:val="right"/>
            </w:pPr>
            <w:r>
              <w:rPr>
                <w:rFonts w:ascii="宋体" w:hAnsi="宋体" w:eastAsia="宋体" w:cs="宋体"/>
                <w:b w:val="0"/>
                <w:i w:val="0"/>
                <w:color w:val="000000"/>
                <w:sz w:val="17"/>
              </w:rPr>
              <w:t>1,055.25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307.86</w:t>
            </w:r>
          </w:p>
        </w:tc>
        <w:tc>
          <w:tcPr>
            <w:tcW w:w="1440" w:type="dxa"/>
            <w:vAlign w:val="center"/>
          </w:tcPr>
          <w:p>
            <w:pPr>
              <w:jc w:val="right"/>
            </w:pPr>
            <w:r>
              <w:rPr>
                <w:rFonts w:ascii="宋体" w:hAnsi="宋体" w:eastAsia="宋体" w:cs="宋体"/>
                <w:b w:val="0"/>
                <w:i w:val="0"/>
                <w:color w:val="000000"/>
                <w:sz w:val="17"/>
              </w:rPr>
              <w:t>307.86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2013250</w:t>
            </w:r>
          </w:p>
        </w:tc>
        <w:tc>
          <w:tcPr>
            <w:tcW w:w="3140" w:type="dxa"/>
            <w:vAlign w:val="center"/>
          </w:tcPr>
          <w:p>
            <w:pPr>
              <w:jc w:val="left"/>
            </w:pPr>
            <w:r>
              <w:rPr>
                <w:rFonts w:ascii="宋体" w:hAnsi="宋体" w:eastAsia="宋体" w:cs="宋体"/>
                <w:b w:val="0"/>
                <w:i w:val="0"/>
                <w:color w:val="000000"/>
                <w:sz w:val="17"/>
              </w:rPr>
              <w:t>事业运行</w:t>
            </w:r>
          </w:p>
        </w:tc>
        <w:tc>
          <w:tcPr>
            <w:tcW w:w="1440" w:type="dxa"/>
            <w:vAlign w:val="center"/>
          </w:tcPr>
          <w:p>
            <w:pPr>
              <w:jc w:val="right"/>
            </w:pPr>
            <w:r>
              <w:rPr>
                <w:rFonts w:ascii="宋体" w:hAnsi="宋体" w:eastAsia="宋体" w:cs="宋体"/>
                <w:b w:val="0"/>
                <w:i w:val="0"/>
                <w:color w:val="000000"/>
                <w:sz w:val="17"/>
              </w:rPr>
              <w:t>0.30</w:t>
            </w:r>
          </w:p>
        </w:tc>
        <w:tc>
          <w:tcPr>
            <w:tcW w:w="1440" w:type="dxa"/>
            <w:vAlign w:val="center"/>
          </w:tcPr>
          <w:p>
            <w:pPr>
              <w:jc w:val="right"/>
            </w:pPr>
            <w:r>
              <w:rPr>
                <w:rFonts w:ascii="宋体" w:hAnsi="宋体" w:eastAsia="宋体" w:cs="宋体"/>
                <w:b w:val="0"/>
                <w:i w:val="0"/>
                <w:color w:val="000000"/>
                <w:sz w:val="17"/>
              </w:rPr>
              <w:t>0.30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2013299</w:t>
            </w:r>
          </w:p>
        </w:tc>
        <w:tc>
          <w:tcPr>
            <w:tcW w:w="3140" w:type="dxa"/>
            <w:vAlign w:val="center"/>
          </w:tcPr>
          <w:p>
            <w:pPr>
              <w:jc w:val="left"/>
            </w:pPr>
            <w:r>
              <w:rPr>
                <w:rFonts w:ascii="宋体" w:hAnsi="宋体" w:eastAsia="宋体" w:cs="宋体"/>
                <w:b w:val="0"/>
                <w:i w:val="0"/>
                <w:color w:val="000000"/>
                <w:sz w:val="17"/>
              </w:rPr>
              <w:t>其他组织事务支出</w:t>
            </w:r>
          </w:p>
        </w:tc>
        <w:tc>
          <w:tcPr>
            <w:tcW w:w="1440" w:type="dxa"/>
            <w:vAlign w:val="center"/>
          </w:tcPr>
          <w:p>
            <w:pPr>
              <w:jc w:val="right"/>
            </w:pPr>
            <w:r>
              <w:rPr>
                <w:rFonts w:ascii="宋体" w:hAnsi="宋体" w:eastAsia="宋体" w:cs="宋体"/>
                <w:b w:val="0"/>
                <w:i w:val="0"/>
                <w:color w:val="000000"/>
                <w:sz w:val="17"/>
              </w:rPr>
              <w:t>21.43</w:t>
            </w:r>
          </w:p>
        </w:tc>
        <w:tc>
          <w:tcPr>
            <w:tcW w:w="1440" w:type="dxa"/>
            <w:vAlign w:val="center"/>
          </w:tcPr>
          <w:p>
            <w:pPr>
              <w:jc w:val="right"/>
            </w:pPr>
            <w:r>
              <w:rPr>
                <w:rFonts w:ascii="宋体" w:hAnsi="宋体" w:eastAsia="宋体" w:cs="宋体"/>
                <w:b w:val="0"/>
                <w:i w:val="0"/>
                <w:color w:val="000000"/>
                <w:sz w:val="17"/>
              </w:rPr>
              <w:t>21.43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55.08</w:t>
            </w:r>
          </w:p>
        </w:tc>
        <w:tc>
          <w:tcPr>
            <w:tcW w:w="1440" w:type="dxa"/>
            <w:vAlign w:val="center"/>
          </w:tcPr>
          <w:p>
            <w:pPr>
              <w:jc w:val="right"/>
            </w:pPr>
            <w:r>
              <w:rPr>
                <w:rFonts w:ascii="宋体" w:hAnsi="宋体" w:eastAsia="宋体" w:cs="宋体"/>
                <w:b w:val="0"/>
                <w:i w:val="0"/>
                <w:color w:val="000000"/>
                <w:sz w:val="17"/>
              </w:rPr>
              <w:t>55.08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55.08</w:t>
            </w:r>
          </w:p>
        </w:tc>
        <w:tc>
          <w:tcPr>
            <w:tcW w:w="1440" w:type="dxa"/>
            <w:vAlign w:val="center"/>
          </w:tcPr>
          <w:p>
            <w:pPr>
              <w:jc w:val="right"/>
            </w:pPr>
            <w:r>
              <w:rPr>
                <w:rFonts w:ascii="宋体" w:hAnsi="宋体" w:eastAsia="宋体" w:cs="宋体"/>
                <w:b w:val="0"/>
                <w:i w:val="0"/>
                <w:color w:val="000000"/>
                <w:sz w:val="17"/>
              </w:rPr>
              <w:t>55.08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126.74</w:t>
            </w:r>
          </w:p>
        </w:tc>
        <w:tc>
          <w:tcPr>
            <w:tcW w:w="1440" w:type="dxa"/>
            <w:vAlign w:val="center"/>
          </w:tcPr>
          <w:p>
            <w:pPr>
              <w:jc w:val="right"/>
            </w:pPr>
            <w:r>
              <w:rPr>
                <w:rFonts w:ascii="宋体" w:hAnsi="宋体" w:eastAsia="宋体" w:cs="宋体"/>
                <w:b w:val="0"/>
                <w:i w:val="0"/>
                <w:color w:val="000000"/>
                <w:sz w:val="17"/>
              </w:rPr>
              <w:t>126.74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126.74</w:t>
            </w:r>
          </w:p>
        </w:tc>
        <w:tc>
          <w:tcPr>
            <w:tcW w:w="1440" w:type="dxa"/>
            <w:vAlign w:val="center"/>
          </w:tcPr>
          <w:p>
            <w:pPr>
              <w:jc w:val="right"/>
            </w:pPr>
            <w:r>
              <w:rPr>
                <w:rFonts w:ascii="宋体" w:hAnsi="宋体" w:eastAsia="宋体" w:cs="宋体"/>
                <w:b w:val="0"/>
                <w:i w:val="0"/>
                <w:color w:val="000000"/>
                <w:sz w:val="17"/>
              </w:rPr>
              <w:t>126.74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62.22</w:t>
            </w:r>
          </w:p>
        </w:tc>
        <w:tc>
          <w:tcPr>
            <w:tcW w:w="1440" w:type="dxa"/>
            <w:vAlign w:val="center"/>
          </w:tcPr>
          <w:p>
            <w:pPr>
              <w:jc w:val="right"/>
            </w:pPr>
            <w:r>
              <w:rPr>
                <w:rFonts w:ascii="宋体" w:hAnsi="宋体" w:eastAsia="宋体" w:cs="宋体"/>
                <w:b w:val="0"/>
                <w:i w:val="0"/>
                <w:color w:val="000000"/>
                <w:sz w:val="17"/>
              </w:rPr>
              <w:t>62.22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64.52</w:t>
            </w:r>
          </w:p>
        </w:tc>
        <w:tc>
          <w:tcPr>
            <w:tcW w:w="1440" w:type="dxa"/>
            <w:vAlign w:val="center"/>
          </w:tcPr>
          <w:p>
            <w:pPr>
              <w:jc w:val="right"/>
            </w:pPr>
            <w:r>
              <w:rPr>
                <w:rFonts w:ascii="宋体" w:hAnsi="宋体" w:eastAsia="宋体" w:cs="宋体"/>
                <w:b w:val="0"/>
                <w:i w:val="0"/>
                <w:color w:val="000000"/>
                <w:sz w:val="17"/>
              </w:rPr>
              <w:t>64.52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67.26</w:t>
            </w:r>
          </w:p>
        </w:tc>
        <w:tc>
          <w:tcPr>
            <w:tcW w:w="1440" w:type="dxa"/>
            <w:vAlign w:val="center"/>
          </w:tcPr>
          <w:p>
            <w:pPr>
              <w:jc w:val="right"/>
            </w:pPr>
            <w:r>
              <w:rPr>
                <w:rFonts w:ascii="宋体" w:hAnsi="宋体" w:eastAsia="宋体" w:cs="宋体"/>
                <w:b w:val="0"/>
                <w:i w:val="0"/>
                <w:color w:val="000000"/>
                <w:sz w:val="17"/>
              </w:rPr>
              <w:t>67.26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67.26</w:t>
            </w:r>
          </w:p>
        </w:tc>
        <w:tc>
          <w:tcPr>
            <w:tcW w:w="1440" w:type="dxa"/>
            <w:vAlign w:val="center"/>
          </w:tcPr>
          <w:p>
            <w:pPr>
              <w:jc w:val="right"/>
            </w:pPr>
            <w:r>
              <w:rPr>
                <w:rFonts w:ascii="宋体" w:hAnsi="宋体" w:eastAsia="宋体" w:cs="宋体"/>
                <w:b w:val="0"/>
                <w:i w:val="0"/>
                <w:color w:val="000000"/>
                <w:sz w:val="17"/>
              </w:rPr>
              <w:t>67.26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34.20</w:t>
            </w:r>
          </w:p>
        </w:tc>
        <w:tc>
          <w:tcPr>
            <w:tcW w:w="1440" w:type="dxa"/>
            <w:vAlign w:val="center"/>
          </w:tcPr>
          <w:p>
            <w:pPr>
              <w:jc w:val="right"/>
            </w:pPr>
            <w:r>
              <w:rPr>
                <w:rFonts w:ascii="宋体" w:hAnsi="宋体" w:eastAsia="宋体" w:cs="宋体"/>
                <w:b w:val="0"/>
                <w:i w:val="0"/>
                <w:color w:val="000000"/>
                <w:sz w:val="17"/>
              </w:rPr>
              <w:t>34.20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0.52</w:t>
            </w:r>
          </w:p>
        </w:tc>
        <w:tc>
          <w:tcPr>
            <w:tcW w:w="1440" w:type="dxa"/>
            <w:vAlign w:val="center"/>
          </w:tcPr>
          <w:p>
            <w:pPr>
              <w:jc w:val="right"/>
            </w:pPr>
            <w:r>
              <w:rPr>
                <w:rFonts w:ascii="宋体" w:hAnsi="宋体" w:eastAsia="宋体" w:cs="宋体"/>
                <w:b w:val="0"/>
                <w:i w:val="0"/>
                <w:color w:val="000000"/>
                <w:sz w:val="17"/>
              </w:rPr>
              <w:t>0.52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32.55</w:t>
            </w:r>
          </w:p>
        </w:tc>
        <w:tc>
          <w:tcPr>
            <w:tcW w:w="1440" w:type="dxa"/>
            <w:vAlign w:val="center"/>
          </w:tcPr>
          <w:p>
            <w:pPr>
              <w:jc w:val="right"/>
            </w:pPr>
            <w:r>
              <w:rPr>
                <w:rFonts w:ascii="宋体" w:hAnsi="宋体" w:eastAsia="宋体" w:cs="宋体"/>
                <w:b w:val="0"/>
                <w:i w:val="0"/>
                <w:color w:val="000000"/>
                <w:sz w:val="17"/>
              </w:rPr>
              <w:t>32.55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2.50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61.39</w:t>
            </w:r>
          </w:p>
        </w:tc>
        <w:tc>
          <w:tcPr>
            <w:tcW w:w="1440" w:type="dxa"/>
            <w:vAlign w:val="center"/>
          </w:tcPr>
          <w:p>
            <w:pPr>
              <w:jc w:val="right"/>
            </w:pPr>
            <w:r>
              <w:rPr>
                <w:rFonts w:ascii="宋体" w:hAnsi="宋体" w:eastAsia="宋体" w:cs="宋体"/>
                <w:b w:val="0"/>
                <w:i w:val="0"/>
                <w:color w:val="000000"/>
                <w:sz w:val="17"/>
              </w:rPr>
              <w:t>61.39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61.39</w:t>
            </w:r>
          </w:p>
        </w:tc>
        <w:tc>
          <w:tcPr>
            <w:tcW w:w="1440" w:type="dxa"/>
            <w:vAlign w:val="center"/>
          </w:tcPr>
          <w:p>
            <w:pPr>
              <w:jc w:val="right"/>
            </w:pPr>
            <w:r>
              <w:rPr>
                <w:rFonts w:ascii="宋体" w:hAnsi="宋体" w:eastAsia="宋体" w:cs="宋体"/>
                <w:b w:val="0"/>
                <w:i w:val="0"/>
                <w:color w:val="000000"/>
                <w:sz w:val="17"/>
              </w:rPr>
              <w:t>61.39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61.39</w:t>
            </w:r>
          </w:p>
        </w:tc>
        <w:tc>
          <w:tcPr>
            <w:tcW w:w="1440" w:type="dxa"/>
            <w:vAlign w:val="center"/>
          </w:tcPr>
          <w:p>
            <w:pPr>
              <w:jc w:val="right"/>
            </w:pPr>
            <w:r>
              <w:rPr>
                <w:rFonts w:ascii="宋体" w:hAnsi="宋体" w:eastAsia="宋体" w:cs="宋体"/>
                <w:b w:val="0"/>
                <w:i w:val="0"/>
                <w:color w:val="000000"/>
                <w:sz w:val="17"/>
              </w:rPr>
              <w:t>61.39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71.25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71.25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71.25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71.25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2299999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71.25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71.25</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部门：中共许昌市委组织部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1,998.85</w:t>
            </w:r>
          </w:p>
        </w:tc>
        <w:tc>
          <w:tcPr>
            <w:tcW w:w="1600" w:type="dxa"/>
            <w:vAlign w:val="center"/>
          </w:tcPr>
          <w:p>
            <w:pPr>
              <w:jc w:val="right"/>
            </w:pPr>
            <w:r>
              <w:rPr>
                <w:rFonts w:ascii="宋体" w:hAnsi="宋体" w:eastAsia="宋体" w:cs="宋体"/>
                <w:b/>
                <w:i w:val="0"/>
                <w:color w:val="000000"/>
                <w:sz w:val="19"/>
              </w:rPr>
              <w:t>1,492.40</w:t>
            </w:r>
          </w:p>
        </w:tc>
        <w:tc>
          <w:tcPr>
            <w:tcW w:w="1600" w:type="dxa"/>
            <w:vAlign w:val="center"/>
          </w:tcPr>
          <w:p>
            <w:pPr>
              <w:jc w:val="right"/>
            </w:pPr>
            <w:r>
              <w:rPr>
                <w:rFonts w:ascii="宋体" w:hAnsi="宋体" w:eastAsia="宋体" w:cs="宋体"/>
                <w:b/>
                <w:i w:val="0"/>
                <w:color w:val="000000"/>
                <w:sz w:val="19"/>
              </w:rPr>
              <w:t>506.46</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1,692.22</w:t>
            </w:r>
          </w:p>
        </w:tc>
        <w:tc>
          <w:tcPr>
            <w:tcW w:w="1600" w:type="dxa"/>
            <w:vAlign w:val="center"/>
          </w:tcPr>
          <w:p>
            <w:pPr>
              <w:jc w:val="right"/>
            </w:pPr>
            <w:r>
              <w:rPr>
                <w:rFonts w:ascii="宋体" w:hAnsi="宋体" w:eastAsia="宋体" w:cs="宋体"/>
                <w:b w:val="0"/>
                <w:i w:val="0"/>
                <w:color w:val="000000"/>
                <w:sz w:val="19"/>
              </w:rPr>
              <w:t>1,188.26</w:t>
            </w:r>
          </w:p>
        </w:tc>
        <w:tc>
          <w:tcPr>
            <w:tcW w:w="1600" w:type="dxa"/>
            <w:vAlign w:val="center"/>
          </w:tcPr>
          <w:p>
            <w:pPr>
              <w:jc w:val="right"/>
            </w:pPr>
            <w:r>
              <w:rPr>
                <w:rFonts w:ascii="宋体" w:hAnsi="宋体" w:eastAsia="宋体" w:cs="宋体"/>
                <w:b w:val="0"/>
                <w:i w:val="0"/>
                <w:color w:val="000000"/>
                <w:sz w:val="19"/>
              </w:rPr>
              <w:t>503.96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39.13</w:t>
            </w:r>
          </w:p>
        </w:tc>
        <w:tc>
          <w:tcPr>
            <w:tcW w:w="1600" w:type="dxa"/>
            <w:vAlign w:val="center"/>
          </w:tcPr>
          <w:p>
            <w:pPr>
              <w:jc w:val="right"/>
            </w:pPr>
            <w:r>
              <w:rPr>
                <w:rFonts w:ascii="宋体" w:hAnsi="宋体" w:eastAsia="宋体" w:cs="宋体"/>
                <w:b w:val="0"/>
                <w:i w:val="0"/>
                <w:color w:val="000000"/>
                <w:sz w:val="19"/>
              </w:rPr>
              <w:t>39.13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39.13</w:t>
            </w:r>
          </w:p>
        </w:tc>
        <w:tc>
          <w:tcPr>
            <w:tcW w:w="1600" w:type="dxa"/>
            <w:vAlign w:val="center"/>
          </w:tcPr>
          <w:p>
            <w:pPr>
              <w:jc w:val="right"/>
            </w:pPr>
            <w:r>
              <w:rPr>
                <w:rFonts w:ascii="宋体" w:hAnsi="宋体" w:eastAsia="宋体" w:cs="宋体"/>
                <w:b w:val="0"/>
                <w:i w:val="0"/>
                <w:color w:val="000000"/>
                <w:sz w:val="19"/>
              </w:rPr>
              <w:t>39.13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5.34</w:t>
            </w:r>
          </w:p>
        </w:tc>
        <w:tc>
          <w:tcPr>
            <w:tcW w:w="1600" w:type="dxa"/>
            <w:vAlign w:val="center"/>
          </w:tcPr>
          <w:p>
            <w:pPr>
              <w:jc w:val="right"/>
            </w:pPr>
            <w:r>
              <w:rPr>
                <w:rFonts w:ascii="宋体" w:hAnsi="宋体" w:eastAsia="宋体" w:cs="宋体"/>
                <w:b w:val="0"/>
                <w:i w:val="0"/>
                <w:color w:val="000000"/>
                <w:sz w:val="19"/>
              </w:rPr>
              <w:t>5.34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5.34</w:t>
            </w:r>
          </w:p>
        </w:tc>
        <w:tc>
          <w:tcPr>
            <w:tcW w:w="1600" w:type="dxa"/>
            <w:vAlign w:val="center"/>
          </w:tcPr>
          <w:p>
            <w:pPr>
              <w:jc w:val="right"/>
            </w:pPr>
            <w:r>
              <w:rPr>
                <w:rFonts w:ascii="宋体" w:hAnsi="宋体" w:eastAsia="宋体" w:cs="宋体"/>
                <w:b w:val="0"/>
                <w:i w:val="0"/>
                <w:color w:val="000000"/>
                <w:sz w:val="19"/>
              </w:rPr>
              <w:t>5.34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w:t>
            </w:r>
          </w:p>
        </w:tc>
        <w:tc>
          <w:tcPr>
            <w:tcW w:w="3480" w:type="dxa"/>
            <w:vAlign w:val="center"/>
          </w:tcPr>
          <w:p>
            <w:pPr>
              <w:jc w:val="left"/>
            </w:pPr>
            <w:r>
              <w:rPr>
                <w:rFonts w:ascii="宋体" w:hAnsi="宋体" w:eastAsia="宋体" w:cs="宋体"/>
                <w:b w:val="0"/>
                <w:i w:val="0"/>
                <w:color w:val="000000"/>
                <w:sz w:val="19"/>
              </w:rPr>
              <w:t>组织事务</w:t>
            </w:r>
          </w:p>
        </w:tc>
        <w:tc>
          <w:tcPr>
            <w:tcW w:w="1600" w:type="dxa"/>
            <w:vAlign w:val="center"/>
          </w:tcPr>
          <w:p>
            <w:pPr>
              <w:jc w:val="right"/>
            </w:pPr>
            <w:r>
              <w:rPr>
                <w:rFonts w:ascii="宋体" w:hAnsi="宋体" w:eastAsia="宋体" w:cs="宋体"/>
                <w:b w:val="0"/>
                <w:i w:val="0"/>
                <w:color w:val="000000"/>
                <w:sz w:val="19"/>
              </w:rPr>
              <w:t>1,592.66</w:t>
            </w:r>
          </w:p>
        </w:tc>
        <w:tc>
          <w:tcPr>
            <w:tcW w:w="1600" w:type="dxa"/>
            <w:vAlign w:val="center"/>
          </w:tcPr>
          <w:p>
            <w:pPr>
              <w:jc w:val="right"/>
            </w:pPr>
            <w:r>
              <w:rPr>
                <w:rFonts w:ascii="宋体" w:hAnsi="宋体" w:eastAsia="宋体" w:cs="宋体"/>
                <w:b w:val="0"/>
                <w:i w:val="0"/>
                <w:color w:val="000000"/>
                <w:sz w:val="19"/>
              </w:rPr>
              <w:t>1,088.71</w:t>
            </w:r>
          </w:p>
        </w:tc>
        <w:tc>
          <w:tcPr>
            <w:tcW w:w="1600" w:type="dxa"/>
            <w:vAlign w:val="center"/>
          </w:tcPr>
          <w:p>
            <w:pPr>
              <w:jc w:val="right"/>
            </w:pPr>
            <w:r>
              <w:rPr>
                <w:rFonts w:ascii="宋体" w:hAnsi="宋体" w:eastAsia="宋体" w:cs="宋体"/>
                <w:b w:val="0"/>
                <w:i w:val="0"/>
                <w:color w:val="000000"/>
                <w:sz w:val="19"/>
              </w:rPr>
              <w:t>503.96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1,088.40</w:t>
            </w:r>
          </w:p>
        </w:tc>
        <w:tc>
          <w:tcPr>
            <w:tcW w:w="1600" w:type="dxa"/>
            <w:vAlign w:val="center"/>
          </w:tcPr>
          <w:p>
            <w:pPr>
              <w:jc w:val="right"/>
            </w:pPr>
            <w:r>
              <w:rPr>
                <w:rFonts w:ascii="宋体" w:hAnsi="宋体" w:eastAsia="宋体" w:cs="宋体"/>
                <w:b w:val="0"/>
                <w:i w:val="0"/>
                <w:color w:val="000000"/>
                <w:sz w:val="19"/>
              </w:rPr>
              <w:t>1,088.40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482.52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482.52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2013250</w:t>
            </w:r>
          </w:p>
        </w:tc>
        <w:tc>
          <w:tcPr>
            <w:tcW w:w="3480" w:type="dxa"/>
            <w:vAlign w:val="center"/>
          </w:tcPr>
          <w:p>
            <w:pPr>
              <w:jc w:val="left"/>
            </w:pPr>
            <w:r>
              <w:rPr>
                <w:rFonts w:ascii="宋体" w:hAnsi="宋体" w:eastAsia="宋体" w:cs="宋体"/>
                <w:b w:val="0"/>
                <w:i w:val="0"/>
                <w:color w:val="000000"/>
                <w:sz w:val="19"/>
              </w:rPr>
              <w:t>事业运行</w:t>
            </w:r>
          </w:p>
        </w:tc>
        <w:tc>
          <w:tcPr>
            <w:tcW w:w="1600" w:type="dxa"/>
            <w:vAlign w:val="center"/>
          </w:tcPr>
          <w:p>
            <w:pPr>
              <w:jc w:val="right"/>
            </w:pPr>
            <w:r>
              <w:rPr>
                <w:rFonts w:ascii="宋体" w:hAnsi="宋体" w:eastAsia="宋体" w:cs="宋体"/>
                <w:b w:val="0"/>
                <w:i w:val="0"/>
                <w:color w:val="000000"/>
                <w:sz w:val="19"/>
              </w:rPr>
              <w:t>0.30</w:t>
            </w:r>
          </w:p>
        </w:tc>
        <w:tc>
          <w:tcPr>
            <w:tcW w:w="1600" w:type="dxa"/>
            <w:vAlign w:val="center"/>
          </w:tcPr>
          <w:p>
            <w:pPr>
              <w:jc w:val="right"/>
            </w:pPr>
            <w:r>
              <w:rPr>
                <w:rFonts w:ascii="宋体" w:hAnsi="宋体" w:eastAsia="宋体" w:cs="宋体"/>
                <w:b w:val="0"/>
                <w:i w:val="0"/>
                <w:color w:val="000000"/>
                <w:sz w:val="19"/>
              </w:rPr>
              <w:t>0.30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2013299</w:t>
            </w:r>
          </w:p>
        </w:tc>
        <w:tc>
          <w:tcPr>
            <w:tcW w:w="3480" w:type="dxa"/>
            <w:vAlign w:val="center"/>
          </w:tcPr>
          <w:p>
            <w:pPr>
              <w:jc w:val="left"/>
            </w:pPr>
            <w:r>
              <w:rPr>
                <w:rFonts w:ascii="宋体" w:hAnsi="宋体" w:eastAsia="宋体" w:cs="宋体"/>
                <w:b w:val="0"/>
                <w:i w:val="0"/>
                <w:color w:val="000000"/>
                <w:sz w:val="19"/>
              </w:rPr>
              <w:t>其他组织事务支出</w:t>
            </w:r>
          </w:p>
        </w:tc>
        <w:tc>
          <w:tcPr>
            <w:tcW w:w="1600" w:type="dxa"/>
            <w:vAlign w:val="center"/>
          </w:tcPr>
          <w:p>
            <w:pPr>
              <w:jc w:val="right"/>
            </w:pPr>
            <w:r>
              <w:rPr>
                <w:rFonts w:ascii="宋体" w:hAnsi="宋体" w:eastAsia="宋体" w:cs="宋体"/>
                <w:b w:val="0"/>
                <w:i w:val="0"/>
                <w:color w:val="000000"/>
                <w:sz w:val="19"/>
              </w:rPr>
              <w:t>21.43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21.43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55.08</w:t>
            </w:r>
          </w:p>
        </w:tc>
        <w:tc>
          <w:tcPr>
            <w:tcW w:w="1600" w:type="dxa"/>
            <w:vAlign w:val="center"/>
          </w:tcPr>
          <w:p>
            <w:pPr>
              <w:jc w:val="right"/>
            </w:pPr>
            <w:r>
              <w:rPr>
                <w:rFonts w:ascii="宋体" w:hAnsi="宋体" w:eastAsia="宋体" w:cs="宋体"/>
                <w:b w:val="0"/>
                <w:i w:val="0"/>
                <w:color w:val="000000"/>
                <w:sz w:val="19"/>
              </w:rPr>
              <w:t>55.08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55.08</w:t>
            </w:r>
          </w:p>
        </w:tc>
        <w:tc>
          <w:tcPr>
            <w:tcW w:w="1600" w:type="dxa"/>
            <w:vAlign w:val="center"/>
          </w:tcPr>
          <w:p>
            <w:pPr>
              <w:jc w:val="right"/>
            </w:pPr>
            <w:r>
              <w:rPr>
                <w:rFonts w:ascii="宋体" w:hAnsi="宋体" w:eastAsia="宋体" w:cs="宋体"/>
                <w:b w:val="0"/>
                <w:i w:val="0"/>
                <w:color w:val="000000"/>
                <w:sz w:val="19"/>
              </w:rPr>
              <w:t>55.08</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126.74</w:t>
            </w:r>
          </w:p>
        </w:tc>
        <w:tc>
          <w:tcPr>
            <w:tcW w:w="1600" w:type="dxa"/>
            <w:vAlign w:val="center"/>
          </w:tcPr>
          <w:p>
            <w:pPr>
              <w:jc w:val="right"/>
            </w:pPr>
            <w:r>
              <w:rPr>
                <w:rFonts w:ascii="宋体" w:hAnsi="宋体" w:eastAsia="宋体" w:cs="宋体"/>
                <w:b w:val="0"/>
                <w:i w:val="0"/>
                <w:color w:val="000000"/>
                <w:sz w:val="19"/>
              </w:rPr>
              <w:t>126.74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126.74</w:t>
            </w:r>
          </w:p>
        </w:tc>
        <w:tc>
          <w:tcPr>
            <w:tcW w:w="1600" w:type="dxa"/>
            <w:vAlign w:val="center"/>
          </w:tcPr>
          <w:p>
            <w:pPr>
              <w:jc w:val="right"/>
            </w:pPr>
            <w:r>
              <w:rPr>
                <w:rFonts w:ascii="宋体" w:hAnsi="宋体" w:eastAsia="宋体" w:cs="宋体"/>
                <w:b w:val="0"/>
                <w:i w:val="0"/>
                <w:color w:val="000000"/>
                <w:sz w:val="19"/>
              </w:rPr>
              <w:t>126.74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62.22</w:t>
            </w:r>
          </w:p>
        </w:tc>
        <w:tc>
          <w:tcPr>
            <w:tcW w:w="1600" w:type="dxa"/>
            <w:vAlign w:val="center"/>
          </w:tcPr>
          <w:p>
            <w:pPr>
              <w:jc w:val="right"/>
            </w:pPr>
            <w:r>
              <w:rPr>
                <w:rFonts w:ascii="宋体" w:hAnsi="宋体" w:eastAsia="宋体" w:cs="宋体"/>
                <w:b w:val="0"/>
                <w:i w:val="0"/>
                <w:color w:val="000000"/>
                <w:sz w:val="19"/>
              </w:rPr>
              <w:t>62.22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64.52</w:t>
            </w:r>
          </w:p>
        </w:tc>
        <w:tc>
          <w:tcPr>
            <w:tcW w:w="1600" w:type="dxa"/>
            <w:vAlign w:val="center"/>
          </w:tcPr>
          <w:p>
            <w:pPr>
              <w:jc w:val="right"/>
            </w:pPr>
            <w:r>
              <w:rPr>
                <w:rFonts w:ascii="宋体" w:hAnsi="宋体" w:eastAsia="宋体" w:cs="宋体"/>
                <w:b w:val="0"/>
                <w:i w:val="0"/>
                <w:color w:val="000000"/>
                <w:sz w:val="19"/>
              </w:rPr>
              <w:t>64.52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67.26</w:t>
            </w:r>
          </w:p>
        </w:tc>
        <w:tc>
          <w:tcPr>
            <w:tcW w:w="1600" w:type="dxa"/>
            <w:vAlign w:val="center"/>
          </w:tcPr>
          <w:p>
            <w:pPr>
              <w:jc w:val="right"/>
            </w:pPr>
            <w:r>
              <w:rPr>
                <w:rFonts w:ascii="宋体" w:hAnsi="宋体" w:eastAsia="宋体" w:cs="宋体"/>
                <w:b w:val="0"/>
                <w:i w:val="0"/>
                <w:color w:val="000000"/>
                <w:sz w:val="19"/>
              </w:rPr>
              <w:t>67.26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67.26</w:t>
            </w:r>
          </w:p>
        </w:tc>
        <w:tc>
          <w:tcPr>
            <w:tcW w:w="1600" w:type="dxa"/>
            <w:vAlign w:val="center"/>
          </w:tcPr>
          <w:p>
            <w:pPr>
              <w:jc w:val="right"/>
            </w:pPr>
            <w:r>
              <w:rPr>
                <w:rFonts w:ascii="宋体" w:hAnsi="宋体" w:eastAsia="宋体" w:cs="宋体"/>
                <w:b w:val="0"/>
                <w:i w:val="0"/>
                <w:color w:val="000000"/>
                <w:sz w:val="19"/>
              </w:rPr>
              <w:t>67.26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34.20</w:t>
            </w:r>
          </w:p>
        </w:tc>
        <w:tc>
          <w:tcPr>
            <w:tcW w:w="1600" w:type="dxa"/>
            <w:vAlign w:val="center"/>
          </w:tcPr>
          <w:p>
            <w:pPr>
              <w:jc w:val="right"/>
            </w:pPr>
            <w:r>
              <w:rPr>
                <w:rFonts w:ascii="宋体" w:hAnsi="宋体" w:eastAsia="宋体" w:cs="宋体"/>
                <w:b w:val="0"/>
                <w:i w:val="0"/>
                <w:color w:val="000000"/>
                <w:sz w:val="19"/>
              </w:rPr>
              <w:t>34.20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0.52</w:t>
            </w:r>
          </w:p>
        </w:tc>
        <w:tc>
          <w:tcPr>
            <w:tcW w:w="1600" w:type="dxa"/>
            <w:vAlign w:val="center"/>
          </w:tcPr>
          <w:p>
            <w:pPr>
              <w:jc w:val="right"/>
            </w:pPr>
            <w:r>
              <w:rPr>
                <w:rFonts w:ascii="宋体" w:hAnsi="宋体" w:eastAsia="宋体" w:cs="宋体"/>
                <w:b w:val="0"/>
                <w:i w:val="0"/>
                <w:color w:val="000000"/>
                <w:sz w:val="19"/>
              </w:rPr>
              <w:t>0.52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32.55</w:t>
            </w:r>
          </w:p>
        </w:tc>
        <w:tc>
          <w:tcPr>
            <w:tcW w:w="1600" w:type="dxa"/>
            <w:vAlign w:val="center"/>
          </w:tcPr>
          <w:p>
            <w:pPr>
              <w:jc w:val="right"/>
            </w:pPr>
            <w:r>
              <w:rPr>
                <w:rFonts w:ascii="宋体" w:hAnsi="宋体" w:eastAsia="宋体" w:cs="宋体"/>
                <w:b w:val="0"/>
                <w:i w:val="0"/>
                <w:color w:val="000000"/>
                <w:sz w:val="19"/>
              </w:rPr>
              <w:t>32.55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2.50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61.39</w:t>
            </w:r>
          </w:p>
        </w:tc>
        <w:tc>
          <w:tcPr>
            <w:tcW w:w="1600" w:type="dxa"/>
            <w:vAlign w:val="center"/>
          </w:tcPr>
          <w:p>
            <w:pPr>
              <w:jc w:val="right"/>
            </w:pPr>
            <w:r>
              <w:rPr>
                <w:rFonts w:ascii="宋体" w:hAnsi="宋体" w:eastAsia="宋体" w:cs="宋体"/>
                <w:b w:val="0"/>
                <w:i w:val="0"/>
                <w:color w:val="000000"/>
                <w:sz w:val="19"/>
              </w:rPr>
              <w:t>61.39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61.39</w:t>
            </w:r>
          </w:p>
        </w:tc>
        <w:tc>
          <w:tcPr>
            <w:tcW w:w="1600" w:type="dxa"/>
            <w:vAlign w:val="center"/>
          </w:tcPr>
          <w:p>
            <w:pPr>
              <w:jc w:val="right"/>
            </w:pPr>
            <w:r>
              <w:rPr>
                <w:rFonts w:ascii="宋体" w:hAnsi="宋体" w:eastAsia="宋体" w:cs="宋体"/>
                <w:b w:val="0"/>
                <w:i w:val="0"/>
                <w:color w:val="000000"/>
                <w:sz w:val="19"/>
              </w:rPr>
              <w:t>61.39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61.39</w:t>
            </w:r>
          </w:p>
        </w:tc>
        <w:tc>
          <w:tcPr>
            <w:tcW w:w="1600" w:type="dxa"/>
            <w:vAlign w:val="center"/>
          </w:tcPr>
          <w:p>
            <w:pPr>
              <w:jc w:val="right"/>
            </w:pPr>
            <w:r>
              <w:rPr>
                <w:rFonts w:ascii="宋体" w:hAnsi="宋体" w:eastAsia="宋体" w:cs="宋体"/>
                <w:b w:val="0"/>
                <w:i w:val="0"/>
                <w:color w:val="000000"/>
                <w:sz w:val="19"/>
              </w:rPr>
              <w:t>61.39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48.74</w:t>
            </w:r>
          </w:p>
        </w:tc>
        <w:tc>
          <w:tcPr>
            <w:tcW w:w="1600" w:type="dxa"/>
            <w:vAlign w:val="center"/>
          </w:tcPr>
          <w:p>
            <w:pPr>
              <w:jc w:val="right"/>
            </w:pPr>
            <w:r>
              <w:rPr>
                <w:rFonts w:ascii="宋体" w:hAnsi="宋体" w:eastAsia="宋体" w:cs="宋体"/>
                <w:b w:val="0"/>
                <w:i w:val="0"/>
                <w:color w:val="000000"/>
                <w:sz w:val="19"/>
              </w:rPr>
              <w:t>48.74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48.74</w:t>
            </w:r>
          </w:p>
        </w:tc>
        <w:tc>
          <w:tcPr>
            <w:tcW w:w="1600" w:type="dxa"/>
            <w:vAlign w:val="center"/>
          </w:tcPr>
          <w:p>
            <w:pPr>
              <w:jc w:val="right"/>
            </w:pPr>
            <w:r>
              <w:rPr>
                <w:rFonts w:ascii="宋体" w:hAnsi="宋体" w:eastAsia="宋体" w:cs="宋体"/>
                <w:b w:val="0"/>
                <w:i w:val="0"/>
                <w:color w:val="000000"/>
                <w:sz w:val="19"/>
              </w:rPr>
              <w:t>48.74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2299999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48.74</w:t>
            </w:r>
          </w:p>
        </w:tc>
        <w:tc>
          <w:tcPr>
            <w:tcW w:w="1600" w:type="dxa"/>
            <w:vAlign w:val="center"/>
          </w:tcPr>
          <w:p>
            <w:pPr>
              <w:jc w:val="right"/>
            </w:pPr>
            <w:r>
              <w:rPr>
                <w:rFonts w:ascii="宋体" w:hAnsi="宋体" w:eastAsia="宋体" w:cs="宋体"/>
                <w:b w:val="0"/>
                <w:i w:val="0"/>
                <w:color w:val="000000"/>
                <w:sz w:val="19"/>
              </w:rPr>
              <w:t>48.74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部门：中共许昌市委组织部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1,742.30</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1,692.22</w:t>
            </w:r>
          </w:p>
        </w:tc>
        <w:tc>
          <w:tcPr>
            <w:tcW w:w="1420" w:type="dxa"/>
            <w:vAlign w:val="center"/>
          </w:tcPr>
          <w:p>
            <w:pPr>
              <w:jc w:val="right"/>
            </w:pPr>
            <w:r>
              <w:rPr>
                <w:rFonts w:ascii="宋体" w:hAnsi="宋体" w:eastAsia="宋体" w:cs="宋体"/>
                <w:b w:val="0"/>
                <w:i w:val="0"/>
                <w:color w:val="000000"/>
                <w:sz w:val="18"/>
              </w:rPr>
              <w:t>1,692.22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126.74</w:t>
            </w:r>
          </w:p>
        </w:tc>
        <w:tc>
          <w:tcPr>
            <w:tcW w:w="1420" w:type="dxa"/>
            <w:vAlign w:val="center"/>
          </w:tcPr>
          <w:p>
            <w:pPr>
              <w:jc w:val="right"/>
            </w:pPr>
            <w:r>
              <w:rPr>
                <w:rFonts w:ascii="宋体" w:hAnsi="宋体" w:eastAsia="宋体" w:cs="宋体"/>
                <w:b w:val="0"/>
                <w:i w:val="0"/>
                <w:color w:val="000000"/>
                <w:sz w:val="18"/>
              </w:rPr>
              <w:t>126.74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67.26</w:t>
            </w:r>
          </w:p>
        </w:tc>
        <w:tc>
          <w:tcPr>
            <w:tcW w:w="1420" w:type="dxa"/>
            <w:vAlign w:val="center"/>
          </w:tcPr>
          <w:p>
            <w:pPr>
              <w:jc w:val="right"/>
            </w:pPr>
            <w:r>
              <w:rPr>
                <w:rFonts w:ascii="宋体" w:hAnsi="宋体" w:eastAsia="宋体" w:cs="宋体"/>
                <w:b w:val="0"/>
                <w:i w:val="0"/>
                <w:color w:val="000000"/>
                <w:sz w:val="18"/>
              </w:rPr>
              <w:t>67.26</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2.50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61.39</w:t>
            </w:r>
          </w:p>
        </w:tc>
        <w:tc>
          <w:tcPr>
            <w:tcW w:w="1420" w:type="dxa"/>
            <w:vAlign w:val="center"/>
          </w:tcPr>
          <w:p>
            <w:pPr>
              <w:jc w:val="right"/>
            </w:pPr>
            <w:r>
              <w:rPr>
                <w:rFonts w:ascii="宋体" w:hAnsi="宋体" w:eastAsia="宋体" w:cs="宋体"/>
                <w:b w:val="0"/>
                <w:i w:val="0"/>
                <w:color w:val="000000"/>
                <w:sz w:val="18"/>
              </w:rPr>
              <w:t>61.39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1,742.30</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1,950.11</w:t>
            </w:r>
          </w:p>
        </w:tc>
        <w:tc>
          <w:tcPr>
            <w:tcW w:w="1420" w:type="dxa"/>
            <w:vAlign w:val="center"/>
          </w:tcPr>
          <w:p>
            <w:pPr>
              <w:jc w:val="right"/>
            </w:pPr>
            <w:r>
              <w:rPr>
                <w:rFonts w:ascii="宋体" w:hAnsi="宋体" w:eastAsia="宋体" w:cs="宋体"/>
                <w:b w:val="0"/>
                <w:i w:val="0"/>
                <w:color w:val="000000"/>
                <w:sz w:val="18"/>
              </w:rPr>
              <w:t>1,950.11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207.82</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207.82</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1,950.11</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1,950.11</w:t>
            </w:r>
          </w:p>
        </w:tc>
        <w:tc>
          <w:tcPr>
            <w:tcW w:w="1420" w:type="dxa"/>
            <w:vAlign w:val="center"/>
          </w:tcPr>
          <w:p>
            <w:pPr>
              <w:jc w:val="right"/>
            </w:pPr>
            <w:r>
              <w:rPr>
                <w:rFonts w:ascii="宋体" w:hAnsi="宋体" w:eastAsia="宋体" w:cs="宋体"/>
                <w:b w:val="0"/>
                <w:i w:val="0"/>
                <w:color w:val="000000"/>
                <w:sz w:val="18"/>
              </w:rPr>
              <w:t>1,950.11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部门：中共许昌市委组织部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1,950.11</w:t>
            </w:r>
          </w:p>
        </w:tc>
        <w:tc>
          <w:tcPr>
            <w:tcW w:w="2700" w:type="dxa"/>
            <w:vAlign w:val="center"/>
          </w:tcPr>
          <w:p>
            <w:pPr>
              <w:jc w:val="right"/>
            </w:pPr>
            <w:r>
              <w:rPr>
                <w:rFonts w:ascii="宋体" w:hAnsi="宋体" w:eastAsia="宋体" w:cs="宋体"/>
                <w:b/>
                <w:i w:val="0"/>
                <w:color w:val="000000"/>
                <w:sz w:val="25"/>
              </w:rPr>
              <w:t>1,443.66</w:t>
            </w:r>
          </w:p>
        </w:tc>
        <w:tc>
          <w:tcPr>
            <w:tcW w:w="2658" w:type="dxa"/>
            <w:vAlign w:val="center"/>
          </w:tcPr>
          <w:p>
            <w:pPr>
              <w:jc w:val="right"/>
            </w:pPr>
            <w:r>
              <w:rPr>
                <w:rFonts w:ascii="宋体" w:hAnsi="宋体" w:eastAsia="宋体" w:cs="宋体"/>
                <w:b/>
                <w:i w:val="0"/>
                <w:color w:val="000000"/>
                <w:sz w:val="25"/>
              </w:rPr>
              <w:t>506.46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1,692.22</w:t>
            </w:r>
          </w:p>
        </w:tc>
        <w:tc>
          <w:tcPr>
            <w:tcW w:w="2700" w:type="dxa"/>
            <w:vAlign w:val="center"/>
          </w:tcPr>
          <w:p>
            <w:pPr>
              <w:jc w:val="right"/>
            </w:pPr>
            <w:r>
              <w:rPr>
                <w:rFonts w:ascii="宋体" w:hAnsi="宋体" w:eastAsia="宋体" w:cs="宋体"/>
                <w:b w:val="0"/>
                <w:i w:val="0"/>
                <w:color w:val="000000"/>
                <w:sz w:val="25"/>
              </w:rPr>
              <w:t>1,188.26</w:t>
            </w:r>
          </w:p>
        </w:tc>
        <w:tc>
          <w:tcPr>
            <w:tcW w:w="2658" w:type="dxa"/>
            <w:vAlign w:val="center"/>
          </w:tcPr>
          <w:p>
            <w:pPr>
              <w:jc w:val="right"/>
            </w:pPr>
            <w:r>
              <w:rPr>
                <w:rFonts w:ascii="宋体" w:hAnsi="宋体" w:eastAsia="宋体" w:cs="宋体"/>
                <w:b w:val="0"/>
                <w:i w:val="0"/>
                <w:color w:val="000000"/>
                <w:sz w:val="25"/>
              </w:rPr>
              <w:t>503.96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39.13</w:t>
            </w:r>
          </w:p>
        </w:tc>
        <w:tc>
          <w:tcPr>
            <w:tcW w:w="2700" w:type="dxa"/>
            <w:vAlign w:val="center"/>
          </w:tcPr>
          <w:p>
            <w:pPr>
              <w:jc w:val="right"/>
            </w:pPr>
            <w:r>
              <w:rPr>
                <w:rFonts w:ascii="宋体" w:hAnsi="宋体" w:eastAsia="宋体" w:cs="宋体"/>
                <w:b w:val="0"/>
                <w:i w:val="0"/>
                <w:color w:val="000000"/>
                <w:sz w:val="25"/>
              </w:rPr>
              <w:t>39.13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39.13</w:t>
            </w:r>
          </w:p>
        </w:tc>
        <w:tc>
          <w:tcPr>
            <w:tcW w:w="2700" w:type="dxa"/>
            <w:vAlign w:val="center"/>
          </w:tcPr>
          <w:p>
            <w:pPr>
              <w:jc w:val="right"/>
            </w:pPr>
            <w:r>
              <w:rPr>
                <w:rFonts w:ascii="宋体" w:hAnsi="宋体" w:eastAsia="宋体" w:cs="宋体"/>
                <w:b w:val="0"/>
                <w:i w:val="0"/>
                <w:color w:val="000000"/>
                <w:sz w:val="25"/>
              </w:rPr>
              <w:t>39.13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5.34</w:t>
            </w:r>
          </w:p>
        </w:tc>
        <w:tc>
          <w:tcPr>
            <w:tcW w:w="2700" w:type="dxa"/>
            <w:vAlign w:val="center"/>
          </w:tcPr>
          <w:p>
            <w:pPr>
              <w:jc w:val="right"/>
            </w:pPr>
            <w:r>
              <w:rPr>
                <w:rFonts w:ascii="宋体" w:hAnsi="宋体" w:eastAsia="宋体" w:cs="宋体"/>
                <w:b w:val="0"/>
                <w:i w:val="0"/>
                <w:color w:val="000000"/>
                <w:sz w:val="25"/>
              </w:rPr>
              <w:t>5.34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5.34</w:t>
            </w:r>
          </w:p>
        </w:tc>
        <w:tc>
          <w:tcPr>
            <w:tcW w:w="2700" w:type="dxa"/>
            <w:vAlign w:val="center"/>
          </w:tcPr>
          <w:p>
            <w:pPr>
              <w:jc w:val="right"/>
            </w:pPr>
            <w:r>
              <w:rPr>
                <w:rFonts w:ascii="宋体" w:hAnsi="宋体" w:eastAsia="宋体" w:cs="宋体"/>
                <w:b w:val="0"/>
                <w:i w:val="0"/>
                <w:color w:val="000000"/>
                <w:sz w:val="25"/>
              </w:rPr>
              <w:t>5.34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w:t>
            </w:r>
          </w:p>
        </w:tc>
        <w:tc>
          <w:tcPr>
            <w:tcW w:w="4700" w:type="dxa"/>
            <w:vAlign w:val="center"/>
          </w:tcPr>
          <w:p>
            <w:pPr>
              <w:jc w:val="left"/>
            </w:pPr>
            <w:r>
              <w:rPr>
                <w:rFonts w:ascii="宋体" w:hAnsi="宋体" w:eastAsia="宋体" w:cs="宋体"/>
                <w:b w:val="0"/>
                <w:i w:val="0"/>
                <w:color w:val="000000"/>
                <w:sz w:val="25"/>
              </w:rPr>
              <w:t>组织事务</w:t>
            </w:r>
          </w:p>
        </w:tc>
        <w:tc>
          <w:tcPr>
            <w:tcW w:w="2700" w:type="dxa"/>
            <w:vAlign w:val="center"/>
          </w:tcPr>
          <w:p>
            <w:pPr>
              <w:jc w:val="right"/>
            </w:pPr>
            <w:r>
              <w:rPr>
                <w:rFonts w:ascii="宋体" w:hAnsi="宋体" w:eastAsia="宋体" w:cs="宋体"/>
                <w:b w:val="0"/>
                <w:i w:val="0"/>
                <w:color w:val="000000"/>
                <w:sz w:val="25"/>
              </w:rPr>
              <w:t>1,592.66</w:t>
            </w:r>
          </w:p>
        </w:tc>
        <w:tc>
          <w:tcPr>
            <w:tcW w:w="2700" w:type="dxa"/>
            <w:vAlign w:val="center"/>
          </w:tcPr>
          <w:p>
            <w:pPr>
              <w:jc w:val="right"/>
            </w:pPr>
            <w:r>
              <w:rPr>
                <w:rFonts w:ascii="宋体" w:hAnsi="宋体" w:eastAsia="宋体" w:cs="宋体"/>
                <w:b w:val="0"/>
                <w:i w:val="0"/>
                <w:color w:val="000000"/>
                <w:sz w:val="25"/>
              </w:rPr>
              <w:t>1,088.71</w:t>
            </w:r>
          </w:p>
        </w:tc>
        <w:tc>
          <w:tcPr>
            <w:tcW w:w="2658" w:type="dxa"/>
            <w:vAlign w:val="center"/>
          </w:tcPr>
          <w:p>
            <w:pPr>
              <w:jc w:val="right"/>
            </w:pPr>
            <w:r>
              <w:rPr>
                <w:rFonts w:ascii="宋体" w:hAnsi="宋体" w:eastAsia="宋体" w:cs="宋体"/>
                <w:b w:val="0"/>
                <w:i w:val="0"/>
                <w:color w:val="000000"/>
                <w:sz w:val="25"/>
              </w:rPr>
              <w:t>503.96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1,088.40</w:t>
            </w:r>
          </w:p>
        </w:tc>
        <w:tc>
          <w:tcPr>
            <w:tcW w:w="2700" w:type="dxa"/>
            <w:vAlign w:val="center"/>
          </w:tcPr>
          <w:p>
            <w:pPr>
              <w:jc w:val="right"/>
            </w:pPr>
            <w:r>
              <w:rPr>
                <w:rFonts w:ascii="宋体" w:hAnsi="宋体" w:eastAsia="宋体" w:cs="宋体"/>
                <w:b w:val="0"/>
                <w:i w:val="0"/>
                <w:color w:val="000000"/>
                <w:sz w:val="25"/>
              </w:rPr>
              <w:t>1,088.40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482.52</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482.52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2013250</w:t>
            </w:r>
          </w:p>
        </w:tc>
        <w:tc>
          <w:tcPr>
            <w:tcW w:w="4700" w:type="dxa"/>
            <w:vAlign w:val="center"/>
          </w:tcPr>
          <w:p>
            <w:pPr>
              <w:jc w:val="left"/>
            </w:pPr>
            <w:r>
              <w:rPr>
                <w:rFonts w:ascii="宋体" w:hAnsi="宋体" w:eastAsia="宋体" w:cs="宋体"/>
                <w:b w:val="0"/>
                <w:i w:val="0"/>
                <w:color w:val="000000"/>
                <w:sz w:val="25"/>
              </w:rPr>
              <w:t>事业运行</w:t>
            </w:r>
          </w:p>
        </w:tc>
        <w:tc>
          <w:tcPr>
            <w:tcW w:w="2700" w:type="dxa"/>
            <w:vAlign w:val="center"/>
          </w:tcPr>
          <w:p>
            <w:pPr>
              <w:jc w:val="right"/>
            </w:pPr>
            <w:r>
              <w:rPr>
                <w:rFonts w:ascii="宋体" w:hAnsi="宋体" w:eastAsia="宋体" w:cs="宋体"/>
                <w:b w:val="0"/>
                <w:i w:val="0"/>
                <w:color w:val="000000"/>
                <w:sz w:val="25"/>
              </w:rPr>
              <w:t>0.30</w:t>
            </w:r>
          </w:p>
        </w:tc>
        <w:tc>
          <w:tcPr>
            <w:tcW w:w="2700" w:type="dxa"/>
            <w:vAlign w:val="center"/>
          </w:tcPr>
          <w:p>
            <w:pPr>
              <w:jc w:val="right"/>
            </w:pPr>
            <w:r>
              <w:rPr>
                <w:rFonts w:ascii="宋体" w:hAnsi="宋体" w:eastAsia="宋体" w:cs="宋体"/>
                <w:b w:val="0"/>
                <w:i w:val="0"/>
                <w:color w:val="000000"/>
                <w:sz w:val="25"/>
              </w:rPr>
              <w:t>0.30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2013299</w:t>
            </w:r>
          </w:p>
        </w:tc>
        <w:tc>
          <w:tcPr>
            <w:tcW w:w="4700" w:type="dxa"/>
            <w:vAlign w:val="center"/>
          </w:tcPr>
          <w:p>
            <w:pPr>
              <w:jc w:val="left"/>
            </w:pPr>
            <w:r>
              <w:rPr>
                <w:rFonts w:ascii="宋体" w:hAnsi="宋体" w:eastAsia="宋体" w:cs="宋体"/>
                <w:b w:val="0"/>
                <w:i w:val="0"/>
                <w:color w:val="000000"/>
                <w:sz w:val="25"/>
              </w:rPr>
              <w:t>其他组织事务支出</w:t>
            </w:r>
          </w:p>
        </w:tc>
        <w:tc>
          <w:tcPr>
            <w:tcW w:w="2700" w:type="dxa"/>
            <w:vAlign w:val="center"/>
          </w:tcPr>
          <w:p>
            <w:pPr>
              <w:jc w:val="right"/>
            </w:pPr>
            <w:r>
              <w:rPr>
                <w:rFonts w:ascii="宋体" w:hAnsi="宋体" w:eastAsia="宋体" w:cs="宋体"/>
                <w:b w:val="0"/>
                <w:i w:val="0"/>
                <w:color w:val="000000"/>
                <w:sz w:val="25"/>
              </w:rPr>
              <w:t>21.43</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21.43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55.08</w:t>
            </w:r>
          </w:p>
        </w:tc>
        <w:tc>
          <w:tcPr>
            <w:tcW w:w="2700" w:type="dxa"/>
            <w:vAlign w:val="center"/>
          </w:tcPr>
          <w:p>
            <w:pPr>
              <w:jc w:val="right"/>
            </w:pPr>
            <w:r>
              <w:rPr>
                <w:rFonts w:ascii="宋体" w:hAnsi="宋体" w:eastAsia="宋体" w:cs="宋体"/>
                <w:b w:val="0"/>
                <w:i w:val="0"/>
                <w:color w:val="000000"/>
                <w:sz w:val="25"/>
              </w:rPr>
              <w:t>55.08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55.08</w:t>
            </w:r>
          </w:p>
        </w:tc>
        <w:tc>
          <w:tcPr>
            <w:tcW w:w="2700" w:type="dxa"/>
            <w:vAlign w:val="center"/>
          </w:tcPr>
          <w:p>
            <w:pPr>
              <w:jc w:val="right"/>
            </w:pPr>
            <w:r>
              <w:rPr>
                <w:rFonts w:ascii="宋体" w:hAnsi="宋体" w:eastAsia="宋体" w:cs="宋体"/>
                <w:b w:val="0"/>
                <w:i w:val="0"/>
                <w:color w:val="000000"/>
                <w:sz w:val="25"/>
              </w:rPr>
              <w:t>55.08</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126.74</w:t>
            </w:r>
          </w:p>
        </w:tc>
        <w:tc>
          <w:tcPr>
            <w:tcW w:w="2700" w:type="dxa"/>
            <w:vAlign w:val="center"/>
          </w:tcPr>
          <w:p>
            <w:pPr>
              <w:jc w:val="right"/>
            </w:pPr>
            <w:r>
              <w:rPr>
                <w:rFonts w:ascii="宋体" w:hAnsi="宋体" w:eastAsia="宋体" w:cs="宋体"/>
                <w:b w:val="0"/>
                <w:i w:val="0"/>
                <w:color w:val="000000"/>
                <w:sz w:val="25"/>
              </w:rPr>
              <w:t>126.74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126.74</w:t>
            </w:r>
          </w:p>
        </w:tc>
        <w:tc>
          <w:tcPr>
            <w:tcW w:w="2700" w:type="dxa"/>
            <w:vAlign w:val="center"/>
          </w:tcPr>
          <w:p>
            <w:pPr>
              <w:jc w:val="right"/>
            </w:pPr>
            <w:r>
              <w:rPr>
                <w:rFonts w:ascii="宋体" w:hAnsi="宋体" w:eastAsia="宋体" w:cs="宋体"/>
                <w:b w:val="0"/>
                <w:i w:val="0"/>
                <w:color w:val="000000"/>
                <w:sz w:val="25"/>
              </w:rPr>
              <w:t>126.74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62.22</w:t>
            </w:r>
          </w:p>
        </w:tc>
        <w:tc>
          <w:tcPr>
            <w:tcW w:w="2700" w:type="dxa"/>
            <w:vAlign w:val="center"/>
          </w:tcPr>
          <w:p>
            <w:pPr>
              <w:jc w:val="right"/>
            </w:pPr>
            <w:r>
              <w:rPr>
                <w:rFonts w:ascii="宋体" w:hAnsi="宋体" w:eastAsia="宋体" w:cs="宋体"/>
                <w:b w:val="0"/>
                <w:i w:val="0"/>
                <w:color w:val="000000"/>
                <w:sz w:val="25"/>
              </w:rPr>
              <w:t>62.22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64.52</w:t>
            </w:r>
          </w:p>
        </w:tc>
        <w:tc>
          <w:tcPr>
            <w:tcW w:w="2700" w:type="dxa"/>
            <w:vAlign w:val="center"/>
          </w:tcPr>
          <w:p>
            <w:pPr>
              <w:jc w:val="right"/>
            </w:pPr>
            <w:r>
              <w:rPr>
                <w:rFonts w:ascii="宋体" w:hAnsi="宋体" w:eastAsia="宋体" w:cs="宋体"/>
                <w:b w:val="0"/>
                <w:i w:val="0"/>
                <w:color w:val="000000"/>
                <w:sz w:val="25"/>
              </w:rPr>
              <w:t>64.52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67.26</w:t>
            </w:r>
          </w:p>
        </w:tc>
        <w:tc>
          <w:tcPr>
            <w:tcW w:w="2700" w:type="dxa"/>
            <w:vAlign w:val="center"/>
          </w:tcPr>
          <w:p>
            <w:pPr>
              <w:jc w:val="right"/>
            </w:pPr>
            <w:r>
              <w:rPr>
                <w:rFonts w:ascii="宋体" w:hAnsi="宋体" w:eastAsia="宋体" w:cs="宋体"/>
                <w:b w:val="0"/>
                <w:i w:val="0"/>
                <w:color w:val="000000"/>
                <w:sz w:val="25"/>
              </w:rPr>
              <w:t>67.26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67.26</w:t>
            </w:r>
          </w:p>
        </w:tc>
        <w:tc>
          <w:tcPr>
            <w:tcW w:w="2700" w:type="dxa"/>
            <w:vAlign w:val="center"/>
          </w:tcPr>
          <w:p>
            <w:pPr>
              <w:jc w:val="right"/>
            </w:pPr>
            <w:r>
              <w:rPr>
                <w:rFonts w:ascii="宋体" w:hAnsi="宋体" w:eastAsia="宋体" w:cs="宋体"/>
                <w:b w:val="0"/>
                <w:i w:val="0"/>
                <w:color w:val="000000"/>
                <w:sz w:val="25"/>
              </w:rPr>
              <w:t>67.26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34.20</w:t>
            </w:r>
          </w:p>
        </w:tc>
        <w:tc>
          <w:tcPr>
            <w:tcW w:w="2700" w:type="dxa"/>
            <w:vAlign w:val="center"/>
          </w:tcPr>
          <w:p>
            <w:pPr>
              <w:jc w:val="right"/>
            </w:pPr>
            <w:r>
              <w:rPr>
                <w:rFonts w:ascii="宋体" w:hAnsi="宋体" w:eastAsia="宋体" w:cs="宋体"/>
                <w:b w:val="0"/>
                <w:i w:val="0"/>
                <w:color w:val="000000"/>
                <w:sz w:val="25"/>
              </w:rPr>
              <w:t>34.20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0.52</w:t>
            </w:r>
          </w:p>
        </w:tc>
        <w:tc>
          <w:tcPr>
            <w:tcW w:w="2700" w:type="dxa"/>
            <w:vAlign w:val="center"/>
          </w:tcPr>
          <w:p>
            <w:pPr>
              <w:jc w:val="right"/>
            </w:pPr>
            <w:r>
              <w:rPr>
                <w:rFonts w:ascii="宋体" w:hAnsi="宋体" w:eastAsia="宋体" w:cs="宋体"/>
                <w:b w:val="0"/>
                <w:i w:val="0"/>
                <w:color w:val="000000"/>
                <w:sz w:val="25"/>
              </w:rPr>
              <w:t>0.52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32.55</w:t>
            </w:r>
          </w:p>
        </w:tc>
        <w:tc>
          <w:tcPr>
            <w:tcW w:w="2700" w:type="dxa"/>
            <w:vAlign w:val="center"/>
          </w:tcPr>
          <w:p>
            <w:pPr>
              <w:jc w:val="right"/>
            </w:pPr>
            <w:r>
              <w:rPr>
                <w:rFonts w:ascii="宋体" w:hAnsi="宋体" w:eastAsia="宋体" w:cs="宋体"/>
                <w:b w:val="0"/>
                <w:i w:val="0"/>
                <w:color w:val="000000"/>
                <w:sz w:val="25"/>
              </w:rPr>
              <w:t>32.55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2.50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2.50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61.39</w:t>
            </w:r>
          </w:p>
        </w:tc>
        <w:tc>
          <w:tcPr>
            <w:tcW w:w="2700" w:type="dxa"/>
            <w:vAlign w:val="center"/>
          </w:tcPr>
          <w:p>
            <w:pPr>
              <w:jc w:val="right"/>
            </w:pPr>
            <w:r>
              <w:rPr>
                <w:rFonts w:ascii="宋体" w:hAnsi="宋体" w:eastAsia="宋体" w:cs="宋体"/>
                <w:b w:val="0"/>
                <w:i w:val="0"/>
                <w:color w:val="000000"/>
                <w:sz w:val="25"/>
              </w:rPr>
              <w:t>61.39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61.39</w:t>
            </w:r>
          </w:p>
        </w:tc>
        <w:tc>
          <w:tcPr>
            <w:tcW w:w="2700" w:type="dxa"/>
            <w:vAlign w:val="center"/>
          </w:tcPr>
          <w:p>
            <w:pPr>
              <w:jc w:val="right"/>
            </w:pPr>
            <w:r>
              <w:rPr>
                <w:rFonts w:ascii="宋体" w:hAnsi="宋体" w:eastAsia="宋体" w:cs="宋体"/>
                <w:b w:val="0"/>
                <w:i w:val="0"/>
                <w:color w:val="000000"/>
                <w:sz w:val="25"/>
              </w:rPr>
              <w:t>61.39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61.39</w:t>
            </w:r>
          </w:p>
        </w:tc>
        <w:tc>
          <w:tcPr>
            <w:tcW w:w="2700" w:type="dxa"/>
            <w:vAlign w:val="center"/>
          </w:tcPr>
          <w:p>
            <w:pPr>
              <w:jc w:val="right"/>
            </w:pPr>
            <w:r>
              <w:rPr>
                <w:rFonts w:ascii="宋体" w:hAnsi="宋体" w:eastAsia="宋体" w:cs="宋体"/>
                <w:b w:val="0"/>
                <w:i w:val="0"/>
                <w:color w:val="000000"/>
                <w:sz w:val="25"/>
              </w:rPr>
              <w:t>61.39</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部门：中共许昌市委组织部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1,182.56</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192.57</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296.90</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79.49</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208.51</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15.00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480.46</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1.60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2.51</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5.40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64.52</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4.40</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34.71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32.55</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0.60</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0.42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10.00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61.39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1.80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0.59</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63.13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0.84</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62.22</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0.91</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5.64</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5.34</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6.58</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9.10</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48.18</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4.01</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1,245.69</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197.97</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部门：中共许昌市委组织部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r>
        <w:rPr>
          <w:rFonts w:hint="eastAsia" w:asciiTheme="minorEastAsia" w:hAnsiTheme="minorEastAsia" w:eastAsiaTheme="minorEastAsia" w:cstheme="minorEastAsia"/>
          <w:sz w:val="18"/>
          <w:szCs w:val="18"/>
        </w:rPr>
        <w:t>说明：我部门没有政府性基金收入，也没有使用政府性基金安排的支出，故本表无数据。</w:t>
      </w: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部门：中共许昌市委组织部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部门：中共许昌市委组织部</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9.10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9.10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9.10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9.10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9.10</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9.10</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2023年度收、支总计均为2021.36万元。与上年度相比，收、支总计各减少647.94万元，下降24.27%。主要原因是党员捐款收支不再纳入决算范围。</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收入合计1813.55万元，其中：财政拨款收入1742.30万元，占96.07%；上级补助收入0.00万元，占0.00%；事业收入0.00万元，占0.00%；经营收入0.00万元，占0.00%；附属单位上缴收入0.00万元，占0.00%；其他收入71.25万元，占3.93%</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2023年度支出合计1998.85万元，其中：基本支出1492.40万元，占74.66%；项目支出506.46万元，占25.34%；上缴上级支出0.00万元，占0.00%；经营支出0.00万元，占0.00%；对附属单位补助支出0.00万元，占0.00%</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2023年度财政拨款收、支总计均为1950.11万元。与上年度相比，财政拨款收、支总计各减少2.68万元，下降0.14%。主要原因是人员调出，经费支出减少。</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2023年度一般公共预算财政拨款支出1950.11万元，占支出合计的97.56%。与上年度相比，一般公共预算财政拨款支出减少2.68万元，下降0.14%。主要原因是人员调出，经费支出减少。</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1950.11万元，主要用于以下方面：一般公共服务支出（类）1692.22万元，占86.78%；社会保障和就业支出（类）126.74万元，占6.50%；卫生健康支出（类）67.26万元，占3.45%；农林水支出（类）2.50万元，占0.13%；住房保障支出（类）61.39万元，占3.15%</w:t>
      </w:r>
      <w:r>
        <w:rPr>
          <w:rFonts w:hint="eastAsia" w:ascii="仿宋_GB2312" w:hAnsi="仿宋_GB2312" w:eastAsia="仿宋_GB2312" w:cs="仿宋_GB2312"/>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2023年度一般公共预算财政拨款支出年初预算为1679.82万元，支出决算为1950.11万元，完成年初预算的116.09%。其中：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1.一般公共服务支出（类）人大事务（款）行政运行（项）</w:t>
      </w:r>
      <w:r>
        <w:rPr>
          <w:rFonts w:hint="eastAsia" w:ascii="仿宋_GB2312" w:hAnsi="仿宋_GB2312" w:eastAsia="仿宋_GB2312" w:cs="仿宋_GB2312"/>
          <w:kern w:val="0"/>
          <w:sz w:val="32"/>
          <w:szCs w:val="32"/>
          <w:lang w:val="en-US" w:eastAsia="zh-CN"/>
        </w:rPr>
        <w:t>年初预算数为0.00万元，决算数39.13万元,决算数与年初预算数存在差异的主要原因是工作需要追加相关资金指标。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2.一般公共服务支出（类）群众团体事务（款）工会事务（项）</w:t>
      </w:r>
      <w:r>
        <w:rPr>
          <w:rFonts w:hint="eastAsia" w:ascii="仿宋_GB2312" w:hAnsi="仿宋_GB2312" w:eastAsia="仿宋_GB2312" w:cs="仿宋_GB2312"/>
          <w:kern w:val="0"/>
          <w:sz w:val="32"/>
          <w:szCs w:val="32"/>
          <w:lang w:val="en-US" w:eastAsia="zh-CN"/>
        </w:rPr>
        <w:t>年初预算数为5.34万元，决算数5.34万元,完成年初预算的100.00%，决算数与年初预算数不存在差异。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3.一般公共服务支出（类）组织事务（款）行政运行（项）</w:t>
      </w:r>
      <w:r>
        <w:rPr>
          <w:rFonts w:hint="eastAsia" w:ascii="仿宋_GB2312" w:hAnsi="仿宋_GB2312" w:eastAsia="仿宋_GB2312" w:cs="仿宋_GB2312"/>
          <w:kern w:val="0"/>
          <w:sz w:val="32"/>
          <w:szCs w:val="32"/>
          <w:lang w:val="en-US" w:eastAsia="zh-CN"/>
        </w:rPr>
        <w:t>年初预算数为1033.73万元，决算数1088.40万元,完成年初预算的105.29%，决算数与年初预算数存在差异的主要原因是工作需要追加资金支出。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4.一般公共服务支出（类）组织事务（款）一般行政管理事务（项）</w:t>
      </w:r>
      <w:r>
        <w:rPr>
          <w:rFonts w:hint="eastAsia" w:ascii="仿宋_GB2312" w:hAnsi="仿宋_GB2312" w:eastAsia="仿宋_GB2312" w:cs="仿宋_GB2312"/>
          <w:kern w:val="0"/>
          <w:sz w:val="32"/>
          <w:szCs w:val="32"/>
          <w:lang w:val="en-US" w:eastAsia="zh-CN"/>
        </w:rPr>
        <w:t>年初预算数为180.47万元，决算数482.52万元,完成年初预算的267.37%，决算数与年初预算数存在差异的主要原因是工作需要追加资金支出。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5.一般公共服务支出（类）组织事务（款）事业运行（项）</w:t>
      </w:r>
      <w:r>
        <w:rPr>
          <w:rFonts w:hint="eastAsia" w:ascii="仿宋_GB2312" w:hAnsi="仿宋_GB2312" w:eastAsia="仿宋_GB2312" w:cs="仿宋_GB2312"/>
          <w:kern w:val="0"/>
          <w:sz w:val="32"/>
          <w:szCs w:val="32"/>
          <w:lang w:val="en-US" w:eastAsia="zh-CN"/>
        </w:rPr>
        <w:t>年初预算数为0.00万元，决算数0.30万元,决算数与年初预算数存在差异的主要原因是工作需要追加资金支出。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6.一般公共服务支出（类）组织事务（款）其他组织事务支出（项）</w:t>
      </w:r>
      <w:r>
        <w:rPr>
          <w:rFonts w:hint="eastAsia" w:ascii="仿宋_GB2312" w:hAnsi="仿宋_GB2312" w:eastAsia="仿宋_GB2312" w:cs="仿宋_GB2312"/>
          <w:kern w:val="0"/>
          <w:sz w:val="32"/>
          <w:szCs w:val="32"/>
          <w:lang w:val="en-US" w:eastAsia="zh-CN"/>
        </w:rPr>
        <w:t>年初预算数为14.25万元，决算数21.43万元,完成年初预算的150.39%，决算数与年初预算数存在差异的主要原因是上年度部分项目经费结转本年支出。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7.一般公共服务支出（类）其他一般公共服务支出（款）其他一般公共服务支出（项）</w:t>
      </w:r>
      <w:r>
        <w:rPr>
          <w:rFonts w:hint="eastAsia" w:ascii="仿宋_GB2312" w:hAnsi="仿宋_GB2312" w:eastAsia="仿宋_GB2312" w:cs="仿宋_GB2312"/>
          <w:kern w:val="0"/>
          <w:sz w:val="32"/>
          <w:szCs w:val="32"/>
          <w:lang w:val="en-US" w:eastAsia="zh-CN"/>
        </w:rPr>
        <w:t>年初预算数为0.00万元，决算数55.08万元,决算数与年初预算数存在差异的主要原因是工作需要追加资金支出。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8.社会保障和就业支出（类）行政事业单位养老支出（款）行政单位离退休（项）</w:t>
      </w:r>
      <w:r>
        <w:rPr>
          <w:rFonts w:hint="eastAsia" w:ascii="仿宋_GB2312" w:hAnsi="仿宋_GB2312" w:eastAsia="仿宋_GB2312" w:cs="仿宋_GB2312"/>
          <w:kern w:val="0"/>
          <w:sz w:val="32"/>
          <w:szCs w:val="32"/>
          <w:lang w:val="en-US" w:eastAsia="zh-CN"/>
        </w:rPr>
        <w:t>年初预算数为53.95万元，决算数62.22万元,完成年初预算的115.33%，决算数与年初预算数存在差异的主要原因是退休人员增加，费用支出增多。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9.社会保障和就业支出（类）行政事业单位养老支出（款）机关事业单位基本养老保险缴费支出（项）</w:t>
      </w:r>
      <w:r>
        <w:rPr>
          <w:rFonts w:hint="eastAsia" w:ascii="仿宋_GB2312" w:hAnsi="仿宋_GB2312" w:eastAsia="仿宋_GB2312" w:cs="仿宋_GB2312"/>
          <w:kern w:val="0"/>
          <w:sz w:val="32"/>
          <w:szCs w:val="32"/>
          <w:lang w:val="en-US" w:eastAsia="zh-CN"/>
        </w:rPr>
        <w:t>年初预算数为62.28万元，决算数64.52万元,完成年初预算的103.60%，决算数与年初预算数存在差异的主要原因是养老保险基数上调，养老保险支出增加。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10.卫生健康支出（类）行政事业单位医疗（款）行政单位医疗（项）</w:t>
      </w:r>
      <w:r>
        <w:rPr>
          <w:rFonts w:hint="eastAsia" w:ascii="仿宋_GB2312" w:hAnsi="仿宋_GB2312" w:eastAsia="仿宋_GB2312" w:cs="仿宋_GB2312"/>
          <w:kern w:val="0"/>
          <w:sz w:val="32"/>
          <w:szCs w:val="32"/>
          <w:lang w:val="en-US" w:eastAsia="zh-CN"/>
        </w:rPr>
        <w:t>年初预算数为33.26万元，决算数34.20万元,完成年初预算的102.83%，决算数与年初预算数存在差异的主要原因是医疗保险基数上调，医疗保险支出增加。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11.卫生健康支出（类）行政事业单位医疗（款）事业单位医疗（项）</w:t>
      </w:r>
      <w:r>
        <w:rPr>
          <w:rFonts w:hint="eastAsia" w:ascii="仿宋_GB2312" w:hAnsi="仿宋_GB2312" w:eastAsia="仿宋_GB2312" w:cs="仿宋_GB2312"/>
          <w:kern w:val="0"/>
          <w:sz w:val="32"/>
          <w:szCs w:val="32"/>
          <w:lang w:val="en-US" w:eastAsia="zh-CN"/>
        </w:rPr>
        <w:t>年初预算数为0.52万元，决算数0.52万元,完成年初预算的100.00%，决算数与年初预算数不存在差异。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12.卫生健康支出（类）行政事业单位医疗（款）公务员医疗补助（项）</w:t>
      </w:r>
      <w:r>
        <w:rPr>
          <w:rFonts w:hint="eastAsia" w:ascii="仿宋_GB2312" w:hAnsi="仿宋_GB2312" w:eastAsia="仿宋_GB2312" w:cs="仿宋_GB2312"/>
          <w:kern w:val="0"/>
          <w:sz w:val="32"/>
          <w:szCs w:val="32"/>
          <w:lang w:val="en-US" w:eastAsia="zh-CN"/>
        </w:rPr>
        <w:t>年初预算数为31.68万元，决算数32.55万元,完成年初预算的102.75%，决算数与年初预算数存在差异的主要原因是医疗保险基数上调，医疗保险支出增加。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13.农林水支出（类）巩固脱贫攻坚成果衔接乡村振兴（款）一般行政管理事务（项）</w:t>
      </w:r>
      <w:r>
        <w:rPr>
          <w:rFonts w:hint="eastAsia" w:ascii="仿宋_GB2312" w:hAnsi="仿宋_GB2312" w:eastAsia="仿宋_GB2312" w:cs="仿宋_GB2312"/>
          <w:kern w:val="0"/>
          <w:sz w:val="32"/>
          <w:szCs w:val="32"/>
          <w:lang w:val="en-US" w:eastAsia="zh-CN"/>
        </w:rPr>
        <w:t>年初预算数为0.00万元，决算数2.50万元,决算数与年初预算数存在差异的主要原因是派出驻村书记，费用支出增加。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lang w:val="en-US" w:eastAsia="zh-CN"/>
        </w:rPr>
        <w:t>14.住房保障支出（类）住房改革支出（款）住房公积金（项）</w:t>
      </w:r>
      <w:r>
        <w:rPr>
          <w:rFonts w:hint="eastAsia" w:ascii="仿宋_GB2312" w:hAnsi="仿宋_GB2312" w:eastAsia="仿宋_GB2312" w:cs="仿宋_GB2312"/>
          <w:kern w:val="0"/>
          <w:sz w:val="32"/>
          <w:szCs w:val="32"/>
          <w:lang w:val="en-US" w:eastAsia="zh-CN"/>
        </w:rPr>
        <w:t>年初预算数为64.34万元，决算数61.39万元,完成年初预算的95.41%，决算数与年初预算数存在差异的主要原因是人员调出，支出减少。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1443.66万元。其中：人员经费1245.69万元，主要包括：基本工资、津贴补贴、奖金、绩效工资、机关事业单位基本养老保险缴费、职工基本医疗保险缴费、公务员医疗补助缴费、其他社会保障缴费、住房公积金、其他工资福利支出、退休费、生活补助。公用经费197.97万元，主要包括：办公费、印刷费、咨询费、邮电费、物业管理费、差旅费、维修（护）费、培训费、劳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2023年度“三公”经费财政拨款支出预算为9.10万元，支出决算为9.10万元，完成预算的100.00%。2023年度“三公”经费支出决算数与预算数无差异。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9.10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预算为9.10万元，支出决算为9.10万元，完成预算的100.00%。决算数与预算数无差异。其中：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9.10万元。主要用于支付公务用车加油及维修费用。2023年期末，部门开支财政拨款的公务用车保有量为</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2023年度机关运行经费支出197.97万元，较2022年度下降28.42万元，下降12.55%，主要原因是坚持厉行节约，费用支出减少。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2023年期末，本部门共有车辆3辆，其中：省级领导干部用车0辆、主要领导干部用车0辆、机要通信用车0辆、应急保障车0辆、执法执勤用车0辆、特种专业技术用车0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辆、离退休干部用车0辆、其他用车3辆；单价100万元（含）以上设备（不含车辆）0台（套）。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我部门对本部门</w:t>
      </w:r>
      <w:r>
        <w:rPr>
          <w:rFonts w:hint="eastAsia" w:ascii="仿宋_GB2312" w:hAnsi="仿宋_GB2312" w:eastAsia="仿宋_GB2312" w:cs="仿宋_GB2312"/>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1.部门整体绩效自评。</w:t>
      </w:r>
      <w:r>
        <w:rPr>
          <w:rFonts w:hint="eastAsia" w:ascii="仿宋_GB2312" w:hAnsi="仿宋_GB2312" w:eastAsia="仿宋_GB2312" w:cs="仿宋_GB2312"/>
          <w:kern w:val="0"/>
          <w:sz w:val="32"/>
          <w:szCs w:val="32"/>
          <w:lang w:val="en-US" w:eastAsia="zh-CN"/>
        </w:rPr>
        <w:t>涉及预算资金1988.85万元。自评得分为95.29分，等级为“优”。从部门整体自评情况来看，2023年我部门整体预算情况执行良好，机关工作平稳运转，较好完成了年初设定的各项任务目标，取得了较好社会效益。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2.项目绩效自评。</w:t>
      </w:r>
      <w:r>
        <w:rPr>
          <w:rFonts w:hint="eastAsia" w:ascii="仿宋_GB2312" w:hAnsi="仿宋_GB2312" w:eastAsia="仿宋_GB2312" w:cs="仿宋_GB2312"/>
          <w:kern w:val="0"/>
          <w:sz w:val="32"/>
          <w:szCs w:val="32"/>
          <w:lang w:val="en-US" w:eastAsia="zh-CN"/>
        </w:rPr>
        <w:t>基于项目预期目标的实现程度，我部门对2023年度部门预算项目支出（含部门参与分配的转移支付项目）开展绩效自评，涉及项目6个，项目金额4437.78万元。其中：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（1）提前下达2023年村级党组织工作经费（上级配套支出），自评得分为100分，等级为“优”。该项目预算执行情况良好，年初设定目标按时顺利完成。</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（2）2021年-2022年有关专题网络培训班工作经费（结转本级资金），自评得分为100分，等级为“优”。该项目预算执行情况良好，年初设定目标按时顺利完成。</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（3）"能力作风建设年"活动经费（结转本级资金），自评得分为100分，等级为“优”。该项目预算执行情况良好，年初设定目标按时顺利完成。</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（4）提前下达2023年度选调生到村工作中央财政补助资金（上级提前下达），自评得分为100分，等级为“优”。该项目预算执行情况良好，年初设定目标按时顺利完成。</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（5）公务员考录及表彰工作经费（基本运转支出），自评得分为95.69分，等级为“优”。该项目预算执行情况良好，年初设定目标按时顺利完成。</w:t>
      </w:r>
      <w:r>
        <w:rPr>
          <w:rFonts w:hint="eastAsia" w:ascii="仿宋_GB2312" w:hAnsi="仿宋_GB2312" w:eastAsia="仿宋_GB2312" w:cs="仿宋_GB2312"/>
          <w:kern w:val="0"/>
          <w:sz w:val="32"/>
          <w:szCs w:val="32"/>
          <w:lang w:val="en-US" w:eastAsia="zh-CN"/>
        </w:rPr>
        <w:br w:type="textWrapping"/>
      </w:r>
      <w:r>
        <w:rPr>
          <w:rFonts w:hint="eastAsia" w:ascii="仿宋_GB2312" w:hAnsi="仿宋_GB2312" w:eastAsia="仿宋_GB2312" w:cs="仿宋_GB2312"/>
          <w:kern w:val="0"/>
          <w:sz w:val="32"/>
          <w:szCs w:val="32"/>
          <w:lang w:val="en-US" w:eastAsia="zh-CN"/>
        </w:rPr>
        <w:t xml:space="preserve">    （6）人大政府政协换届工作经费（基本运转支出），自评得分为99.7分，等级为“优”。该项目预算执行情况良好，年初设定目标按时顺利完成。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2"/>
          <w:sz w:val="32"/>
          <w:szCs w:val="32"/>
          <w:lang w:val="en-US" w:eastAsia="zh-CN"/>
        </w:rPr>
        <w:t>从项目绩效自评情况来看，2023年我部门项目预算执行程度较高，年初设定各项任务目标均圆满顺利完成。</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9"/>
        <w:gridCol w:w="905"/>
        <w:gridCol w:w="672"/>
        <w:gridCol w:w="579"/>
        <w:gridCol w:w="1881"/>
        <w:gridCol w:w="931"/>
        <w:gridCol w:w="771"/>
        <w:gridCol w:w="650"/>
        <w:gridCol w:w="678"/>
        <w:gridCol w:w="771"/>
        <w:gridCol w:w="415"/>
        <w:gridCol w:w="1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9" w:hRule="atLeast"/>
        </w:trPr>
        <w:tc>
          <w:tcPr>
            <w:tcW w:w="5000" w:type="pct"/>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i w:val="0"/>
                <w:color w:val="000000"/>
                <w:sz w:val="24"/>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1430"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部门（单位）名称</w:t>
            </w:r>
          </w:p>
        </w:tc>
        <w:tc>
          <w:tcPr>
            <w:tcW w:w="356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中共许昌市委组织部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部门整体支出情况</w:t>
            </w: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年初预算数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全年预算数</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全年执行数</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分值</w:t>
            </w:r>
          </w:p>
        </w:tc>
        <w:tc>
          <w:tcPr>
            <w:tcW w:w="5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执行率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部门预算总额（万元）</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1679.82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2159.03</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1998.85</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w:t>
            </w:r>
          </w:p>
        </w:tc>
        <w:tc>
          <w:tcPr>
            <w:tcW w:w="5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92.58</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资金来源：（1）政府预算资金</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1679.82</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2087.78</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1950.11</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w:t>
            </w:r>
          </w:p>
        </w:tc>
        <w:tc>
          <w:tcPr>
            <w:tcW w:w="5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93.41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（2）财政专户管理资金</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w:t>
            </w:r>
          </w:p>
        </w:tc>
        <w:tc>
          <w:tcPr>
            <w:tcW w:w="5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106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（3）单位资金</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71.25</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48.74</w:t>
            </w:r>
          </w:p>
        </w:tc>
        <w:tc>
          <w:tcPr>
            <w:tcW w:w="6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w:t>
            </w:r>
          </w:p>
        </w:tc>
        <w:tc>
          <w:tcPr>
            <w:tcW w:w="5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68.41</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年度履职目标</w:t>
            </w:r>
          </w:p>
        </w:tc>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预期目标</w:t>
            </w:r>
          </w:p>
        </w:tc>
        <w:tc>
          <w:tcPr>
            <w:tcW w:w="21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4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坚持以习近平新时代中国特色社会主义思想为指导，全面贯彻落实党的二十大精神，认真落实省、市委组织工作部署，以提质增效、更加出彩为主题，以贯彻落实《中国共产党组织工作条例》为重点，高质量做好领导班子换届、创新理论武装、组织体系建设、人才队伍引育等工作，拉高标杆，奋勇争先，务实高效，为推进城乡融合共同富裕先行试验区建设、打造“五个强市”、推动许昌经济发展高质量、城乡建设高水平、人民群众高素质提供坚强组织保证。</w:t>
            </w:r>
          </w:p>
        </w:tc>
        <w:tc>
          <w:tcPr>
            <w:tcW w:w="21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坚持以习近平新时代中国特色社会主义思想为指导，全面贯彻落实党的二十大精神，认真落实省、市委组织工作部署，以提质增效、更加出彩为主题，以贯彻落实《中国共产党组织工作条例》为重点，高质量做好领导班子换届、创新理论武装、组织体系建设、人才队伍引育等工作，拉高标杆，奋勇争先，务实高效，为推进城乡融合共同富裕先行试验区建设、打造“五个强市”、推动许昌经济发展高质量、城乡建设高水平、人民群众高素质提供坚强组织保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年度主要任务</w:t>
            </w: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任务名称</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主要内容</w:t>
            </w:r>
          </w:p>
        </w:tc>
        <w:tc>
          <w:tcPr>
            <w:tcW w:w="21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高质量抓好干部教育培训</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推动理论武装走深走实，抓好二十大精神学习，高质量开展各类干部培训</w:t>
            </w:r>
          </w:p>
        </w:tc>
        <w:tc>
          <w:tcPr>
            <w:tcW w:w="21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按时高质量完成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打造敢打硬仗、善打胜仗的“铁军</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抓好人大政府政协换届，实施干部队伍“强梯补链”计划，加强政法队伍干部建设，提拔年轻干部，完善干部选拔任用机制，加强干部监督和公务员队伍管理</w:t>
            </w:r>
          </w:p>
        </w:tc>
        <w:tc>
          <w:tcPr>
            <w:tcW w:w="21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按时高质量完成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着力增强基层党组织政治功能和组织力凝聚力</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抓党建促乡村振兴，推进乡镇机构改革，抓实抓细各领域党建，提高党员队伍素质，深入推进“五星”支部创建，增强各级党组织政治和组织功能</w:t>
            </w:r>
          </w:p>
        </w:tc>
        <w:tc>
          <w:tcPr>
            <w:tcW w:w="21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按时高质量完成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集聚现代化许昌建设需要的创新人才队伍</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完善人才体系建设，培养引进人才，优化人才生态</w:t>
            </w:r>
          </w:p>
        </w:tc>
        <w:tc>
          <w:tcPr>
            <w:tcW w:w="21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按时高质量完成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持续打造模范部门和过硬队伍</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强化机关政治建设，提高组工干部政治素质和业务水平</w:t>
            </w:r>
          </w:p>
        </w:tc>
        <w:tc>
          <w:tcPr>
            <w:tcW w:w="21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按时高质量完成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67"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7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学习贯彻二十大精神工作</w:t>
            </w:r>
          </w:p>
        </w:tc>
        <w:tc>
          <w:tcPr>
            <w:tcW w:w="16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宣传我市党建、组织工作成绩和典型党员事迹，抓好涉组涉干维稳，高质量开展代表推选，扎实做好疫情防控</w:t>
            </w:r>
          </w:p>
        </w:tc>
        <w:tc>
          <w:tcPr>
            <w:tcW w:w="21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按时高质量完成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一级指标</w:t>
            </w:r>
          </w:p>
        </w:tc>
        <w:tc>
          <w:tcPr>
            <w:tcW w:w="6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二级指标</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三级指标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年度指标值</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实际完成值</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分值</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得分</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偏差度</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绩效指标</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投入管理指标</w:t>
            </w:r>
          </w:p>
        </w:tc>
        <w:tc>
          <w:tcPr>
            <w:tcW w:w="6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工作目标管理</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年度履职目标相关性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相关</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工作任务科学性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科学</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绩效指标合理性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合理</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预算和财务管理</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预算编制完整性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完整</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专项资金细化率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≥90%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预算调整率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28%</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180.00%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年中追加项目经费较多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结转结余率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1.2%</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“三公经费”控制率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政府采购执行率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≥80%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决算真实性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真实</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资金使用合规性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合规</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管理制度健全性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健全</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预决算信息公开性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公开</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资产管理规范性</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规范</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绩效管理</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绩效目标编制完成率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绩效监控完成率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绩效自评完成率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部门绩效评价完成率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评价结果应用率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产出指标</w:t>
            </w:r>
          </w:p>
        </w:tc>
        <w:tc>
          <w:tcPr>
            <w:tcW w:w="6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重点工作任务完成</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深入推进各级五星支部创建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按时高质量完成</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按时完成全年干部调配任务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按时高质量完成</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按时完成我市各类公务员招录</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按时高质量完成</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按时完成人大政府政协换届工作</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按时高质量完成</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履职目标实现</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五星支部成功创建数量</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≥185个</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452个</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4</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2.4</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114.32%</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创建任务超额完成，全省位居第二位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晋升职务职级干部人数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≥120人</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418人</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1.8</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218.33%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调配任务超额完成，干部队伍活力提升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78"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省考公务员、市直机关遴选公务员、选调生等考试招录人数</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≥300人</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550人</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2.09</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53.33%</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单位需求提高，公务员招录人数增多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完成新一届人大政府政协班子配备</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≥10人</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10人</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3</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效益指标</w:t>
            </w:r>
          </w:p>
        </w:tc>
        <w:tc>
          <w:tcPr>
            <w:tcW w:w="6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履职效益</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深入推进五星支部创建</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政治和组织功能进一步强化</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8"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按时完成全年干部调配任务</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优化领导班子结构，提高领导班子战斗力</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2"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按时完成各类公务员招录</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公务员队伍力量得到补充和强化</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70"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按时完成人大政府政协换届工作</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选出好干部，配强新班子，为许昌全方位高质量发展提供坚强保障</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5</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5</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满意度</w:t>
            </w: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 xml:space="preserve"> 省委组织部满意度</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≥98%</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61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9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市委满意度</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≥98%</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6</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0.00%</w:t>
            </w: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6" w:hRule="atLeast"/>
        </w:trPr>
        <w:tc>
          <w:tcPr>
            <w:tcW w:w="3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1"/>
                <w:szCs w:val="11"/>
                <w:u w:val="none"/>
              </w:rPr>
            </w:pPr>
          </w:p>
        </w:tc>
        <w:tc>
          <w:tcPr>
            <w:tcW w:w="283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总分</w:t>
            </w:r>
          </w:p>
        </w:tc>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100</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1"/>
                <w:szCs w:val="11"/>
                <w:u w:val="none"/>
              </w:rPr>
            </w:pPr>
            <w:r>
              <w:rPr>
                <w:rFonts w:ascii="宋体" w:hAnsi="宋体" w:eastAsia="宋体" w:cs="宋体"/>
                <w:i w:val="0"/>
                <w:iCs w:val="0"/>
                <w:color w:val="000000"/>
                <w:kern w:val="0"/>
                <w:sz w:val="11"/>
                <w:szCs w:val="11"/>
                <w:u w:val="none"/>
                <w:lang w:val="en-US" w:eastAsia="zh-CN" w:bidi="ar"/>
              </w:rPr>
              <w:t>95.29</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1"/>
                <w:szCs w:val="11"/>
                <w:u w:val="none"/>
              </w:rPr>
            </w:pPr>
          </w:p>
        </w:tc>
        <w:tc>
          <w:tcPr>
            <w:tcW w:w="7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1"/>
                <w:szCs w:val="11"/>
                <w:u w:val="none"/>
              </w:rPr>
            </w:pPr>
          </w:p>
        </w:tc>
      </w:tr>
    </w:tbl>
    <w:p>
      <w:pPr>
        <w:sectPr>
          <w:pgSz w:w="11907" w:h="16839"/>
          <w:pgMar w:top="400" w:right="1000" w:bottom="400" w:left="1000" w:header="720" w:footer="720" w:gutter="0"/>
          <w:cols w:space="720" w:num="1"/>
        </w:sectPr>
      </w:pPr>
    </w:p>
    <w:tbl>
      <w:tblPr>
        <w:tblStyle w:val="4"/>
        <w:tblW w:w="0" w:type="auto"/>
        <w:jc w:val="center"/>
        <w:tblLayout w:type="fixed"/>
        <w:tblCellMar>
          <w:top w:w="0" w:type="dxa"/>
          <w:left w:w="20" w:type="dxa"/>
          <w:bottom w:w="0" w:type="dxa"/>
          <w:right w:w="20" w:type="dxa"/>
        </w:tblCellMar>
      </w:tblPr>
      <w:tblGrid>
        <w:gridCol w:w="602"/>
        <w:gridCol w:w="712"/>
        <w:gridCol w:w="834"/>
        <w:gridCol w:w="773"/>
        <w:gridCol w:w="663"/>
        <w:gridCol w:w="1215"/>
        <w:gridCol w:w="773"/>
        <w:gridCol w:w="663"/>
        <w:gridCol w:w="773"/>
        <w:gridCol w:w="773"/>
        <w:gridCol w:w="675"/>
        <w:gridCol w:w="675"/>
        <w:gridCol w:w="773"/>
      </w:tblGrid>
      <w:tr>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提前下达2023年村级党组织工作经费（上级配套支出）</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r>
      <w:tr>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4157.03</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4157.03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4157.03</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4157.03</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预算绩效管理严格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按照全省统一安排，足额发放全市基层党组织工作经费、城市社区服务群众工作经费、在职村干部工作报酬市级配套资金。</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按时完成全市基层党组织工作经费、城市社区服务群众工作经费、在职村干部工作报酬市级配套资金发放工作。</w:t>
            </w:r>
          </w:p>
        </w:tc>
      </w:tr>
      <w:tr>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全市行政村基层党组织工作经费(市级)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≤1万元/村</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1万元/村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全市城市社区服务群众工作经费(市级)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≤3万元/村</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3万元/村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全市在职村干部工作报酬(市级)</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≤0.864万元/村</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0.86万元/村</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配套村党组织数量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≤2349个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2349个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配套社区党组织数量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≤177个</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177个</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配套资金下达率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村社区治理效能</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明显提升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村党组织满意度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社区党组织满意度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村干部满意度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bottom"/>
          </w:tcPr>
          <w:p>
            <w:pPr>
              <w:snapToGrid w:val="0"/>
              <w:spacing w:before="0" w:beforeAutospacing="0" w:after="0" w:afterAutospacing="0" w:line="240" w:lineRule="auto"/>
            </w:pPr>
          </w:p>
        </w:tc>
        <w:tc>
          <w:tcPr>
            <w:tcW w:w="712" w:type="dxa"/>
            <w:tcBorders>
              <w:top w:val="single" w:color="000000" w:sz="4" w:space="0"/>
            </w:tcBorders>
            <w:shd w:val="clear" w:color="auto" w:fill="auto"/>
            <w:vAlign w:val="bottom"/>
          </w:tcPr>
          <w:p>
            <w:pPr>
              <w:snapToGrid w:val="0"/>
              <w:spacing w:before="0" w:beforeAutospacing="0" w:after="0" w:afterAutospacing="0" w:line="240" w:lineRule="auto"/>
            </w:pPr>
          </w:p>
        </w:tc>
        <w:tc>
          <w:tcPr>
            <w:tcW w:w="834"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121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2021年-2022年有关专题网络培训班工作经费（结转本级资金）</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27.57</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27.57</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27.57</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27.57</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无</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资金拨付合规及时</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无</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资金专款专用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无</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绩效管理严格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无</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按照2021-2022年干部教育培训计划，举办党的十九届五中全会，抓党建促乡村振兴，提升应急能力，优化营商环境及碳达峰碳中和乡（镇）长网络培训班。</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按时成功筹办抓党建促乡村振兴，提升应急能力，优化营商环境及碳达峰碳中和乡（镇）长网络培训班，学员相关业务素质明显提高。</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网络培训班及线下培训班费用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≤41.4235万元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27.57万元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培训总人数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≥1547人/次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1547人/次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培训总时长</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≥19400.5小时</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19400.5小时</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培训师资水平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省级以上水平</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培训课程质量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贴合许昌发展实际</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网络培训班结业时限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2022年10月底</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助力乡村振兴和优化营商环境</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发挥作用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助力我市碳达峰碳中和，提升生态环境水平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明显提升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学员满意度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bottom"/>
          </w:tcPr>
          <w:p>
            <w:pPr>
              <w:snapToGrid w:val="0"/>
              <w:spacing w:before="0" w:beforeAutospacing="0" w:after="0" w:afterAutospacing="0" w:line="240" w:lineRule="auto"/>
            </w:pPr>
          </w:p>
        </w:tc>
        <w:tc>
          <w:tcPr>
            <w:tcW w:w="712" w:type="dxa"/>
            <w:tcBorders>
              <w:top w:val="single" w:color="000000" w:sz="4" w:space="0"/>
            </w:tcBorders>
            <w:shd w:val="clear" w:color="auto" w:fill="auto"/>
            <w:vAlign w:val="bottom"/>
          </w:tcPr>
          <w:p>
            <w:pPr>
              <w:snapToGrid w:val="0"/>
              <w:spacing w:before="0" w:beforeAutospacing="0" w:after="0" w:afterAutospacing="0" w:line="240" w:lineRule="auto"/>
            </w:pPr>
          </w:p>
        </w:tc>
        <w:tc>
          <w:tcPr>
            <w:tcW w:w="834"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121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r>
      <w:tr>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"能力作风建设年"活动经费（结转本级资金）</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18.81</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18.81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5.4</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18.81</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18.81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资金拨付合规及时</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绩效管理严格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blPrEx>
          <w:tblCellMar>
            <w:top w:w="0" w:type="dxa"/>
            <w:left w:w="20" w:type="dxa"/>
            <w:bottom w:w="0" w:type="dxa"/>
            <w:right w:w="20" w:type="dxa"/>
          </w:tblCellMar>
        </w:tblPrEx>
        <w:trPr>
          <w:trHeight w:val="557"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照省委部署，认真组织开展我市“能力作风建设年”活动，紧扣发展需要，在学干结合中练就过硬能力，强化“答卷意识”、克服“本领恐慌”，开展大学习大培训大练兵大提升，不断提高建设现代化河南的能力和水平。</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按时高标准组织完成我市“能力作风建设年”活动，工作成效得到省委认可。</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活动经费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≤21.7108万元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18.81万元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举办理论宣讲</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≥50场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50场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组织助企帮村干部下基层人数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≥5300人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5300人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省级以上媒体刊发高质量稿件</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≥300篇（条）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300篇（条）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督促整改问题</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≥900条</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900条</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活动完成时间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2022年9月底</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项目年度投资增长率相较于2021年增幅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企业反映问题办结率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企业满意度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bottom"/>
          </w:tcPr>
          <w:p>
            <w:pPr>
              <w:snapToGrid w:val="0"/>
              <w:spacing w:before="0" w:beforeAutospacing="0" w:after="0" w:afterAutospacing="0" w:line="240" w:lineRule="auto"/>
            </w:pPr>
          </w:p>
        </w:tc>
        <w:tc>
          <w:tcPr>
            <w:tcW w:w="712" w:type="dxa"/>
            <w:tcBorders>
              <w:top w:val="single" w:color="000000" w:sz="4" w:space="0"/>
            </w:tcBorders>
            <w:shd w:val="clear" w:color="auto" w:fill="auto"/>
            <w:vAlign w:val="bottom"/>
          </w:tcPr>
          <w:p>
            <w:pPr>
              <w:snapToGrid w:val="0"/>
              <w:spacing w:before="0" w:beforeAutospacing="0" w:after="0" w:afterAutospacing="0" w:line="240" w:lineRule="auto"/>
            </w:pPr>
          </w:p>
        </w:tc>
        <w:tc>
          <w:tcPr>
            <w:tcW w:w="834"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121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提前下达2023年度选调生到村工作中央财政补助资金（上级提前下达）</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14.25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14.25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拨付合理</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绩效管理严格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高质量完成年度选调生培训工作</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高质量完成年度选调生培训工作</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≤14.25万元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培训师资水平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市级以上水平</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培训课程质量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符合选调生发展需要</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培训时限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2023年10月底前</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选调生素质提升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明显提升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选调生满意度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bottom"/>
          </w:tcPr>
          <w:p>
            <w:pPr>
              <w:snapToGrid w:val="0"/>
              <w:spacing w:before="0" w:beforeAutospacing="0" w:after="0" w:afterAutospacing="0" w:line="240" w:lineRule="auto"/>
            </w:pPr>
          </w:p>
        </w:tc>
        <w:tc>
          <w:tcPr>
            <w:tcW w:w="712" w:type="dxa"/>
            <w:tcBorders>
              <w:top w:val="single" w:color="000000" w:sz="4" w:space="0"/>
            </w:tcBorders>
            <w:shd w:val="clear" w:color="auto" w:fill="auto"/>
            <w:vAlign w:val="bottom"/>
          </w:tcPr>
          <w:p>
            <w:pPr>
              <w:snapToGrid w:val="0"/>
              <w:spacing w:before="0" w:beforeAutospacing="0" w:after="0" w:afterAutospacing="0" w:line="240" w:lineRule="auto"/>
            </w:pPr>
          </w:p>
        </w:tc>
        <w:tc>
          <w:tcPr>
            <w:tcW w:w="834"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121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公务员考录及表彰工作经费（基本运转支出）</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209.43</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194.92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93.07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9.31</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209.43</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194.92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93.07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资金拨付合规及时</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资金专款专用使用规范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预算绩效管理严格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按照全省统一安排，按时完成2023年许昌考区各类公务员招录工作及优秀公务员表彰工作。</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按时完成2023年度各项公务员招录、表彰等工作，受到服务对象一致好评。</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招录工作经费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≤124万元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145.04万元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4.15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16.97%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招录计划由省委组织部安排决定</w:t>
            </w: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奖励奖章证书制作费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≤6万元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2.92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41.67%</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奖章制作质量和具体要求提高</w:t>
            </w: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招录人数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≤500人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569人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4.31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13.80%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招录计划由省委组织部安排决定</w:t>
            </w: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证书制作数量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≤1400册</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1400册</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奖章制作数量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≤400枚</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350枚</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招录计划完成率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奖章证书质量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达到合同标准</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按时完成招录</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2023年9月底前</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激发公务员队伍干事创业热情</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有效发挥</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公务员考生和优秀公务员满意度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99%</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95.69</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bottom"/>
          </w:tcPr>
          <w:p>
            <w:pPr>
              <w:snapToGrid w:val="0"/>
              <w:spacing w:before="0" w:beforeAutospacing="0" w:after="0" w:afterAutospacing="0" w:line="240" w:lineRule="auto"/>
            </w:pPr>
          </w:p>
        </w:tc>
        <w:tc>
          <w:tcPr>
            <w:tcW w:w="712" w:type="dxa"/>
            <w:tcBorders>
              <w:top w:val="single" w:color="000000" w:sz="4" w:space="0"/>
            </w:tcBorders>
            <w:shd w:val="clear" w:color="auto" w:fill="auto"/>
            <w:vAlign w:val="bottom"/>
          </w:tcPr>
          <w:p>
            <w:pPr>
              <w:snapToGrid w:val="0"/>
              <w:spacing w:before="0" w:beforeAutospacing="0" w:after="0" w:afterAutospacing="0" w:line="240" w:lineRule="auto"/>
            </w:pPr>
          </w:p>
        </w:tc>
        <w:tc>
          <w:tcPr>
            <w:tcW w:w="834"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121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提前下达2023年度选调生到村工作中央财政补助资金（上级提前下达）</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14.25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14.25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13.95</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资金拨付合规</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资金使用规范</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资金预算绩效管理严格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r>
      <w:tr>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高质量完成年度选调生培训相关工作。</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高质量完成年度选调生培训相关工作。</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≤14.25万元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13.95万元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≥95人</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100人</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师资水平</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市级以上水平</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课程质量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符合选调生发展实际</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培训时限</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2023年10月底前</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助力选调生素质提升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综合能力明显提升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选调生满意度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tcBorders>
              <w:top w:val="single" w:color="000000" w:sz="4" w:space="0"/>
            </w:tcBorders>
            <w:shd w:val="clear" w:color="auto" w:fill="auto"/>
            <w:vAlign w:val="bottom"/>
          </w:tcPr>
          <w:p>
            <w:pPr>
              <w:snapToGrid w:val="0"/>
              <w:spacing w:before="0" w:beforeAutospacing="0" w:after="0" w:afterAutospacing="0" w:line="240" w:lineRule="auto"/>
            </w:pPr>
          </w:p>
        </w:tc>
        <w:tc>
          <w:tcPr>
            <w:tcW w:w="712" w:type="dxa"/>
            <w:tcBorders>
              <w:top w:val="single" w:color="000000" w:sz="4" w:space="0"/>
            </w:tcBorders>
            <w:shd w:val="clear" w:color="auto" w:fill="auto"/>
            <w:vAlign w:val="bottom"/>
          </w:tcPr>
          <w:p>
            <w:pPr>
              <w:snapToGrid w:val="0"/>
              <w:spacing w:before="0" w:beforeAutospacing="0" w:after="0" w:afterAutospacing="0" w:line="240" w:lineRule="auto"/>
            </w:pPr>
          </w:p>
        </w:tc>
        <w:tc>
          <w:tcPr>
            <w:tcW w:w="834"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121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6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675" w:type="dxa"/>
            <w:tcBorders>
              <w:top w:val="single" w:color="000000" w:sz="4" w:space="0"/>
            </w:tcBorders>
            <w:shd w:val="clear" w:color="auto" w:fill="auto"/>
            <w:vAlign w:val="bottom"/>
          </w:tcPr>
          <w:p>
            <w:pPr>
              <w:snapToGrid w:val="0"/>
              <w:spacing w:before="0" w:beforeAutospacing="0" w:after="0" w:afterAutospacing="0" w:line="240" w:lineRule="auto"/>
            </w:pPr>
          </w:p>
        </w:tc>
        <w:tc>
          <w:tcPr>
            <w:tcW w:w="773" w:type="dxa"/>
            <w:tcBorders>
              <w:top w:val="single" w:color="000000" w:sz="4" w:space="0"/>
            </w:tcBorders>
            <w:shd w:val="clear" w:color="auto" w:fill="auto"/>
            <w:vAlign w:val="bottom"/>
          </w:tcPr>
          <w:p>
            <w:pPr>
              <w:snapToGrid w:val="0"/>
              <w:spacing w:before="0" w:beforeAutospacing="0" w:after="0" w:afterAutospacing="0" w:line="240" w:lineRule="auto"/>
            </w:pPr>
          </w:p>
        </w:tc>
      </w:tr>
      <w:tr>
        <w:trPr>
          <w:trHeight w:val="353" w:hRule="exact"/>
          <w:jc w:val="center"/>
        </w:trPr>
        <w:tc>
          <w:tcPr>
            <w:tcW w:w="9904" w:type="dxa"/>
            <w:gridSpan w:val="13"/>
            <w:tcBorders>
              <w:bottom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i w:val="0"/>
                <w:color w:val="000000"/>
                <w:sz w:val="24"/>
              </w:rPr>
              <w:t>项目单位自评表</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项目名称</w:t>
            </w:r>
          </w:p>
        </w:tc>
        <w:tc>
          <w:tcPr>
            <w:tcW w:w="859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人大政府政协换届工作经费（基本运转支出）</w:t>
            </w:r>
          </w:p>
        </w:tc>
      </w:tr>
      <w:tr>
        <w:tblPrEx>
          <w:tblCellMar>
            <w:top w:w="0" w:type="dxa"/>
            <w:left w:w="20" w:type="dxa"/>
            <w:bottom w:w="0" w:type="dxa"/>
            <w:right w:w="20" w:type="dxa"/>
          </w:tblCellMar>
        </w:tblPrEx>
        <w:trPr>
          <w:trHeight w:val="176" w:hRule="exact"/>
          <w:jc w:val="center"/>
        </w:trPr>
        <w:tc>
          <w:tcPr>
            <w:tcW w:w="13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主管部门</w:t>
            </w:r>
          </w:p>
        </w:tc>
        <w:tc>
          <w:tcPr>
            <w:tcW w:w="34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实施单位</w:t>
            </w:r>
          </w:p>
        </w:tc>
        <w:tc>
          <w:tcPr>
            <w:tcW w:w="36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中共许昌市委组织部</w:t>
            </w:r>
          </w:p>
        </w:tc>
      </w:tr>
      <w:tr>
        <w:tblPrEx>
          <w:tblCellMar>
            <w:top w:w="0" w:type="dxa"/>
            <w:left w:w="20" w:type="dxa"/>
            <w:bottom w:w="0" w:type="dxa"/>
            <w:right w:w="20" w:type="dxa"/>
          </w:tblCellMar>
        </w:tblPrEx>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项目资金（万元）</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年初预算数</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全年预算数</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全年执行数</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执行率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年度资金总额（万元）：</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26.67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96.98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9.7</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政府性预算资金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26.67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96.98</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财政专户管理资金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单位资金</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15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w:t>
            </w:r>
          </w:p>
        </w:tc>
      </w:tr>
      <w:tr>
        <w:trPr>
          <w:trHeight w:val="176" w:hRule="exact"/>
          <w:jc w:val="center"/>
        </w:trPr>
        <w:tc>
          <w:tcPr>
            <w:tcW w:w="13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资金管理情况</w:t>
            </w: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 xml:space="preserve"> 情况说明</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存在问题和改进措施</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安排科学性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资金安排科学</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无问题</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拨付合规性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款项拨付及时</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无问题</w:t>
            </w:r>
          </w:p>
        </w:tc>
      </w:tr>
      <w:tr>
        <w:tblPrEx>
          <w:tblCellMar>
            <w:top w:w="0" w:type="dxa"/>
            <w:left w:w="20" w:type="dxa"/>
            <w:bottom w:w="0" w:type="dxa"/>
            <w:right w:w="20" w:type="dxa"/>
          </w:tblCellMar>
        </w:tblPrEx>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使用规范性</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资金专款专用</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无问题</w:t>
            </w:r>
          </w:p>
        </w:tc>
      </w:tr>
      <w:tr>
        <w:trPr>
          <w:trHeight w:val="176" w:hRule="exact"/>
          <w:jc w:val="center"/>
        </w:trPr>
        <w:tc>
          <w:tcPr>
            <w:tcW w:w="13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预算绩效管理情况</w:t>
            </w:r>
          </w:p>
        </w:tc>
        <w:tc>
          <w:tcPr>
            <w:tcW w:w="26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left"/>
            </w:pPr>
            <w:r>
              <w:rPr>
                <w:rFonts w:ascii="宋体" w:hAnsi="宋体" w:eastAsia="宋体" w:cs="宋体"/>
                <w:b w:val="0"/>
                <w:i w:val="0"/>
                <w:color w:val="000000"/>
                <w:sz w:val="11"/>
              </w:rPr>
              <w:t>绩效管理严格</w:t>
            </w:r>
          </w:p>
        </w:tc>
        <w:tc>
          <w:tcPr>
            <w:tcW w:w="66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无问题</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年度总体目标</w:t>
            </w: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预期目标</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实际完成情况</w:t>
            </w:r>
          </w:p>
        </w:tc>
      </w:tr>
      <w:tr>
        <w:tblPrEx>
          <w:tblCellMar>
            <w:top w:w="0" w:type="dxa"/>
            <w:left w:w="20" w:type="dxa"/>
            <w:bottom w:w="0" w:type="dxa"/>
            <w:right w:w="20" w:type="dxa"/>
          </w:tblCellMar>
        </w:tblPrEx>
        <w:trPr>
          <w:trHeight w:val="52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41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按照省、市委工作安排，认真筹备我市人大政府政协换届工作，确保圆满完成换届选举前期筹备工作。</w:t>
            </w:r>
          </w:p>
        </w:tc>
        <w:tc>
          <w:tcPr>
            <w:tcW w:w="510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按照省、市委工作安排，认真筹备我市人大政府政协换届工作，圆满完成了换届选举前期筹备工作。</w:t>
            </w:r>
          </w:p>
        </w:tc>
      </w:tr>
      <w:tr>
        <w:tblPrEx>
          <w:tblCellMar>
            <w:top w:w="0" w:type="dxa"/>
            <w:left w:w="20" w:type="dxa"/>
            <w:bottom w:w="0" w:type="dxa"/>
            <w:right w:w="20" w:type="dxa"/>
          </w:tblCellMar>
        </w:tblPrEx>
        <w:trPr>
          <w:trHeight w:val="176" w:hRule="exact"/>
          <w:jc w:val="center"/>
        </w:trPr>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绩效指标</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一级指标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二级指标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三级指标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年度指标值</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实际完成值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分值</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得分</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偏差度 %</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偏差原因分析及改进措施</w:t>
            </w: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成本指标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经济成本指标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换届前期筹备工作经费</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≤27.5万元</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26.67万元</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pPr>
            <w:r>
              <w:rPr>
                <w:rFonts w:ascii="宋体" w:hAnsi="宋体" w:eastAsia="宋体" w:cs="宋体"/>
                <w:b w:val="0"/>
                <w:i w:val="0"/>
                <w:color w:val="000000"/>
                <w:sz w:val="11"/>
              </w:rPr>
              <w:t>社会成本指标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生态环境成本指标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产出指标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数量指标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印制换届资料</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≤800套</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800套</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质量指标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印刷制品合格率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≥98%</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活动场地环境及工作人员食宿质量</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达到合同标准</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时效指标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印刷制品交付时间</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2023年1月5日前</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效益指标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经济效益指标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社会效益指标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做好人大政府政协换届前期筹备工作</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有力保障</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25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生态效益指标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279"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满意度指标</w:t>
            </w:r>
          </w:p>
        </w:tc>
        <w:tc>
          <w:tcPr>
            <w:tcW w:w="834"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服务对象满意度指标</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人大政府政协满意度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14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0.00%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r>
        <w:tblPrEx>
          <w:tblCellMar>
            <w:top w:w="0" w:type="dxa"/>
            <w:left w:w="20" w:type="dxa"/>
            <w:bottom w:w="0" w:type="dxa"/>
            <w:right w:w="20" w:type="dxa"/>
          </w:tblCellMar>
        </w:tblPrEx>
        <w:trPr>
          <w:trHeight w:val="176" w:hRule="exact"/>
          <w:jc w:val="center"/>
        </w:trPr>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563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总分</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r>
              <w:rPr>
                <w:rFonts w:ascii="宋体" w:hAnsi="宋体" w:eastAsia="宋体" w:cs="宋体"/>
                <w:b w:val="0"/>
                <w:i w:val="0"/>
                <w:color w:val="000000"/>
                <w:sz w:val="11"/>
              </w:rPr>
              <w:t>99.7</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spacing w:before="0" w:beforeAutospacing="0" w:after="0" w:afterAutospacing="0" w:line="240" w:lineRule="auto"/>
              <w:jc w:val="center"/>
            </w:pPr>
          </w:p>
        </w:tc>
      </w:tr>
    </w:tbl>
    <w:p>
      <w:pPr>
        <w:sectPr>
          <w:pgSz w:w="11907" w:h="16839"/>
          <w:pgMar w:top="400" w:right="1000" w:bottom="400" w:left="100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2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DMlbR1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iMzM2Zjg2OTJhZTEyMDc5ODcyMjk0NjZjMTg0MmIifQ=="/>
  </w:docVars>
  <w:rsids>
    <w:rsidRoot w:val="00000000"/>
    <w:rsid w:val="53C859EF"/>
    <w:rsid w:val="7CFF1BCA"/>
    <w:rsid w:val="7FF75D78"/>
    <w:rsid w:val="A71E186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16783</Words>
  <Characters>20641</Characters>
  <Lines>1</Lines>
  <Paragraphs>1</Paragraphs>
  <TotalTime>5</TotalTime>
  <ScaleCrop>false</ScaleCrop>
  <LinksUpToDate>false</LinksUpToDate>
  <CharactersWithSpaces>20973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2024-10-09T17:26:16Z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