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default"/>
          <w:kern w:val="2"/>
          <w:sz w:val="44"/>
          <w:szCs w:val="44"/>
          <w:lang w:val="en-US"/>
        </w:rPr>
      </w:pPr>
      <w:r>
        <w:rPr>
          <w:rFonts w:ascii="黑体" w:eastAsia="黑体" w:hAnsi="宋体" w:cs="黑体" w:hint="eastAsia"/>
          <w:kern w:val="2"/>
          <w:sz w:val="44"/>
          <w:szCs w:val="44"/>
          <w:lang w:val="en-US" w:eastAsia="zh-CN"/>
        </w:rPr>
        <w:t xml:space="preserve">中共许昌市委政法委员会</w:t>
      </w:r>
      <w:r>
        <w:rPr>
          <w:rFonts w:ascii="黑体" w:eastAsia="黑体" w:hAnsi="宋体" w:cs="黑体" w:hint="eastAsia"/>
          <w:kern w:val="2"/>
          <w:sz w:val="44"/>
          <w:szCs w:val="44"/>
          <w:lang w:val="en-US" w:eastAsia="zh-CN"/>
        </w:rPr>
        <w:t xml:space="preserve">部门决算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中共许昌市委政法委员会</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部门职责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中共许昌市委政法委员会概况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（一）贯彻落实习近平新时代中国特色社会主义思想，贯彻落实党的路线方针政策和决策部署，统一全市政法各部门思想和行动，坚持党对政法工作的绝对领导，坚决维护党中央权威和集中统一领导。</w:t>
        <w:br/>
        <w:t xml:space="preserve">    （二）贯彻落实党中央、省委和市委决定，对全市政法工作研究提出部署，推进平安许昌、法治许昌建设，加强过硬政法队伍建设，深化智能化建设，坚决维护国家政治安全，确保全市社会大局稳定、促进社会公平正义、保障人民安居乐业。</w:t>
        <w:br/>
        <w:t xml:space="preserve">    （三）了解掌握和分析研判全市政法工作情况动态、分析社会稳定形势，创新完善多部门参与的综治维稳工作机制，研究加强社会治安综合治理、创新社会治理体系和提高社会治理能力有关重大问题，协调推动预防、化解影响全市稳定的社会矛盾和风险，协调应对和处置重大突发事件。</w:t>
        <w:br/>
        <w:t xml:space="preserve">    （四）加强对全市政法工作的督查，统筹协调社会治安综合治理、平安许昌建设、法治许昌建设、维护社会稳定、反邪教有关法律法规的实施工作。</w:t>
        <w:br/>
        <w:t xml:space="preserve">    （五）组织开展全市政法系统的调查研究和理论研究，研究拟订全市政法工作意见和措施，及时向市委提出建议。提出地方立法建议。</w:t>
        <w:br/>
        <w:t xml:space="preserve">    （六）掌握分析全市政法舆情动态，指导协调政法部门媒体网络宣传工作，指导政法部门做好涉及政法工作的重大宣传工作。</w:t>
        <w:br/>
        <w:t xml:space="preserve">    （七）监督和支持政法各部门依法行使职权，指导和协调政法各部门密切配合，研究和协调重大、疑难案件，督促和推动大案要案的查处工作，推动严格执法、公正司法。</w:t>
        <w:br/>
        <w:t xml:space="preserve">    （八）组织研究全市政法改革中带有方向性、倾向性和普遍性的重大问题，深化全市政法改革。</w:t>
        <w:br/>
        <w:t xml:space="preserve">    （九）指导推动全市政法系统党的建设和政法队伍建设，代管市法学会。</w:t>
        <w:br/>
        <w:t xml:space="preserve">    （十）完成市委交办的其他任务。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中共许昌市委政法委员会</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办公室、政治部、研究室、政治安全科、执法监督科、宣传科、维稳指导科、综治指导科、平安创建和专项行动科、基层社会治理科、反邪教协调科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中共许昌市委政法委员会</w:t>
      </w:r>
      <w:r>
        <w:rPr>
          <w:rFonts w:ascii="仿宋" w:eastAsia="仿宋" w:hAnsi="仿宋" w:cs="仿宋" w:hint="eastAsia"/>
          <w:kern w:val="0"/>
          <w:sz w:val="32"/>
          <w:szCs w:val="32"/>
          <w:lang w:val="en-US" w:eastAsia="zh-CN"/>
        </w:rPr>
        <w:t xml:space="preserve">部门决算包括：本级决算（1个）</w:t>
      </w:r>
      <w:r>
        <w:rPr>
          <w:rFonts w:ascii="仿宋" w:eastAsia="仿宋" w:hAnsi="仿宋" w:cs="仿宋" w:hint="eastAsia"/>
          <w:kern w:val="0"/>
          <w:sz w:val="32"/>
          <w:szCs w:val="32"/>
          <w:lang w:val="en-US" w:eastAsia="zh-CN"/>
        </w:rPr>
        <w:t xml:space="preserve">、所属单位决算（3个）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本决算为汇总决算，</w:t>
      </w:r>
      <w:r>
        <w:rPr>
          <w:rFonts w:ascii="仿宋" w:eastAsia="仿宋" w:hAnsi="仿宋" w:cs="仿宋" w:hint="eastAsia"/>
          <w:kern w:val="0"/>
          <w:sz w:val="32"/>
          <w:szCs w:val="32"/>
          <w:lang w:val="en-US" w:eastAsia="zh-CN"/>
        </w:rPr>
        <w:t xml:space="preserve">纳入本部门2023年度部门决算编制范围的单位共</w:t>
      </w:r>
      <w:r>
        <w:rPr>
          <w:rFonts w:ascii="仿宋" w:eastAsia="仿宋" w:hAnsi="仿宋" w:cs="仿宋" w:hint="eastAsia"/>
          <w:kern w:val="0"/>
          <w:sz w:val="32"/>
          <w:szCs w:val="32"/>
          <w:lang w:val="en-US" w:eastAsia="zh-CN"/>
        </w:rPr>
        <w:t xml:space="preserve">3</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1.中共许昌市委政法委员会（本级）</w:t>
        <w:br/>
        <w:t xml:space="preserve">    2.许昌市法学会</w:t>
        <w:br/>
        <w:t xml:space="preserve">    3.许昌市社会治安综合管理中心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_GB2312" w:eastAsia="仿宋_GB2312" w:hAnsi="宋体" w:cs="仿宋_GB2312" w:hint="eastAsia"/>
          <w:kern w:val="0"/>
          <w:sz w:val="32"/>
          <w:szCs w:val="32"/>
          <w:lang w:val="en-US" w:eastAsia="zh-CN"/>
        </w:rPr>
      </w:pPr>
    </w:p>
    <w:p>
      <w:pPr>
        <w:bidi w:val="0"/>
        <w:rPr>
          <w:rFonts w:hint="eastAsia"/>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2023年度部门决算表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部门：中共许昌市委政法委员会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1,252.12</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982.24</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168.56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49.45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2.50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49.37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1,252.12</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1,252.12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1,252.12</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1,252.12</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注：1.本表反映部门本年度的总收支和年末结转结余情况。</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部门：中共许昌市委政法委员会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1,252.12</w:t>
            </w:r>
          </w:p>
        </w:tc>
        <w:tc>
          <w:tcPr>
            <w:tcW w:w="1440" w:type="dxa"/>
            <w:tcBorders/>
            <w:vAlign w:val="center"/>
          </w:tcPr>
          <w:p>
            <w:pPr>
              <w:jc w:val="right"/>
            </w:pPr>
            <w:r>
              <w:rPr>
                <w:rFonts w:ascii="宋体" w:eastAsia="宋体" w:hAnsi="宋体" w:cs="宋体"/>
                <w:b/>
                <w:i w:val="0"/>
                <w:color w:val="000000"/>
                <w:sz w:val="17"/>
              </w:rPr>
              <w:t xml:space="preserve">1,252.12</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982.24</w:t>
            </w:r>
          </w:p>
        </w:tc>
        <w:tc>
          <w:tcPr>
            <w:tcW w:w="1440" w:type="dxa"/>
            <w:tcBorders/>
            <w:vAlign w:val="center"/>
          </w:tcPr>
          <w:p>
            <w:pPr>
              <w:jc w:val="right"/>
            </w:pPr>
            <w:r>
              <w:rPr>
                <w:rFonts w:ascii="宋体" w:eastAsia="宋体" w:hAnsi="宋体" w:cs="宋体"/>
                <w:b w:val="0"/>
                <w:i w:val="0"/>
                <w:color w:val="000000"/>
                <w:sz w:val="17"/>
              </w:rPr>
              <w:t xml:space="preserve">982.24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4.73</w:t>
            </w:r>
          </w:p>
        </w:tc>
        <w:tc>
          <w:tcPr>
            <w:tcW w:w="1440" w:type="dxa"/>
            <w:tcBorders/>
            <w:vAlign w:val="center"/>
          </w:tcPr>
          <w:p>
            <w:pPr>
              <w:jc w:val="right"/>
            </w:pPr>
            <w:r>
              <w:rPr>
                <w:rFonts w:ascii="宋体" w:eastAsia="宋体" w:hAnsi="宋体" w:cs="宋体"/>
                <w:b w:val="0"/>
                <w:i w:val="0"/>
                <w:color w:val="000000"/>
                <w:sz w:val="17"/>
              </w:rPr>
              <w:t xml:space="preserve">4.73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4.73</w:t>
            </w:r>
          </w:p>
        </w:tc>
        <w:tc>
          <w:tcPr>
            <w:tcW w:w="1440" w:type="dxa"/>
            <w:tcBorders/>
            <w:vAlign w:val="center"/>
          </w:tcPr>
          <w:p>
            <w:pPr>
              <w:jc w:val="right"/>
            </w:pPr>
            <w:r>
              <w:rPr>
                <w:rFonts w:ascii="宋体" w:eastAsia="宋体" w:hAnsi="宋体" w:cs="宋体"/>
                <w:b w:val="0"/>
                <w:i w:val="0"/>
                <w:color w:val="000000"/>
                <w:sz w:val="17"/>
              </w:rPr>
              <w:t xml:space="preserve">4.73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20131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党委办公厅（室）及相关机构事务</w:t>
            </w:r>
          </w:p>
        </w:tc>
        <w:tc>
          <w:tcPr>
            <w:tcW w:w="1440" w:type="dxa"/>
            <w:tcBorders/>
            <w:vAlign w:val="center"/>
          </w:tcPr>
          <w:p>
            <w:pPr>
              <w:jc w:val="right"/>
            </w:pPr>
            <w:r>
              <w:rPr>
                <w:rFonts w:ascii="宋体" w:eastAsia="宋体" w:hAnsi="宋体" w:cs="宋体"/>
                <w:b w:val="0"/>
                <w:i w:val="0"/>
                <w:color w:val="000000"/>
                <w:sz w:val="17"/>
              </w:rPr>
              <w:t xml:space="preserve">942.85</w:t>
            </w:r>
          </w:p>
        </w:tc>
        <w:tc>
          <w:tcPr>
            <w:tcW w:w="1440" w:type="dxa"/>
            <w:tcBorders/>
            <w:vAlign w:val="center"/>
          </w:tcPr>
          <w:p>
            <w:pPr>
              <w:jc w:val="right"/>
            </w:pPr>
            <w:r>
              <w:rPr>
                <w:rFonts w:ascii="宋体" w:eastAsia="宋体" w:hAnsi="宋体" w:cs="宋体"/>
                <w:b w:val="0"/>
                <w:i w:val="0"/>
                <w:color w:val="000000"/>
                <w:sz w:val="17"/>
              </w:rPr>
              <w:t xml:space="preserve">942.85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2013101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651.76</w:t>
            </w:r>
          </w:p>
        </w:tc>
        <w:tc>
          <w:tcPr>
            <w:tcW w:w="1440" w:type="dxa"/>
            <w:tcBorders/>
            <w:vAlign w:val="center"/>
          </w:tcPr>
          <w:p>
            <w:pPr>
              <w:jc w:val="right"/>
            </w:pPr>
            <w:r>
              <w:rPr>
                <w:rFonts w:ascii="宋体" w:eastAsia="宋体" w:hAnsi="宋体" w:cs="宋体"/>
                <w:b w:val="0"/>
                <w:i w:val="0"/>
                <w:color w:val="000000"/>
                <w:sz w:val="17"/>
              </w:rPr>
              <w:t xml:space="preserve">651.76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2013102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125.37</w:t>
            </w:r>
          </w:p>
        </w:tc>
        <w:tc>
          <w:tcPr>
            <w:tcW w:w="1440" w:type="dxa"/>
            <w:tcBorders/>
            <w:vAlign w:val="center"/>
          </w:tcPr>
          <w:p>
            <w:pPr>
              <w:jc w:val="right"/>
            </w:pPr>
            <w:r>
              <w:rPr>
                <w:rFonts w:ascii="宋体" w:eastAsia="宋体" w:hAnsi="宋体" w:cs="宋体"/>
                <w:b w:val="0"/>
                <w:i w:val="0"/>
                <w:color w:val="000000"/>
                <w:sz w:val="17"/>
              </w:rPr>
              <w:t xml:space="preserve">125.37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2013150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事业运行</w:t>
            </w:r>
          </w:p>
        </w:tc>
        <w:tc>
          <w:tcPr>
            <w:tcW w:w="1440" w:type="dxa"/>
            <w:tcBorders/>
            <w:vAlign w:val="center"/>
          </w:tcPr>
          <w:p>
            <w:pPr>
              <w:jc w:val="right"/>
            </w:pPr>
            <w:r>
              <w:rPr>
                <w:rFonts w:ascii="宋体" w:eastAsia="宋体" w:hAnsi="宋体" w:cs="宋体"/>
                <w:b w:val="0"/>
                <w:i w:val="0"/>
                <w:color w:val="000000"/>
                <w:sz w:val="17"/>
              </w:rPr>
              <w:t xml:space="preserve">165.71</w:t>
            </w:r>
          </w:p>
        </w:tc>
        <w:tc>
          <w:tcPr>
            <w:tcW w:w="1440" w:type="dxa"/>
            <w:tcBorders/>
            <w:vAlign w:val="center"/>
          </w:tcPr>
          <w:p>
            <w:pPr>
              <w:jc w:val="right"/>
            </w:pPr>
            <w:r>
              <w:rPr>
                <w:rFonts w:ascii="宋体" w:eastAsia="宋体" w:hAnsi="宋体" w:cs="宋体"/>
                <w:b w:val="0"/>
                <w:i w:val="0"/>
                <w:color w:val="000000"/>
                <w:sz w:val="17"/>
              </w:rPr>
              <w:t xml:space="preserve">165.71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34.67</w:t>
            </w:r>
          </w:p>
        </w:tc>
        <w:tc>
          <w:tcPr>
            <w:tcW w:w="1440" w:type="dxa"/>
            <w:tcBorders/>
            <w:vAlign w:val="center"/>
          </w:tcPr>
          <w:p>
            <w:pPr>
              <w:jc w:val="right"/>
            </w:pPr>
            <w:r>
              <w:rPr>
                <w:rFonts w:ascii="宋体" w:eastAsia="宋体" w:hAnsi="宋体" w:cs="宋体"/>
                <w:b w:val="0"/>
                <w:i w:val="0"/>
                <w:color w:val="000000"/>
                <w:sz w:val="17"/>
              </w:rPr>
              <w:t xml:space="preserve">34.67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34.67</w:t>
            </w:r>
          </w:p>
        </w:tc>
        <w:tc>
          <w:tcPr>
            <w:tcW w:w="1440" w:type="dxa"/>
            <w:tcBorders/>
            <w:vAlign w:val="center"/>
          </w:tcPr>
          <w:p>
            <w:pPr>
              <w:jc w:val="right"/>
            </w:pPr>
            <w:r>
              <w:rPr>
                <w:rFonts w:ascii="宋体" w:eastAsia="宋体" w:hAnsi="宋体" w:cs="宋体"/>
                <w:b w:val="0"/>
                <w:i w:val="0"/>
                <w:color w:val="000000"/>
                <w:sz w:val="17"/>
              </w:rPr>
              <w:t xml:space="preserve">34.67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168.56</w:t>
            </w:r>
          </w:p>
        </w:tc>
        <w:tc>
          <w:tcPr>
            <w:tcW w:w="1440" w:type="dxa"/>
            <w:tcBorders/>
            <w:vAlign w:val="center"/>
          </w:tcPr>
          <w:p>
            <w:pPr>
              <w:jc w:val="right"/>
            </w:pPr>
            <w:r>
              <w:rPr>
                <w:rFonts w:ascii="宋体" w:eastAsia="宋体" w:hAnsi="宋体" w:cs="宋体"/>
                <w:b w:val="0"/>
                <w:i w:val="0"/>
                <w:color w:val="000000"/>
                <w:sz w:val="17"/>
              </w:rPr>
              <w:t xml:space="preserve">168.56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143.62</w:t>
            </w:r>
          </w:p>
        </w:tc>
        <w:tc>
          <w:tcPr>
            <w:tcW w:w="1440" w:type="dxa"/>
            <w:tcBorders/>
            <w:vAlign w:val="center"/>
          </w:tcPr>
          <w:p>
            <w:pPr>
              <w:jc w:val="right"/>
            </w:pPr>
            <w:r>
              <w:rPr>
                <w:rFonts w:ascii="宋体" w:eastAsia="宋体" w:hAnsi="宋体" w:cs="宋体"/>
                <w:b w:val="0"/>
                <w:i w:val="0"/>
                <w:color w:val="000000"/>
                <w:sz w:val="17"/>
              </w:rPr>
              <w:t xml:space="preserve">143.62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91.18</w:t>
            </w:r>
          </w:p>
        </w:tc>
        <w:tc>
          <w:tcPr>
            <w:tcW w:w="1440" w:type="dxa"/>
            <w:tcBorders/>
            <w:vAlign w:val="center"/>
          </w:tcPr>
          <w:p>
            <w:pPr>
              <w:jc w:val="right"/>
            </w:pPr>
            <w:r>
              <w:rPr>
                <w:rFonts w:ascii="宋体" w:eastAsia="宋体" w:hAnsi="宋体" w:cs="宋体"/>
                <w:b w:val="0"/>
                <w:i w:val="0"/>
                <w:color w:val="000000"/>
                <w:sz w:val="17"/>
              </w:rPr>
              <w:t xml:space="preserve">91.18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52.44</w:t>
            </w:r>
          </w:p>
        </w:tc>
        <w:tc>
          <w:tcPr>
            <w:tcW w:w="1440" w:type="dxa"/>
            <w:tcBorders/>
            <w:vAlign w:val="center"/>
          </w:tcPr>
          <w:p>
            <w:pPr>
              <w:jc w:val="right"/>
            </w:pPr>
            <w:r>
              <w:rPr>
                <w:rFonts w:ascii="宋体" w:eastAsia="宋体" w:hAnsi="宋体" w:cs="宋体"/>
                <w:b w:val="0"/>
                <w:i w:val="0"/>
                <w:color w:val="000000"/>
                <w:sz w:val="17"/>
              </w:rPr>
              <w:t xml:space="preserve">52.44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24.94</w:t>
            </w:r>
          </w:p>
        </w:tc>
        <w:tc>
          <w:tcPr>
            <w:tcW w:w="1440" w:type="dxa"/>
            <w:tcBorders/>
            <w:vAlign w:val="center"/>
          </w:tcPr>
          <w:p>
            <w:pPr>
              <w:jc w:val="right"/>
            </w:pPr>
            <w:r>
              <w:rPr>
                <w:rFonts w:ascii="宋体" w:eastAsia="宋体" w:hAnsi="宋体" w:cs="宋体"/>
                <w:b w:val="0"/>
                <w:i w:val="0"/>
                <w:color w:val="000000"/>
                <w:sz w:val="17"/>
              </w:rPr>
              <w:t xml:space="preserve">24.94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24.94</w:t>
            </w:r>
          </w:p>
        </w:tc>
        <w:tc>
          <w:tcPr>
            <w:tcW w:w="1440" w:type="dxa"/>
            <w:tcBorders/>
            <w:vAlign w:val="center"/>
          </w:tcPr>
          <w:p>
            <w:pPr>
              <w:jc w:val="right"/>
            </w:pPr>
            <w:r>
              <w:rPr>
                <w:rFonts w:ascii="宋体" w:eastAsia="宋体" w:hAnsi="宋体" w:cs="宋体"/>
                <w:b w:val="0"/>
                <w:i w:val="0"/>
                <w:color w:val="000000"/>
                <w:sz w:val="17"/>
              </w:rPr>
              <w:t xml:space="preserve">24.94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49.45</w:t>
            </w:r>
          </w:p>
        </w:tc>
        <w:tc>
          <w:tcPr>
            <w:tcW w:w="1440" w:type="dxa"/>
            <w:tcBorders/>
            <w:vAlign w:val="center"/>
          </w:tcPr>
          <w:p>
            <w:pPr>
              <w:jc w:val="right"/>
            </w:pPr>
            <w:r>
              <w:rPr>
                <w:rFonts w:ascii="宋体" w:eastAsia="宋体" w:hAnsi="宋体" w:cs="宋体"/>
                <w:b w:val="0"/>
                <w:i w:val="0"/>
                <w:color w:val="000000"/>
                <w:sz w:val="17"/>
              </w:rPr>
              <w:t xml:space="preserve">49.45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49.45</w:t>
            </w:r>
          </w:p>
        </w:tc>
        <w:tc>
          <w:tcPr>
            <w:tcW w:w="1440" w:type="dxa"/>
            <w:tcBorders/>
            <w:vAlign w:val="center"/>
          </w:tcPr>
          <w:p>
            <w:pPr>
              <w:jc w:val="right"/>
            </w:pPr>
            <w:r>
              <w:rPr>
                <w:rFonts w:ascii="宋体" w:eastAsia="宋体" w:hAnsi="宋体" w:cs="宋体"/>
                <w:b w:val="0"/>
                <w:i w:val="0"/>
                <w:color w:val="000000"/>
                <w:sz w:val="17"/>
              </w:rPr>
              <w:t xml:space="preserve">49.45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20.12</w:t>
            </w:r>
          </w:p>
        </w:tc>
        <w:tc>
          <w:tcPr>
            <w:tcW w:w="1440" w:type="dxa"/>
            <w:tcBorders/>
            <w:vAlign w:val="center"/>
          </w:tcPr>
          <w:p>
            <w:pPr>
              <w:jc w:val="right"/>
            </w:pPr>
            <w:r>
              <w:rPr>
                <w:rFonts w:ascii="宋体" w:eastAsia="宋体" w:hAnsi="宋体" w:cs="宋体"/>
                <w:b w:val="0"/>
                <w:i w:val="0"/>
                <w:color w:val="000000"/>
                <w:sz w:val="17"/>
              </w:rPr>
              <w:t xml:space="preserve">20.12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5.35</w:t>
            </w:r>
          </w:p>
        </w:tc>
        <w:tc>
          <w:tcPr>
            <w:tcW w:w="1440" w:type="dxa"/>
            <w:tcBorders/>
            <w:vAlign w:val="center"/>
          </w:tcPr>
          <w:p>
            <w:pPr>
              <w:jc w:val="right"/>
            </w:pPr>
            <w:r>
              <w:rPr>
                <w:rFonts w:ascii="宋体" w:eastAsia="宋体" w:hAnsi="宋体" w:cs="宋体"/>
                <w:b w:val="0"/>
                <w:i w:val="0"/>
                <w:color w:val="000000"/>
                <w:sz w:val="17"/>
              </w:rPr>
              <w:t xml:space="preserve">5.35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23.98</w:t>
            </w:r>
          </w:p>
        </w:tc>
        <w:tc>
          <w:tcPr>
            <w:tcW w:w="1440" w:type="dxa"/>
            <w:tcBorders/>
            <w:vAlign w:val="center"/>
          </w:tcPr>
          <w:p>
            <w:pPr>
              <w:jc w:val="right"/>
            </w:pPr>
            <w:r>
              <w:rPr>
                <w:rFonts w:ascii="宋体" w:eastAsia="宋体" w:hAnsi="宋体" w:cs="宋体"/>
                <w:b w:val="0"/>
                <w:i w:val="0"/>
                <w:color w:val="000000"/>
                <w:sz w:val="17"/>
              </w:rPr>
              <w:t xml:space="preserve">23.98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49.37</w:t>
            </w:r>
          </w:p>
        </w:tc>
        <w:tc>
          <w:tcPr>
            <w:tcW w:w="1440" w:type="dxa"/>
            <w:tcBorders/>
            <w:vAlign w:val="center"/>
          </w:tcPr>
          <w:p>
            <w:pPr>
              <w:jc w:val="right"/>
            </w:pPr>
            <w:r>
              <w:rPr>
                <w:rFonts w:ascii="宋体" w:eastAsia="宋体" w:hAnsi="宋体" w:cs="宋体"/>
                <w:b w:val="0"/>
                <w:i w:val="0"/>
                <w:color w:val="000000"/>
                <w:sz w:val="17"/>
              </w:rPr>
              <w:t xml:space="preserve">49.37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49.37</w:t>
            </w:r>
          </w:p>
        </w:tc>
        <w:tc>
          <w:tcPr>
            <w:tcW w:w="1440" w:type="dxa"/>
            <w:tcBorders/>
            <w:vAlign w:val="center"/>
          </w:tcPr>
          <w:p>
            <w:pPr>
              <w:jc w:val="right"/>
            </w:pPr>
            <w:r>
              <w:rPr>
                <w:rFonts w:ascii="宋体" w:eastAsia="宋体" w:hAnsi="宋体" w:cs="宋体"/>
                <w:b w:val="0"/>
                <w:i w:val="0"/>
                <w:color w:val="000000"/>
                <w:sz w:val="17"/>
              </w:rPr>
              <w:t xml:space="preserve">49.37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49.37</w:t>
            </w:r>
          </w:p>
        </w:tc>
        <w:tc>
          <w:tcPr>
            <w:tcW w:w="1440" w:type="dxa"/>
            <w:tcBorders/>
            <w:vAlign w:val="center"/>
          </w:tcPr>
          <w:p>
            <w:pPr>
              <w:jc w:val="right"/>
            </w:pPr>
            <w:r>
              <w:rPr>
                <w:rFonts w:ascii="宋体" w:eastAsia="宋体" w:hAnsi="宋体" w:cs="宋体"/>
                <w:b w:val="0"/>
                <w:i w:val="0"/>
                <w:color w:val="000000"/>
                <w:sz w:val="17"/>
              </w:rPr>
              <w:t xml:space="preserve">49.37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部门：中共许昌市委政法委员会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1,252.12</w:t>
            </w:r>
          </w:p>
        </w:tc>
        <w:tc>
          <w:tcPr>
            <w:tcW w:w="1600" w:type="dxa"/>
            <w:tcBorders/>
            <w:vAlign w:val="center"/>
          </w:tcPr>
          <w:p>
            <w:pPr>
              <w:jc w:val="right"/>
            </w:pPr>
            <w:r>
              <w:rPr>
                <w:rFonts w:ascii="宋体" w:eastAsia="宋体" w:hAnsi="宋体" w:cs="宋体"/>
                <w:b/>
                <w:i w:val="0"/>
                <w:color w:val="000000"/>
                <w:sz w:val="19"/>
              </w:rPr>
              <w:t xml:space="preserve">1,124.25</w:t>
            </w:r>
          </w:p>
        </w:tc>
        <w:tc>
          <w:tcPr>
            <w:tcW w:w="1600" w:type="dxa"/>
            <w:tcBorders/>
            <w:vAlign w:val="center"/>
          </w:tcPr>
          <w:p>
            <w:pPr>
              <w:jc w:val="right"/>
            </w:pPr>
            <w:r>
              <w:rPr>
                <w:rFonts w:ascii="宋体" w:eastAsia="宋体" w:hAnsi="宋体" w:cs="宋体"/>
                <w:b/>
                <w:i w:val="0"/>
                <w:color w:val="000000"/>
                <w:sz w:val="19"/>
              </w:rPr>
              <w:t xml:space="preserve">127.87</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982.24</w:t>
            </w:r>
          </w:p>
        </w:tc>
        <w:tc>
          <w:tcPr>
            <w:tcW w:w="1600" w:type="dxa"/>
            <w:tcBorders/>
            <w:vAlign w:val="center"/>
          </w:tcPr>
          <w:p>
            <w:pPr>
              <w:jc w:val="right"/>
            </w:pPr>
            <w:r>
              <w:rPr>
                <w:rFonts w:ascii="宋体" w:eastAsia="宋体" w:hAnsi="宋体" w:cs="宋体"/>
                <w:b w:val="0"/>
                <w:i w:val="0"/>
                <w:color w:val="000000"/>
                <w:sz w:val="19"/>
              </w:rPr>
              <w:t xml:space="preserve">856.88</w:t>
            </w:r>
          </w:p>
        </w:tc>
        <w:tc>
          <w:tcPr>
            <w:tcW w:w="1600" w:type="dxa"/>
            <w:tcBorders/>
            <w:vAlign w:val="center"/>
          </w:tcPr>
          <w:p>
            <w:pPr>
              <w:jc w:val="right"/>
            </w:pPr>
            <w:r>
              <w:rPr>
                <w:rFonts w:ascii="宋体" w:eastAsia="宋体" w:hAnsi="宋体" w:cs="宋体"/>
                <w:b w:val="0"/>
                <w:i w:val="0"/>
                <w:color w:val="000000"/>
                <w:sz w:val="19"/>
              </w:rPr>
              <w:t xml:space="preserve">125.37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4.73</w:t>
            </w:r>
          </w:p>
        </w:tc>
        <w:tc>
          <w:tcPr>
            <w:tcW w:w="1600" w:type="dxa"/>
            <w:tcBorders/>
            <w:vAlign w:val="center"/>
          </w:tcPr>
          <w:p>
            <w:pPr>
              <w:jc w:val="right"/>
            </w:pPr>
            <w:r>
              <w:rPr>
                <w:rFonts w:ascii="宋体" w:eastAsia="宋体" w:hAnsi="宋体" w:cs="宋体"/>
                <w:b w:val="0"/>
                <w:i w:val="0"/>
                <w:color w:val="000000"/>
                <w:sz w:val="19"/>
              </w:rPr>
              <w:t xml:space="preserve">4.73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4.73</w:t>
            </w:r>
          </w:p>
        </w:tc>
        <w:tc>
          <w:tcPr>
            <w:tcW w:w="1600" w:type="dxa"/>
            <w:tcBorders/>
            <w:vAlign w:val="center"/>
          </w:tcPr>
          <w:p>
            <w:pPr>
              <w:jc w:val="right"/>
            </w:pPr>
            <w:r>
              <w:rPr>
                <w:rFonts w:ascii="宋体" w:eastAsia="宋体" w:hAnsi="宋体" w:cs="宋体"/>
                <w:b w:val="0"/>
                <w:i w:val="0"/>
                <w:color w:val="000000"/>
                <w:sz w:val="19"/>
              </w:rPr>
              <w:t xml:space="preserve">4.73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20131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党委办公厅（室）及相关机构事务</w:t>
            </w:r>
          </w:p>
        </w:tc>
        <w:tc>
          <w:tcPr>
            <w:tcW w:w="1600" w:type="dxa"/>
            <w:tcBorders/>
            <w:vAlign w:val="center"/>
          </w:tcPr>
          <w:p>
            <w:pPr>
              <w:jc w:val="right"/>
            </w:pPr>
            <w:r>
              <w:rPr>
                <w:rFonts w:ascii="宋体" w:eastAsia="宋体" w:hAnsi="宋体" w:cs="宋体"/>
                <w:b w:val="0"/>
                <w:i w:val="0"/>
                <w:color w:val="000000"/>
                <w:sz w:val="19"/>
              </w:rPr>
              <w:t xml:space="preserve">942.85</w:t>
            </w:r>
          </w:p>
        </w:tc>
        <w:tc>
          <w:tcPr>
            <w:tcW w:w="1600" w:type="dxa"/>
            <w:tcBorders/>
            <w:vAlign w:val="center"/>
          </w:tcPr>
          <w:p>
            <w:pPr>
              <w:jc w:val="right"/>
            </w:pPr>
            <w:r>
              <w:rPr>
                <w:rFonts w:ascii="宋体" w:eastAsia="宋体" w:hAnsi="宋体" w:cs="宋体"/>
                <w:b w:val="0"/>
                <w:i w:val="0"/>
                <w:color w:val="000000"/>
                <w:sz w:val="19"/>
              </w:rPr>
              <w:t xml:space="preserve">817.48</w:t>
            </w:r>
          </w:p>
        </w:tc>
        <w:tc>
          <w:tcPr>
            <w:tcW w:w="1600" w:type="dxa"/>
            <w:tcBorders/>
            <w:vAlign w:val="center"/>
          </w:tcPr>
          <w:p>
            <w:pPr>
              <w:jc w:val="right"/>
            </w:pPr>
            <w:r>
              <w:rPr>
                <w:rFonts w:ascii="宋体" w:eastAsia="宋体" w:hAnsi="宋体" w:cs="宋体"/>
                <w:b w:val="0"/>
                <w:i w:val="0"/>
                <w:color w:val="000000"/>
                <w:sz w:val="19"/>
              </w:rPr>
              <w:t xml:space="preserve">125.37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2013101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651.76</w:t>
            </w:r>
          </w:p>
        </w:tc>
        <w:tc>
          <w:tcPr>
            <w:tcW w:w="1600" w:type="dxa"/>
            <w:tcBorders/>
            <w:vAlign w:val="center"/>
          </w:tcPr>
          <w:p>
            <w:pPr>
              <w:jc w:val="right"/>
            </w:pPr>
            <w:r>
              <w:rPr>
                <w:rFonts w:ascii="宋体" w:eastAsia="宋体" w:hAnsi="宋体" w:cs="宋体"/>
                <w:b w:val="0"/>
                <w:i w:val="0"/>
                <w:color w:val="000000"/>
                <w:sz w:val="19"/>
              </w:rPr>
              <w:t xml:space="preserve">651.76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2013102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125.37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125.37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2013150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事业运行</w:t>
            </w:r>
          </w:p>
        </w:tc>
        <w:tc>
          <w:tcPr>
            <w:tcW w:w="1600" w:type="dxa"/>
            <w:tcBorders/>
            <w:vAlign w:val="center"/>
          </w:tcPr>
          <w:p>
            <w:pPr>
              <w:jc w:val="right"/>
            </w:pPr>
            <w:r>
              <w:rPr>
                <w:rFonts w:ascii="宋体" w:eastAsia="宋体" w:hAnsi="宋体" w:cs="宋体"/>
                <w:b w:val="0"/>
                <w:i w:val="0"/>
                <w:color w:val="000000"/>
                <w:sz w:val="19"/>
              </w:rPr>
              <w:t xml:space="preserve">165.71</w:t>
            </w:r>
          </w:p>
        </w:tc>
        <w:tc>
          <w:tcPr>
            <w:tcW w:w="1600" w:type="dxa"/>
            <w:tcBorders/>
            <w:vAlign w:val="center"/>
          </w:tcPr>
          <w:p>
            <w:pPr>
              <w:jc w:val="right"/>
            </w:pPr>
            <w:r>
              <w:rPr>
                <w:rFonts w:ascii="宋体" w:eastAsia="宋体" w:hAnsi="宋体" w:cs="宋体"/>
                <w:b w:val="0"/>
                <w:i w:val="0"/>
                <w:color w:val="000000"/>
                <w:sz w:val="19"/>
              </w:rPr>
              <w:t xml:space="preserve">165.71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34.67</w:t>
            </w:r>
          </w:p>
        </w:tc>
        <w:tc>
          <w:tcPr>
            <w:tcW w:w="1600" w:type="dxa"/>
            <w:tcBorders/>
            <w:vAlign w:val="center"/>
          </w:tcPr>
          <w:p>
            <w:pPr>
              <w:jc w:val="right"/>
            </w:pPr>
            <w:r>
              <w:rPr>
                <w:rFonts w:ascii="宋体" w:eastAsia="宋体" w:hAnsi="宋体" w:cs="宋体"/>
                <w:b w:val="0"/>
                <w:i w:val="0"/>
                <w:color w:val="000000"/>
                <w:sz w:val="19"/>
              </w:rPr>
              <w:t xml:space="preserve">34.67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34.67</w:t>
            </w:r>
          </w:p>
        </w:tc>
        <w:tc>
          <w:tcPr>
            <w:tcW w:w="1600" w:type="dxa"/>
            <w:tcBorders/>
            <w:vAlign w:val="center"/>
          </w:tcPr>
          <w:p>
            <w:pPr>
              <w:jc w:val="right"/>
            </w:pPr>
            <w:r>
              <w:rPr>
                <w:rFonts w:ascii="宋体" w:eastAsia="宋体" w:hAnsi="宋体" w:cs="宋体"/>
                <w:b w:val="0"/>
                <w:i w:val="0"/>
                <w:color w:val="000000"/>
                <w:sz w:val="19"/>
              </w:rPr>
              <w:t xml:space="preserve">34.67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168.56</w:t>
            </w:r>
          </w:p>
        </w:tc>
        <w:tc>
          <w:tcPr>
            <w:tcW w:w="1600" w:type="dxa"/>
            <w:tcBorders/>
            <w:vAlign w:val="center"/>
          </w:tcPr>
          <w:p>
            <w:pPr>
              <w:jc w:val="right"/>
            </w:pPr>
            <w:r>
              <w:rPr>
                <w:rFonts w:ascii="宋体" w:eastAsia="宋体" w:hAnsi="宋体" w:cs="宋体"/>
                <w:b w:val="0"/>
                <w:i w:val="0"/>
                <w:color w:val="000000"/>
                <w:sz w:val="19"/>
              </w:rPr>
              <w:t xml:space="preserve">168.56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143.62</w:t>
            </w:r>
          </w:p>
        </w:tc>
        <w:tc>
          <w:tcPr>
            <w:tcW w:w="1600" w:type="dxa"/>
            <w:tcBorders/>
            <w:vAlign w:val="center"/>
          </w:tcPr>
          <w:p>
            <w:pPr>
              <w:jc w:val="right"/>
            </w:pPr>
            <w:r>
              <w:rPr>
                <w:rFonts w:ascii="宋体" w:eastAsia="宋体" w:hAnsi="宋体" w:cs="宋体"/>
                <w:b w:val="0"/>
                <w:i w:val="0"/>
                <w:color w:val="000000"/>
                <w:sz w:val="19"/>
              </w:rPr>
              <w:t xml:space="preserve">143.62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91.18</w:t>
            </w:r>
          </w:p>
        </w:tc>
        <w:tc>
          <w:tcPr>
            <w:tcW w:w="1600" w:type="dxa"/>
            <w:tcBorders/>
            <w:vAlign w:val="center"/>
          </w:tcPr>
          <w:p>
            <w:pPr>
              <w:jc w:val="right"/>
            </w:pPr>
            <w:r>
              <w:rPr>
                <w:rFonts w:ascii="宋体" w:eastAsia="宋体" w:hAnsi="宋体" w:cs="宋体"/>
                <w:b w:val="0"/>
                <w:i w:val="0"/>
                <w:color w:val="000000"/>
                <w:sz w:val="19"/>
              </w:rPr>
              <w:t xml:space="preserve">91.18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52.44</w:t>
            </w:r>
          </w:p>
        </w:tc>
        <w:tc>
          <w:tcPr>
            <w:tcW w:w="1600" w:type="dxa"/>
            <w:tcBorders/>
            <w:vAlign w:val="center"/>
          </w:tcPr>
          <w:p>
            <w:pPr>
              <w:jc w:val="right"/>
            </w:pPr>
            <w:r>
              <w:rPr>
                <w:rFonts w:ascii="宋体" w:eastAsia="宋体" w:hAnsi="宋体" w:cs="宋体"/>
                <w:b w:val="0"/>
                <w:i w:val="0"/>
                <w:color w:val="000000"/>
                <w:sz w:val="19"/>
              </w:rPr>
              <w:t xml:space="preserve">52.44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24.94</w:t>
            </w:r>
          </w:p>
        </w:tc>
        <w:tc>
          <w:tcPr>
            <w:tcW w:w="1600" w:type="dxa"/>
            <w:tcBorders/>
            <w:vAlign w:val="center"/>
          </w:tcPr>
          <w:p>
            <w:pPr>
              <w:jc w:val="right"/>
            </w:pPr>
            <w:r>
              <w:rPr>
                <w:rFonts w:ascii="宋体" w:eastAsia="宋体" w:hAnsi="宋体" w:cs="宋体"/>
                <w:b w:val="0"/>
                <w:i w:val="0"/>
                <w:color w:val="000000"/>
                <w:sz w:val="19"/>
              </w:rPr>
              <w:t xml:space="preserve">24.94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24.94</w:t>
            </w:r>
          </w:p>
        </w:tc>
        <w:tc>
          <w:tcPr>
            <w:tcW w:w="1600" w:type="dxa"/>
            <w:tcBorders/>
            <w:vAlign w:val="center"/>
          </w:tcPr>
          <w:p>
            <w:pPr>
              <w:jc w:val="right"/>
            </w:pPr>
            <w:r>
              <w:rPr>
                <w:rFonts w:ascii="宋体" w:eastAsia="宋体" w:hAnsi="宋体" w:cs="宋体"/>
                <w:b w:val="0"/>
                <w:i w:val="0"/>
                <w:color w:val="000000"/>
                <w:sz w:val="19"/>
              </w:rPr>
              <w:t xml:space="preserve">24.94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49.45</w:t>
            </w:r>
          </w:p>
        </w:tc>
        <w:tc>
          <w:tcPr>
            <w:tcW w:w="1600" w:type="dxa"/>
            <w:tcBorders/>
            <w:vAlign w:val="center"/>
          </w:tcPr>
          <w:p>
            <w:pPr>
              <w:jc w:val="right"/>
            </w:pPr>
            <w:r>
              <w:rPr>
                <w:rFonts w:ascii="宋体" w:eastAsia="宋体" w:hAnsi="宋体" w:cs="宋体"/>
                <w:b w:val="0"/>
                <w:i w:val="0"/>
                <w:color w:val="000000"/>
                <w:sz w:val="19"/>
              </w:rPr>
              <w:t xml:space="preserve">49.45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49.45</w:t>
            </w:r>
          </w:p>
        </w:tc>
        <w:tc>
          <w:tcPr>
            <w:tcW w:w="1600" w:type="dxa"/>
            <w:tcBorders/>
            <w:vAlign w:val="center"/>
          </w:tcPr>
          <w:p>
            <w:pPr>
              <w:jc w:val="right"/>
            </w:pPr>
            <w:r>
              <w:rPr>
                <w:rFonts w:ascii="宋体" w:eastAsia="宋体" w:hAnsi="宋体" w:cs="宋体"/>
                <w:b w:val="0"/>
                <w:i w:val="0"/>
                <w:color w:val="000000"/>
                <w:sz w:val="19"/>
              </w:rPr>
              <w:t xml:space="preserve">49.45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20.12</w:t>
            </w:r>
          </w:p>
        </w:tc>
        <w:tc>
          <w:tcPr>
            <w:tcW w:w="1600" w:type="dxa"/>
            <w:tcBorders/>
            <w:vAlign w:val="center"/>
          </w:tcPr>
          <w:p>
            <w:pPr>
              <w:jc w:val="right"/>
            </w:pPr>
            <w:r>
              <w:rPr>
                <w:rFonts w:ascii="宋体" w:eastAsia="宋体" w:hAnsi="宋体" w:cs="宋体"/>
                <w:b w:val="0"/>
                <w:i w:val="0"/>
                <w:color w:val="000000"/>
                <w:sz w:val="19"/>
              </w:rPr>
              <w:t xml:space="preserve">20.12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5.35</w:t>
            </w:r>
          </w:p>
        </w:tc>
        <w:tc>
          <w:tcPr>
            <w:tcW w:w="1600" w:type="dxa"/>
            <w:tcBorders/>
            <w:vAlign w:val="center"/>
          </w:tcPr>
          <w:p>
            <w:pPr>
              <w:jc w:val="right"/>
            </w:pPr>
            <w:r>
              <w:rPr>
                <w:rFonts w:ascii="宋体" w:eastAsia="宋体" w:hAnsi="宋体" w:cs="宋体"/>
                <w:b w:val="0"/>
                <w:i w:val="0"/>
                <w:color w:val="000000"/>
                <w:sz w:val="19"/>
              </w:rPr>
              <w:t xml:space="preserve">5.35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23.98</w:t>
            </w:r>
          </w:p>
        </w:tc>
        <w:tc>
          <w:tcPr>
            <w:tcW w:w="1600" w:type="dxa"/>
            <w:tcBorders/>
            <w:vAlign w:val="center"/>
          </w:tcPr>
          <w:p>
            <w:pPr>
              <w:jc w:val="right"/>
            </w:pPr>
            <w:r>
              <w:rPr>
                <w:rFonts w:ascii="宋体" w:eastAsia="宋体" w:hAnsi="宋体" w:cs="宋体"/>
                <w:b w:val="0"/>
                <w:i w:val="0"/>
                <w:color w:val="000000"/>
                <w:sz w:val="19"/>
              </w:rPr>
              <w:t xml:space="preserve">23.98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49.37</w:t>
            </w:r>
          </w:p>
        </w:tc>
        <w:tc>
          <w:tcPr>
            <w:tcW w:w="1600" w:type="dxa"/>
            <w:tcBorders/>
            <w:vAlign w:val="center"/>
          </w:tcPr>
          <w:p>
            <w:pPr>
              <w:jc w:val="right"/>
            </w:pPr>
            <w:r>
              <w:rPr>
                <w:rFonts w:ascii="宋体" w:eastAsia="宋体" w:hAnsi="宋体" w:cs="宋体"/>
                <w:b w:val="0"/>
                <w:i w:val="0"/>
                <w:color w:val="000000"/>
                <w:sz w:val="19"/>
              </w:rPr>
              <w:t xml:space="preserve">49.37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49.37</w:t>
            </w:r>
          </w:p>
        </w:tc>
        <w:tc>
          <w:tcPr>
            <w:tcW w:w="1600" w:type="dxa"/>
            <w:tcBorders/>
            <w:vAlign w:val="center"/>
          </w:tcPr>
          <w:p>
            <w:pPr>
              <w:jc w:val="right"/>
            </w:pPr>
            <w:r>
              <w:rPr>
                <w:rFonts w:ascii="宋体" w:eastAsia="宋体" w:hAnsi="宋体" w:cs="宋体"/>
                <w:b w:val="0"/>
                <w:i w:val="0"/>
                <w:color w:val="000000"/>
                <w:sz w:val="19"/>
              </w:rPr>
              <w:t xml:space="preserve">49.37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49.37</w:t>
            </w:r>
          </w:p>
        </w:tc>
        <w:tc>
          <w:tcPr>
            <w:tcW w:w="1600" w:type="dxa"/>
            <w:tcBorders/>
            <w:vAlign w:val="center"/>
          </w:tcPr>
          <w:p>
            <w:pPr>
              <w:jc w:val="right"/>
            </w:pPr>
            <w:r>
              <w:rPr>
                <w:rFonts w:ascii="宋体" w:eastAsia="宋体" w:hAnsi="宋体" w:cs="宋体"/>
                <w:b w:val="0"/>
                <w:i w:val="0"/>
                <w:color w:val="000000"/>
                <w:sz w:val="19"/>
              </w:rPr>
              <w:t xml:space="preserve">49.37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注：本表反映部门本年度各项支出情况。本表金额转换为万元时，因四舍五入可能存在尾差。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部门：中共许昌市委政法委员会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1,252.12</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982.24</w:t>
            </w:r>
          </w:p>
        </w:tc>
        <w:tc>
          <w:tcPr>
            <w:tcW w:w="1420" w:type="dxa"/>
            <w:tcBorders/>
            <w:vAlign w:val="center"/>
          </w:tcPr>
          <w:p>
            <w:pPr>
              <w:jc w:val="right"/>
            </w:pPr>
            <w:r>
              <w:rPr>
                <w:rFonts w:ascii="宋体" w:eastAsia="宋体" w:hAnsi="宋体" w:cs="宋体"/>
                <w:b w:val="0"/>
                <w:i w:val="0"/>
                <w:color w:val="000000"/>
                <w:sz w:val="18"/>
              </w:rPr>
              <w:t xml:space="preserve">982.24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168.56</w:t>
            </w:r>
          </w:p>
        </w:tc>
        <w:tc>
          <w:tcPr>
            <w:tcW w:w="1420" w:type="dxa"/>
            <w:tcBorders/>
            <w:vAlign w:val="center"/>
          </w:tcPr>
          <w:p>
            <w:pPr>
              <w:jc w:val="right"/>
            </w:pPr>
            <w:r>
              <w:rPr>
                <w:rFonts w:ascii="宋体" w:eastAsia="宋体" w:hAnsi="宋体" w:cs="宋体"/>
                <w:b w:val="0"/>
                <w:i w:val="0"/>
                <w:color w:val="000000"/>
                <w:sz w:val="18"/>
              </w:rPr>
              <w:t xml:space="preserve">168.56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49.45</w:t>
            </w:r>
          </w:p>
        </w:tc>
        <w:tc>
          <w:tcPr>
            <w:tcW w:w="1420" w:type="dxa"/>
            <w:tcBorders/>
            <w:vAlign w:val="center"/>
          </w:tcPr>
          <w:p>
            <w:pPr>
              <w:jc w:val="right"/>
            </w:pPr>
            <w:r>
              <w:rPr>
                <w:rFonts w:ascii="宋体" w:eastAsia="宋体" w:hAnsi="宋体" w:cs="宋体"/>
                <w:b w:val="0"/>
                <w:i w:val="0"/>
                <w:color w:val="000000"/>
                <w:sz w:val="18"/>
              </w:rPr>
              <w:t xml:space="preserve">49.45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2.50</w:t>
            </w:r>
          </w:p>
        </w:tc>
        <w:tc>
          <w:tcPr>
            <w:tcW w:w="1420" w:type="dxa"/>
            <w:tcBorders/>
            <w:vAlign w:val="center"/>
          </w:tcPr>
          <w:p>
            <w:pPr>
              <w:jc w:val="right"/>
            </w:pPr>
            <w:r>
              <w:rPr>
                <w:rFonts w:ascii="宋体" w:eastAsia="宋体" w:hAnsi="宋体" w:cs="宋体"/>
                <w:b w:val="0"/>
                <w:i w:val="0"/>
                <w:color w:val="000000"/>
                <w:sz w:val="18"/>
              </w:rPr>
              <w:t xml:space="preserve">2.50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49.37</w:t>
            </w:r>
          </w:p>
        </w:tc>
        <w:tc>
          <w:tcPr>
            <w:tcW w:w="1420" w:type="dxa"/>
            <w:tcBorders/>
            <w:vAlign w:val="center"/>
          </w:tcPr>
          <w:p>
            <w:pPr>
              <w:jc w:val="right"/>
            </w:pPr>
            <w:r>
              <w:rPr>
                <w:rFonts w:ascii="宋体" w:eastAsia="宋体" w:hAnsi="宋体" w:cs="宋体"/>
                <w:b w:val="0"/>
                <w:i w:val="0"/>
                <w:color w:val="000000"/>
                <w:sz w:val="18"/>
              </w:rPr>
              <w:t xml:space="preserve">49.37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1,252.12</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1,252.12</w:t>
            </w:r>
          </w:p>
        </w:tc>
        <w:tc>
          <w:tcPr>
            <w:tcW w:w="1420" w:type="dxa"/>
            <w:tcBorders/>
            <w:vAlign w:val="center"/>
          </w:tcPr>
          <w:p>
            <w:pPr>
              <w:jc w:val="right"/>
            </w:pPr>
            <w:r>
              <w:rPr>
                <w:rFonts w:ascii="宋体" w:eastAsia="宋体" w:hAnsi="宋体" w:cs="宋体"/>
                <w:b w:val="0"/>
                <w:i w:val="0"/>
                <w:color w:val="000000"/>
                <w:sz w:val="18"/>
              </w:rPr>
              <w:t xml:space="preserve">1,252.12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1,252.12</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1,252.12</w:t>
            </w:r>
          </w:p>
        </w:tc>
        <w:tc>
          <w:tcPr>
            <w:tcW w:w="1420" w:type="dxa"/>
            <w:tcBorders/>
            <w:vAlign w:val="center"/>
          </w:tcPr>
          <w:p>
            <w:pPr>
              <w:jc w:val="right"/>
            </w:pPr>
            <w:r>
              <w:rPr>
                <w:rFonts w:ascii="宋体" w:eastAsia="宋体" w:hAnsi="宋体" w:cs="宋体"/>
                <w:b w:val="0"/>
                <w:i w:val="0"/>
                <w:color w:val="000000"/>
                <w:sz w:val="18"/>
              </w:rPr>
              <w:t xml:space="preserve">1,252.12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部门：中共许昌市委政法委员会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1,252.12</w:t>
            </w:r>
          </w:p>
        </w:tc>
        <w:tc>
          <w:tcPr>
            <w:tcW w:w="2700" w:type="dxa"/>
            <w:tcBorders/>
            <w:vAlign w:val="center"/>
          </w:tcPr>
          <w:p>
            <w:pPr>
              <w:jc w:val="right"/>
            </w:pPr>
            <w:r>
              <w:rPr>
                <w:rFonts w:ascii="宋体" w:eastAsia="宋体" w:hAnsi="宋体" w:cs="宋体"/>
                <w:b/>
                <w:i w:val="0"/>
                <w:color w:val="000000"/>
                <w:sz w:val="25"/>
              </w:rPr>
              <w:t xml:space="preserve">1,124.25</w:t>
            </w:r>
          </w:p>
        </w:tc>
        <w:tc>
          <w:tcPr>
            <w:tcW w:w="2658" w:type="dxa"/>
            <w:tcBorders/>
            <w:vAlign w:val="center"/>
          </w:tcPr>
          <w:p>
            <w:pPr>
              <w:jc w:val="right"/>
            </w:pPr>
            <w:r>
              <w:rPr>
                <w:rFonts w:ascii="宋体" w:eastAsia="宋体" w:hAnsi="宋体" w:cs="宋体"/>
                <w:b/>
                <w:i w:val="0"/>
                <w:color w:val="000000"/>
                <w:sz w:val="25"/>
              </w:rPr>
              <w:t xml:space="preserve">127.87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982.24</w:t>
            </w:r>
          </w:p>
        </w:tc>
        <w:tc>
          <w:tcPr>
            <w:tcW w:w="2700" w:type="dxa"/>
            <w:tcBorders/>
            <w:vAlign w:val="center"/>
          </w:tcPr>
          <w:p>
            <w:pPr>
              <w:jc w:val="right"/>
            </w:pPr>
            <w:r>
              <w:rPr>
                <w:rFonts w:ascii="宋体" w:eastAsia="宋体" w:hAnsi="宋体" w:cs="宋体"/>
                <w:b w:val="0"/>
                <w:i w:val="0"/>
                <w:color w:val="000000"/>
                <w:sz w:val="25"/>
              </w:rPr>
              <w:t xml:space="preserve">856.88</w:t>
            </w:r>
          </w:p>
        </w:tc>
        <w:tc>
          <w:tcPr>
            <w:tcW w:w="2658" w:type="dxa"/>
            <w:tcBorders/>
            <w:vAlign w:val="center"/>
          </w:tcPr>
          <w:p>
            <w:pPr>
              <w:jc w:val="right"/>
            </w:pPr>
            <w:r>
              <w:rPr>
                <w:rFonts w:ascii="宋体" w:eastAsia="宋体" w:hAnsi="宋体" w:cs="宋体"/>
                <w:b w:val="0"/>
                <w:i w:val="0"/>
                <w:color w:val="000000"/>
                <w:sz w:val="25"/>
              </w:rPr>
              <w:t xml:space="preserve">125.37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4.73</w:t>
            </w:r>
          </w:p>
        </w:tc>
        <w:tc>
          <w:tcPr>
            <w:tcW w:w="2700" w:type="dxa"/>
            <w:tcBorders/>
            <w:vAlign w:val="center"/>
          </w:tcPr>
          <w:p>
            <w:pPr>
              <w:jc w:val="right"/>
            </w:pPr>
            <w:r>
              <w:rPr>
                <w:rFonts w:ascii="宋体" w:eastAsia="宋体" w:hAnsi="宋体" w:cs="宋体"/>
                <w:b w:val="0"/>
                <w:i w:val="0"/>
                <w:color w:val="000000"/>
                <w:sz w:val="25"/>
              </w:rPr>
              <w:t xml:space="preserve">4.73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4.73</w:t>
            </w:r>
          </w:p>
        </w:tc>
        <w:tc>
          <w:tcPr>
            <w:tcW w:w="2700" w:type="dxa"/>
            <w:tcBorders/>
            <w:vAlign w:val="center"/>
          </w:tcPr>
          <w:p>
            <w:pPr>
              <w:jc w:val="right"/>
            </w:pPr>
            <w:r>
              <w:rPr>
                <w:rFonts w:ascii="宋体" w:eastAsia="宋体" w:hAnsi="宋体" w:cs="宋体"/>
                <w:b w:val="0"/>
                <w:i w:val="0"/>
                <w:color w:val="000000"/>
                <w:sz w:val="25"/>
              </w:rPr>
              <w:t xml:space="preserve">4.73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20131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党委办公厅（室）及相关机构事务</w:t>
            </w:r>
          </w:p>
        </w:tc>
        <w:tc>
          <w:tcPr>
            <w:tcW w:w="2700" w:type="dxa"/>
            <w:tcBorders/>
            <w:vAlign w:val="center"/>
          </w:tcPr>
          <w:p>
            <w:pPr>
              <w:jc w:val="right"/>
            </w:pPr>
            <w:r>
              <w:rPr>
                <w:rFonts w:ascii="宋体" w:eastAsia="宋体" w:hAnsi="宋体" w:cs="宋体"/>
                <w:b w:val="0"/>
                <w:i w:val="0"/>
                <w:color w:val="000000"/>
                <w:sz w:val="25"/>
              </w:rPr>
              <w:t xml:space="preserve">942.85</w:t>
            </w:r>
          </w:p>
        </w:tc>
        <w:tc>
          <w:tcPr>
            <w:tcW w:w="2700" w:type="dxa"/>
            <w:tcBorders/>
            <w:vAlign w:val="center"/>
          </w:tcPr>
          <w:p>
            <w:pPr>
              <w:jc w:val="right"/>
            </w:pPr>
            <w:r>
              <w:rPr>
                <w:rFonts w:ascii="宋体" w:eastAsia="宋体" w:hAnsi="宋体" w:cs="宋体"/>
                <w:b w:val="0"/>
                <w:i w:val="0"/>
                <w:color w:val="000000"/>
                <w:sz w:val="25"/>
              </w:rPr>
              <w:t xml:space="preserve">817.48</w:t>
            </w:r>
          </w:p>
        </w:tc>
        <w:tc>
          <w:tcPr>
            <w:tcW w:w="2658" w:type="dxa"/>
            <w:tcBorders/>
            <w:vAlign w:val="center"/>
          </w:tcPr>
          <w:p>
            <w:pPr>
              <w:jc w:val="right"/>
            </w:pPr>
            <w:r>
              <w:rPr>
                <w:rFonts w:ascii="宋体" w:eastAsia="宋体" w:hAnsi="宋体" w:cs="宋体"/>
                <w:b w:val="0"/>
                <w:i w:val="0"/>
                <w:color w:val="000000"/>
                <w:sz w:val="25"/>
              </w:rPr>
              <w:t xml:space="preserve">125.37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2013101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651.76</w:t>
            </w:r>
          </w:p>
        </w:tc>
        <w:tc>
          <w:tcPr>
            <w:tcW w:w="2700" w:type="dxa"/>
            <w:tcBorders/>
            <w:vAlign w:val="center"/>
          </w:tcPr>
          <w:p>
            <w:pPr>
              <w:jc w:val="right"/>
            </w:pPr>
            <w:r>
              <w:rPr>
                <w:rFonts w:ascii="宋体" w:eastAsia="宋体" w:hAnsi="宋体" w:cs="宋体"/>
                <w:b w:val="0"/>
                <w:i w:val="0"/>
                <w:color w:val="000000"/>
                <w:sz w:val="25"/>
              </w:rPr>
              <w:t xml:space="preserve">651.76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2013102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125.37</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125.37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2013150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事业运行</w:t>
            </w:r>
          </w:p>
        </w:tc>
        <w:tc>
          <w:tcPr>
            <w:tcW w:w="2700" w:type="dxa"/>
            <w:tcBorders/>
            <w:vAlign w:val="center"/>
          </w:tcPr>
          <w:p>
            <w:pPr>
              <w:jc w:val="right"/>
            </w:pPr>
            <w:r>
              <w:rPr>
                <w:rFonts w:ascii="宋体" w:eastAsia="宋体" w:hAnsi="宋体" w:cs="宋体"/>
                <w:b w:val="0"/>
                <w:i w:val="0"/>
                <w:color w:val="000000"/>
                <w:sz w:val="25"/>
              </w:rPr>
              <w:t xml:space="preserve">165.71</w:t>
            </w:r>
          </w:p>
        </w:tc>
        <w:tc>
          <w:tcPr>
            <w:tcW w:w="2700" w:type="dxa"/>
            <w:tcBorders/>
            <w:vAlign w:val="center"/>
          </w:tcPr>
          <w:p>
            <w:pPr>
              <w:jc w:val="right"/>
            </w:pPr>
            <w:r>
              <w:rPr>
                <w:rFonts w:ascii="宋体" w:eastAsia="宋体" w:hAnsi="宋体" w:cs="宋体"/>
                <w:b w:val="0"/>
                <w:i w:val="0"/>
                <w:color w:val="000000"/>
                <w:sz w:val="25"/>
              </w:rPr>
              <w:t xml:space="preserve">165.71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34.67</w:t>
            </w:r>
          </w:p>
        </w:tc>
        <w:tc>
          <w:tcPr>
            <w:tcW w:w="2700" w:type="dxa"/>
            <w:tcBorders/>
            <w:vAlign w:val="center"/>
          </w:tcPr>
          <w:p>
            <w:pPr>
              <w:jc w:val="right"/>
            </w:pPr>
            <w:r>
              <w:rPr>
                <w:rFonts w:ascii="宋体" w:eastAsia="宋体" w:hAnsi="宋体" w:cs="宋体"/>
                <w:b w:val="0"/>
                <w:i w:val="0"/>
                <w:color w:val="000000"/>
                <w:sz w:val="25"/>
              </w:rPr>
              <w:t xml:space="preserve">34.67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34.67</w:t>
            </w:r>
          </w:p>
        </w:tc>
        <w:tc>
          <w:tcPr>
            <w:tcW w:w="2700" w:type="dxa"/>
            <w:tcBorders/>
            <w:vAlign w:val="center"/>
          </w:tcPr>
          <w:p>
            <w:pPr>
              <w:jc w:val="right"/>
            </w:pPr>
            <w:r>
              <w:rPr>
                <w:rFonts w:ascii="宋体" w:eastAsia="宋体" w:hAnsi="宋体" w:cs="宋体"/>
                <w:b w:val="0"/>
                <w:i w:val="0"/>
                <w:color w:val="000000"/>
                <w:sz w:val="25"/>
              </w:rPr>
              <w:t xml:space="preserve">34.67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168.56</w:t>
            </w:r>
          </w:p>
        </w:tc>
        <w:tc>
          <w:tcPr>
            <w:tcW w:w="2700" w:type="dxa"/>
            <w:tcBorders/>
            <w:vAlign w:val="center"/>
          </w:tcPr>
          <w:p>
            <w:pPr>
              <w:jc w:val="right"/>
            </w:pPr>
            <w:r>
              <w:rPr>
                <w:rFonts w:ascii="宋体" w:eastAsia="宋体" w:hAnsi="宋体" w:cs="宋体"/>
                <w:b w:val="0"/>
                <w:i w:val="0"/>
                <w:color w:val="000000"/>
                <w:sz w:val="25"/>
              </w:rPr>
              <w:t xml:space="preserve">168.56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143.62</w:t>
            </w:r>
          </w:p>
        </w:tc>
        <w:tc>
          <w:tcPr>
            <w:tcW w:w="2700" w:type="dxa"/>
            <w:tcBorders/>
            <w:vAlign w:val="center"/>
          </w:tcPr>
          <w:p>
            <w:pPr>
              <w:jc w:val="right"/>
            </w:pPr>
            <w:r>
              <w:rPr>
                <w:rFonts w:ascii="宋体" w:eastAsia="宋体" w:hAnsi="宋体" w:cs="宋体"/>
                <w:b w:val="0"/>
                <w:i w:val="0"/>
                <w:color w:val="000000"/>
                <w:sz w:val="25"/>
              </w:rPr>
              <w:t xml:space="preserve">143.62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91.18</w:t>
            </w:r>
          </w:p>
        </w:tc>
        <w:tc>
          <w:tcPr>
            <w:tcW w:w="2700" w:type="dxa"/>
            <w:tcBorders/>
            <w:vAlign w:val="center"/>
          </w:tcPr>
          <w:p>
            <w:pPr>
              <w:jc w:val="right"/>
            </w:pPr>
            <w:r>
              <w:rPr>
                <w:rFonts w:ascii="宋体" w:eastAsia="宋体" w:hAnsi="宋体" w:cs="宋体"/>
                <w:b w:val="0"/>
                <w:i w:val="0"/>
                <w:color w:val="000000"/>
                <w:sz w:val="25"/>
              </w:rPr>
              <w:t xml:space="preserve">91.18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52.44</w:t>
            </w:r>
          </w:p>
        </w:tc>
        <w:tc>
          <w:tcPr>
            <w:tcW w:w="2700" w:type="dxa"/>
            <w:tcBorders/>
            <w:vAlign w:val="center"/>
          </w:tcPr>
          <w:p>
            <w:pPr>
              <w:jc w:val="right"/>
            </w:pPr>
            <w:r>
              <w:rPr>
                <w:rFonts w:ascii="宋体" w:eastAsia="宋体" w:hAnsi="宋体" w:cs="宋体"/>
                <w:b w:val="0"/>
                <w:i w:val="0"/>
                <w:color w:val="000000"/>
                <w:sz w:val="25"/>
              </w:rPr>
              <w:t xml:space="preserve">52.44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24.94</w:t>
            </w:r>
          </w:p>
        </w:tc>
        <w:tc>
          <w:tcPr>
            <w:tcW w:w="2700" w:type="dxa"/>
            <w:tcBorders/>
            <w:vAlign w:val="center"/>
          </w:tcPr>
          <w:p>
            <w:pPr>
              <w:jc w:val="right"/>
            </w:pPr>
            <w:r>
              <w:rPr>
                <w:rFonts w:ascii="宋体" w:eastAsia="宋体" w:hAnsi="宋体" w:cs="宋体"/>
                <w:b w:val="0"/>
                <w:i w:val="0"/>
                <w:color w:val="000000"/>
                <w:sz w:val="25"/>
              </w:rPr>
              <w:t xml:space="preserve">24.94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24.94</w:t>
            </w:r>
          </w:p>
        </w:tc>
        <w:tc>
          <w:tcPr>
            <w:tcW w:w="2700" w:type="dxa"/>
            <w:tcBorders/>
            <w:vAlign w:val="center"/>
          </w:tcPr>
          <w:p>
            <w:pPr>
              <w:jc w:val="right"/>
            </w:pPr>
            <w:r>
              <w:rPr>
                <w:rFonts w:ascii="宋体" w:eastAsia="宋体" w:hAnsi="宋体" w:cs="宋体"/>
                <w:b w:val="0"/>
                <w:i w:val="0"/>
                <w:color w:val="000000"/>
                <w:sz w:val="25"/>
              </w:rPr>
              <w:t xml:space="preserve">24.94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49.45</w:t>
            </w:r>
          </w:p>
        </w:tc>
        <w:tc>
          <w:tcPr>
            <w:tcW w:w="2700" w:type="dxa"/>
            <w:tcBorders/>
            <w:vAlign w:val="center"/>
          </w:tcPr>
          <w:p>
            <w:pPr>
              <w:jc w:val="right"/>
            </w:pPr>
            <w:r>
              <w:rPr>
                <w:rFonts w:ascii="宋体" w:eastAsia="宋体" w:hAnsi="宋体" w:cs="宋体"/>
                <w:b w:val="0"/>
                <w:i w:val="0"/>
                <w:color w:val="000000"/>
                <w:sz w:val="25"/>
              </w:rPr>
              <w:t xml:space="preserve">49.45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49.45</w:t>
            </w:r>
          </w:p>
        </w:tc>
        <w:tc>
          <w:tcPr>
            <w:tcW w:w="2700" w:type="dxa"/>
            <w:tcBorders/>
            <w:vAlign w:val="center"/>
          </w:tcPr>
          <w:p>
            <w:pPr>
              <w:jc w:val="right"/>
            </w:pPr>
            <w:r>
              <w:rPr>
                <w:rFonts w:ascii="宋体" w:eastAsia="宋体" w:hAnsi="宋体" w:cs="宋体"/>
                <w:b w:val="0"/>
                <w:i w:val="0"/>
                <w:color w:val="000000"/>
                <w:sz w:val="25"/>
              </w:rPr>
              <w:t xml:space="preserve">49.45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20.12</w:t>
            </w:r>
          </w:p>
        </w:tc>
        <w:tc>
          <w:tcPr>
            <w:tcW w:w="2700" w:type="dxa"/>
            <w:tcBorders/>
            <w:vAlign w:val="center"/>
          </w:tcPr>
          <w:p>
            <w:pPr>
              <w:jc w:val="right"/>
            </w:pPr>
            <w:r>
              <w:rPr>
                <w:rFonts w:ascii="宋体" w:eastAsia="宋体" w:hAnsi="宋体" w:cs="宋体"/>
                <w:b w:val="0"/>
                <w:i w:val="0"/>
                <w:color w:val="000000"/>
                <w:sz w:val="25"/>
              </w:rPr>
              <w:t xml:space="preserve">20.12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5.35</w:t>
            </w:r>
          </w:p>
        </w:tc>
        <w:tc>
          <w:tcPr>
            <w:tcW w:w="2700" w:type="dxa"/>
            <w:tcBorders/>
            <w:vAlign w:val="center"/>
          </w:tcPr>
          <w:p>
            <w:pPr>
              <w:jc w:val="right"/>
            </w:pPr>
            <w:r>
              <w:rPr>
                <w:rFonts w:ascii="宋体" w:eastAsia="宋体" w:hAnsi="宋体" w:cs="宋体"/>
                <w:b w:val="0"/>
                <w:i w:val="0"/>
                <w:color w:val="000000"/>
                <w:sz w:val="25"/>
              </w:rPr>
              <w:t xml:space="preserve">5.35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23.98</w:t>
            </w:r>
          </w:p>
        </w:tc>
        <w:tc>
          <w:tcPr>
            <w:tcW w:w="2700" w:type="dxa"/>
            <w:tcBorders/>
            <w:vAlign w:val="center"/>
          </w:tcPr>
          <w:p>
            <w:pPr>
              <w:jc w:val="right"/>
            </w:pPr>
            <w:r>
              <w:rPr>
                <w:rFonts w:ascii="宋体" w:eastAsia="宋体" w:hAnsi="宋体" w:cs="宋体"/>
                <w:b w:val="0"/>
                <w:i w:val="0"/>
                <w:color w:val="000000"/>
                <w:sz w:val="25"/>
              </w:rPr>
              <w:t xml:space="preserve">23.98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49.37</w:t>
            </w:r>
          </w:p>
        </w:tc>
        <w:tc>
          <w:tcPr>
            <w:tcW w:w="2700" w:type="dxa"/>
            <w:tcBorders/>
            <w:vAlign w:val="center"/>
          </w:tcPr>
          <w:p>
            <w:pPr>
              <w:jc w:val="right"/>
            </w:pPr>
            <w:r>
              <w:rPr>
                <w:rFonts w:ascii="宋体" w:eastAsia="宋体" w:hAnsi="宋体" w:cs="宋体"/>
                <w:b w:val="0"/>
                <w:i w:val="0"/>
                <w:color w:val="000000"/>
                <w:sz w:val="25"/>
              </w:rPr>
              <w:t xml:space="preserve">49.37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49.37</w:t>
            </w:r>
          </w:p>
        </w:tc>
        <w:tc>
          <w:tcPr>
            <w:tcW w:w="2700" w:type="dxa"/>
            <w:tcBorders/>
            <w:vAlign w:val="center"/>
          </w:tcPr>
          <w:p>
            <w:pPr>
              <w:jc w:val="right"/>
            </w:pPr>
            <w:r>
              <w:rPr>
                <w:rFonts w:ascii="宋体" w:eastAsia="宋体" w:hAnsi="宋体" w:cs="宋体"/>
                <w:b w:val="0"/>
                <w:i w:val="0"/>
                <w:color w:val="000000"/>
                <w:sz w:val="25"/>
              </w:rPr>
              <w:t xml:space="preserve">49.37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49.37</w:t>
            </w:r>
          </w:p>
        </w:tc>
        <w:tc>
          <w:tcPr>
            <w:tcW w:w="2700" w:type="dxa"/>
            <w:tcBorders/>
            <w:vAlign w:val="center"/>
          </w:tcPr>
          <w:p>
            <w:pPr>
              <w:jc w:val="right"/>
            </w:pPr>
            <w:r>
              <w:rPr>
                <w:rFonts w:ascii="宋体" w:eastAsia="宋体" w:hAnsi="宋体" w:cs="宋体"/>
                <w:b w:val="0"/>
                <w:i w:val="0"/>
                <w:color w:val="000000"/>
                <w:sz w:val="25"/>
              </w:rPr>
              <w:t xml:space="preserve">49.37</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注：本表反映部门本年度一般公共预算财政拨款支出情况。本表金额转换为万元时，因四舍五入可能存在尾差。</w:t>
      </w: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部门：中共许昌市委政法委员会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881.40</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121.03</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195.96</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18.62</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330.38</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1.65</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170.56</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3.11</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17.46</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1.41</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57.54</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1.71</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2.30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22.33</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20.41</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4.29</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1.29</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12.88</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49.37</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3.60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16.10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0.63</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118.70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1.37</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0.86</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93.77</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24.94</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12.05</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3.51</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4.73</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5.11</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19.80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27.97</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1.68</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1,000.11</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124.14</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注：本表反映部门本年度一般公共预算财政拨款基本支出明细情况。本表金额转换为万元时，因四舍五入可能存在尾差。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部门：中共许昌市委政法委员会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注：本表反映部门本年度政府性基金预算财政拨款收入、支出及结转和结余情况。本表金额转换为万元时，因四舍五入可能存在尾差。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说明：我部门没有政府性基金收入，也没有使用政府性基金安排的支出，故本表无数据。</w:t>
      </w:r>
    </w:p>
    <w:p>
      <w:pPr>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部门：中共许昌市委政法委员会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部门：中共许昌市委政法委员会</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19.80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19.80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19.80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19.80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19.80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19.80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1252.12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减少58.57万元，下降4.47%</w:t>
      </w:r>
      <w:r>
        <w:rPr>
          <w:rFonts w:ascii="仿宋" w:eastAsia="仿宋" w:hAnsi="仿宋" w:cs="仿宋" w:hint="eastAsia"/>
          <w:kern w:val="0"/>
          <w:sz w:val="32"/>
          <w:szCs w:val="32"/>
          <w:lang w:val="en-US" w:eastAsia="zh-CN"/>
        </w:rPr>
        <w:t xml:space="preserve">。主要原因是根据业务需要，本年度项目支出减少。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1252.12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财政拨款收入1252.12万元，占100.00%；上级补助收入0.00万元，占0.00%；事业收入0.00万元，占0.00%；经营收入0.00万元，占0.00%；附属单位上缴收入0.00万元，占0.00%；其他收入0.00万元，占0.00%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1252.12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基本支出1124.25万元，占89.79%；项目支出127.87万元，占10.21%；上缴上级支出0.00万元，占0.00%；经营支出0.00万元，占0.00%；对附属单位补助支出0.00万元，占0.00%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1252.12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减少58.57万元，下降4.47%</w:t>
      </w:r>
      <w:r>
        <w:rPr>
          <w:rFonts w:ascii="仿宋" w:eastAsia="仿宋" w:hAnsi="仿宋" w:cs="仿宋" w:hint="eastAsia"/>
          <w:kern w:val="0"/>
          <w:sz w:val="32"/>
          <w:szCs w:val="32"/>
          <w:lang w:val="en-US" w:eastAsia="zh-CN"/>
        </w:rPr>
        <w:t xml:space="preserve">。主要原因是根据业务需要，本年度项目支出减少。</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1252.12</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减少58.57万元，下降4.47%</w:t>
      </w:r>
      <w:r>
        <w:rPr>
          <w:rFonts w:ascii="仿宋" w:eastAsia="仿宋" w:hAnsi="仿宋" w:cs="仿宋" w:hint="eastAsia"/>
          <w:kern w:val="0"/>
          <w:sz w:val="32"/>
          <w:szCs w:val="32"/>
          <w:lang w:val="en-US" w:eastAsia="zh-CN"/>
        </w:rPr>
        <w:t xml:space="preserve">。主要原因是根据业务需要，本年度项目支出减少。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1252.12</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一般公共服务支出（类）982.24万元，占78.45%；社会保障和就业支出（类）168.56万元，占13.46%；卫生健康支出（类）49.45万元，占3.95%；农林水支出（类）2.50万元，占0.20%；住房保障支出（类）49.37万元，占3.94%</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1075.92</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1252.12</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116.38</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0"/>
          <w:sz w:val="32"/>
          <w:szCs w:val="32"/>
          <w:lang w:val="en-US" w:eastAsia="zh-CN"/>
        </w:rPr>
        <w:t xml:space="preserve">年初预算数为4.73万元，决算数4.73万元,完成年初预算的100.00%，决算数与年初预算数不存在差异。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2.一般公共服务支出（类）党委办公厅（室）及相关机构事务（款）行政运行（项）</w:t>
      </w:r>
      <w:r>
        <w:rPr>
          <w:rFonts w:ascii="仿宋" w:eastAsia="仿宋" w:hAnsi="仿宋" w:cs="仿宋" w:hint="default"/>
          <w:kern w:val="0"/>
          <w:sz w:val="32"/>
          <w:szCs w:val="32"/>
          <w:lang w:val="en-US" w:eastAsia="zh-CN"/>
        </w:rPr>
        <w:t xml:space="preserve">年初预算数为622.56万元，决算数651.76万元,完成年初预算的104.69%，决算数与年初预算数存在差异的主要原因是人员晋级晋档调整职务，经费相应增加。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3.一般公共服务支出（类）党委办公厅（室）及相关机构事务（款）一般行政管理事务（项）</w:t>
      </w:r>
      <w:r>
        <w:rPr>
          <w:rFonts w:ascii="仿宋" w:eastAsia="仿宋" w:hAnsi="仿宋" w:cs="仿宋" w:hint="default"/>
          <w:kern w:val="0"/>
          <w:sz w:val="32"/>
          <w:szCs w:val="32"/>
          <w:lang w:val="en-US" w:eastAsia="zh-CN"/>
        </w:rPr>
        <w:t xml:space="preserve">年初预算数为73.20万元，决算数125.37万元,完成年初预算的171.27%，决算数与年初预算数存在差异的主要原因是年中追加项目经费，实际支出增加。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4.一般公共服务支出（类）党委办公厅（室）及相关机构事务（款）事业运行（项）</w:t>
      </w:r>
      <w:r>
        <w:rPr>
          <w:rFonts w:ascii="仿宋" w:eastAsia="仿宋" w:hAnsi="仿宋" w:cs="仿宋" w:hint="default"/>
          <w:kern w:val="0"/>
          <w:sz w:val="32"/>
          <w:szCs w:val="32"/>
          <w:lang w:val="en-US" w:eastAsia="zh-CN"/>
        </w:rPr>
        <w:t xml:space="preserve">年初预算数为149.18万元，决算数165.71万元,完成年初预算的111.08%，决算数与年初预算数存在差异的主要原因是人员增加，经费增加。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5.一般公共服务支出（类）其他一般公共服务支出（款）其他一般公共服务支出（项）</w:t>
      </w:r>
      <w:r>
        <w:rPr>
          <w:rFonts w:ascii="仿宋" w:eastAsia="仿宋" w:hAnsi="仿宋" w:cs="仿宋" w:hint="default"/>
          <w:kern w:val="0"/>
          <w:sz w:val="32"/>
          <w:szCs w:val="32"/>
          <w:lang w:val="en-US" w:eastAsia="zh-CN"/>
        </w:rPr>
        <w:t xml:space="preserve">年初预算数为34.67万元，决算数34.67万元,完成年初预算的100.00%，决算数与年初预算数不存在差异。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6.社会保障和就业支出（类）行政事业单位养老支出（款）行政单位离退休（项）</w:t>
      </w:r>
      <w:r>
        <w:rPr>
          <w:rFonts w:ascii="仿宋" w:eastAsia="仿宋" w:hAnsi="仿宋" w:cs="仿宋" w:hint="default"/>
          <w:kern w:val="0"/>
          <w:sz w:val="32"/>
          <w:szCs w:val="32"/>
          <w:lang w:val="en-US" w:eastAsia="zh-CN"/>
        </w:rPr>
        <w:t xml:space="preserve">年初预算数为74.31万元，决算数91.18万元,完成年初预算的122.70%，决算数与年初预算数存在差异的主要原因是离退休人员经费改革，追加离退休人员经费。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7.社会保障和就业支出（类）行政事业单位养老支出（款）机关事业单位基本养老保险缴费支出（项）</w:t>
      </w:r>
      <w:r>
        <w:rPr>
          <w:rFonts w:ascii="仿宋" w:eastAsia="仿宋" w:hAnsi="仿宋" w:cs="仿宋" w:hint="default"/>
          <w:kern w:val="0"/>
          <w:sz w:val="32"/>
          <w:szCs w:val="32"/>
          <w:lang w:val="en-US" w:eastAsia="zh-CN"/>
        </w:rPr>
        <w:t xml:space="preserve">年初预算数为47.85万元，决算数52.44万元,完成年初预算的109.59%，决算数与年初预算数存在差异的主要原因是社保基数变动以及人员增加，导致实际支出增加。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8.社会保障和就业支出（类）抚恤（款）死亡抚恤（项）</w:t>
      </w:r>
      <w:r>
        <w:rPr>
          <w:rFonts w:ascii="仿宋" w:eastAsia="仿宋" w:hAnsi="仿宋" w:cs="仿宋" w:hint="default"/>
          <w:kern w:val="0"/>
          <w:sz w:val="32"/>
          <w:szCs w:val="32"/>
          <w:lang w:val="en-US" w:eastAsia="zh-CN"/>
        </w:rPr>
        <w:t xml:space="preserve">年初预算数为24.94万元，决算数24.94万元,完成年初预算的100.00%，决算数与年初预算数不存在差异。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9.卫生健康支出（类）行政事业单位医疗（款）行政单位医疗（项）</w:t>
      </w:r>
      <w:r>
        <w:rPr>
          <w:rFonts w:ascii="仿宋" w:eastAsia="仿宋" w:hAnsi="仿宋" w:cs="仿宋" w:hint="default"/>
          <w:kern w:val="0"/>
          <w:sz w:val="32"/>
          <w:szCs w:val="32"/>
          <w:lang w:val="en-US" w:eastAsia="zh-CN"/>
        </w:rPr>
        <w:t xml:space="preserve">年初预算数为21.90万元，决算数20.12万元,完成年初预算的91.87%，决算数与年初预算数存在差异的主要原因是社保基数变动，导致实际支出减少。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10.卫生健康支出（类）行政事业单位医疗（款）事业单位医疗（项）</w:t>
      </w:r>
      <w:r>
        <w:rPr>
          <w:rFonts w:ascii="仿宋" w:eastAsia="仿宋" w:hAnsi="仿宋" w:cs="仿宋" w:hint="default"/>
          <w:kern w:val="0"/>
          <w:sz w:val="32"/>
          <w:szCs w:val="32"/>
          <w:lang w:val="en-US" w:eastAsia="zh-CN"/>
        </w:rPr>
        <w:t xml:space="preserve">年初预算数为5.00万元，决算数5.35万元,完成年初预算的107.00%，决算数与年初预算数存在差异的主要原因是社保基数变动，导致实际支出增加。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11.卫生健康支出（类）行政事业单位医疗（款）公务员医疗补助（项）</w:t>
      </w:r>
      <w:r>
        <w:rPr>
          <w:rFonts w:ascii="仿宋" w:eastAsia="仿宋" w:hAnsi="仿宋" w:cs="仿宋" w:hint="default"/>
          <w:kern w:val="0"/>
          <w:sz w:val="32"/>
          <w:szCs w:val="32"/>
          <w:lang w:val="en-US" w:eastAsia="zh-CN"/>
        </w:rPr>
        <w:t xml:space="preserve">年初预算数为25.95万元，决算数23.98万元,完成年初预算的92.41%，决算数与年初预算数存在差异的主要原因是社保基数变动，导致实际支出减少。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12.农林水支出（类）巩固脱贫攻坚成果衔接乡村振兴（款）一般行政管理事务（项）</w:t>
      </w:r>
      <w:r>
        <w:rPr>
          <w:rFonts w:ascii="仿宋" w:eastAsia="仿宋" w:hAnsi="仿宋" w:cs="仿宋" w:hint="default"/>
          <w:kern w:val="0"/>
          <w:sz w:val="32"/>
          <w:szCs w:val="32"/>
          <w:lang w:val="en-US" w:eastAsia="zh-CN"/>
        </w:rPr>
        <w:t xml:space="preserve">年初预算数为2.50万元，决算数2.50万元,完成年初预算的100.00%，决算数与年初预算数不存在差异。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13.住房保障支出（类）住房改革支出（款）住房公积金（项）</w:t>
      </w:r>
      <w:r>
        <w:rPr>
          <w:rFonts w:ascii="仿宋" w:eastAsia="仿宋" w:hAnsi="仿宋" w:cs="仿宋" w:hint="default"/>
          <w:kern w:val="0"/>
          <w:sz w:val="32"/>
          <w:szCs w:val="32"/>
          <w:lang w:val="en-US" w:eastAsia="zh-CN"/>
        </w:rPr>
        <w:t xml:space="preserve">年初预算数为51.24万元，决算数49.37万元,完成年初预算的96.35%，决算数与年初预算数存在差异的主要原因是公积金基数变动，导致实际支出减少。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1124.25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其中：人员经费1000.11万元，主要包括：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公用经费124.14万元，主要包括：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、专用设备购置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19.80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19.80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19.80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19.80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19.80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19.80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主要用于车辆燃料费、维修费、保险费。</w:t>
      </w:r>
      <w:r>
        <w:rPr>
          <w:rFonts w:ascii="仿宋" w:eastAsia="仿宋" w:hAnsi="仿宋" w:cs="仿宋" w:hint="eastAsia"/>
          <w:kern w:val="0"/>
          <w:sz w:val="32"/>
          <w:szCs w:val="32"/>
          <w:lang w:val="en-US" w:eastAsia="zh-CN"/>
        </w:rPr>
        <w:t xml:space="preserve">2023年期末，部门开支财政拨款的公务用车保有量为</w:t>
      </w:r>
      <w:r>
        <w:rPr>
          <w:rFonts w:ascii="仿宋" w:eastAsia="仿宋" w:hAnsi="仿宋" w:cs="仿宋" w:hint="eastAsia"/>
          <w:kern w:val="2"/>
          <w:sz w:val="32"/>
          <w:szCs w:val="32"/>
          <w:lang w:val="en-US" w:eastAsia="zh-CN"/>
        </w:rPr>
        <w:t xml:space="preserve">5</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2023年度机关运行经费支出104.65万元，</w:t>
      </w:r>
      <w:r>
        <w:rPr>
          <w:rFonts w:ascii="仿宋" w:eastAsia="仿宋" w:hAnsi="仿宋" w:cs="仿宋" w:hint="eastAsia"/>
          <w:kern w:val="0"/>
          <w:sz w:val="32"/>
          <w:szCs w:val="32"/>
          <w:lang w:val="en-US" w:eastAsia="zh-CN"/>
        </w:rPr>
        <w:t xml:space="preserve">较2022年度增长0.75万元，</w:t>
      </w:r>
      <w:r>
        <w:rPr>
          <w:rFonts w:ascii="仿宋" w:eastAsia="仿宋" w:hAnsi="仿宋" w:cs="仿宋" w:hint="eastAsia"/>
          <w:kern w:val="0"/>
          <w:sz w:val="32"/>
          <w:szCs w:val="32"/>
          <w:lang w:val="en-US" w:eastAsia="zh-CN"/>
        </w:rPr>
        <w:t xml:space="preserve">增长0.72%，</w:t>
      </w:r>
      <w:r>
        <w:rPr>
          <w:rFonts w:ascii="仿宋" w:eastAsia="仿宋" w:hAnsi="仿宋" w:cs="仿宋" w:hint="eastAsia"/>
          <w:kern w:val="0"/>
          <w:sz w:val="32"/>
          <w:szCs w:val="32"/>
          <w:lang w:val="en-US" w:eastAsia="zh-CN"/>
        </w:rPr>
        <w:t xml:space="preserve">主要原因是以前年度需要支付资金在本年度支付。</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2023年期末，本部门共有车辆</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sz w:val="32"/>
          <w:szCs w:val="32"/>
        </w:rPr>
        <w:t xml:space="preserve">我部门对本部门</w:t>
      </w:r>
      <w:r>
        <w:rPr>
          <w:rFonts w:ascii="仿宋" w:eastAsia="仿宋" w:hAnsi="仿宋" w:cs="仿宋" w:hint="eastAsia"/>
          <w:kern w:val="0"/>
          <w:sz w:val="32"/>
          <w:szCs w:val="32"/>
          <w:lang w:val="en-US" w:eastAsia="zh-CN"/>
        </w:rPr>
        <w:t xml:space="preserve">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1.部门整体绩效自评。</w:t>
      </w:r>
      <w:r>
        <w:rPr>
          <w:rFonts w:ascii="仿宋" w:eastAsia="仿宋" w:hAnsi="仿宋" w:cs="仿宋" w:hint="eastAsia"/>
          <w:kern w:val="0"/>
          <w:sz w:val="32"/>
          <w:szCs w:val="32"/>
          <w:lang w:val="en-US" w:eastAsia="zh-CN"/>
        </w:rPr>
        <w:t xml:space="preserve">涉及预算资金</w:t>
      </w:r>
      <w:r>
        <w:rPr>
          <w:rFonts w:ascii="仿宋" w:eastAsia="仿宋" w:hAnsi="仿宋" w:cs="仿宋" w:hint="eastAsia"/>
          <w:kern w:val="0"/>
          <w:sz w:val="32"/>
          <w:szCs w:val="32"/>
          <w:lang w:val="en-US" w:eastAsia="zh-CN"/>
        </w:rPr>
        <w:t xml:space="preserve">1431.35</w:t>
      </w:r>
      <w:r>
        <w:rPr>
          <w:rFonts w:ascii="仿宋" w:eastAsia="仿宋" w:hAnsi="仿宋" w:cs="仿宋" w:hint="eastAsia"/>
          <w:kern w:val="0"/>
          <w:sz w:val="32"/>
          <w:szCs w:val="32"/>
          <w:lang w:val="en-US" w:eastAsia="zh-CN"/>
        </w:rPr>
        <w:t xml:space="preserve">万元。自评得分为</w:t>
      </w:r>
      <w:r>
        <w:rPr>
          <w:rFonts w:ascii="仿宋" w:eastAsia="仿宋" w:hAnsi="仿宋" w:cs="仿宋" w:hint="eastAsia"/>
          <w:kern w:val="0"/>
          <w:sz w:val="32"/>
          <w:szCs w:val="32"/>
          <w:lang w:val="en-US" w:eastAsia="zh-CN"/>
        </w:rPr>
        <w:t xml:space="preserve">99.78</w:t>
      </w:r>
      <w:r>
        <w:rPr>
          <w:rFonts w:ascii="仿宋" w:eastAsia="仿宋" w:hAnsi="仿宋" w:cs="仿宋" w:hint="eastAsia"/>
          <w:kern w:val="0"/>
          <w:sz w:val="32"/>
          <w:szCs w:val="32"/>
          <w:lang w:val="en-US" w:eastAsia="zh-CN"/>
        </w:rPr>
        <w:t xml:space="preserve">分，等级为“</w:t>
      </w:r>
      <w:r>
        <w:rPr>
          <w:rFonts w:ascii="仿宋" w:eastAsia="仿宋" w:hAnsi="仿宋" w:cs="仿宋" w:hint="eastAsia"/>
          <w:kern w:val="0"/>
          <w:sz w:val="32"/>
          <w:szCs w:val="32"/>
          <w:lang w:val="en-US" w:eastAsia="zh-CN"/>
        </w:rPr>
        <w:t xml:space="preserve">优</w:t>
      </w:r>
      <w:r>
        <w:rPr>
          <w:rFonts w:ascii="仿宋" w:eastAsia="仿宋" w:hAnsi="仿宋" w:cs="仿宋" w:hint="default"/>
          <w:kern w:val="0"/>
          <w:sz w:val="32"/>
          <w:szCs w:val="32"/>
          <w:lang w:val="en-US" w:eastAsia="zh-CN"/>
        </w:rPr>
        <w:t xml:space="preserve">”</w:t>
      </w:r>
      <w:r>
        <w:rPr>
          <w:rFonts w:ascii="仿宋" w:eastAsia="仿宋" w:hAnsi="仿宋" w:cs="仿宋" w:hint="eastAsia"/>
          <w:kern w:val="0"/>
          <w:sz w:val="32"/>
          <w:szCs w:val="32"/>
          <w:lang w:val="en-US" w:eastAsia="zh-CN"/>
        </w:rPr>
        <w:t xml:space="preserve">。从部门整体自评情况来看，</w:t>
      </w:r>
      <w:r>
        <w:rPr>
          <w:rFonts w:ascii="仿宋" w:eastAsia="仿宋" w:hAnsi="仿宋" w:cs="仿宋" w:hint="eastAsia"/>
          <w:kern w:val="0"/>
          <w:sz w:val="32"/>
          <w:szCs w:val="32"/>
          <w:lang w:val="en-US" w:eastAsia="zh-CN"/>
        </w:rPr>
        <w:t xml:space="preserve">我部门将按照上级部门要求，严格按照预算规定的资金用途开展绩效评价和监控，确保资金合理规范使用，确保项目绩效目标顺利完成，服务好本部门台胞台属维稳工作。严格履行预算绩效管理主体责任，以绩效目标为导向，做好绩效运行监控，提升绩效自评质量，不断提高绩效管理工作水平，充分发挥财政资金使用效益</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2.项目绩效自评。</w:t>
      </w:r>
      <w:bookmarkStart w:id="0" w:name="_GoBack"/>
      <w:bookmarkEnd w:id="0"/>
      <w:r>
        <w:rPr>
          <w:rFonts w:ascii="仿宋" w:eastAsia="仿宋" w:hAnsi="仿宋" w:cs="仿宋" w:hint="eastAsia"/>
          <w:kern w:val="0"/>
          <w:sz w:val="32"/>
          <w:szCs w:val="32"/>
          <w:lang w:val="en-US" w:eastAsia="zh-CN"/>
        </w:rPr>
        <w:t xml:space="preserve">基于项目预期目标的实现程度，我部门对2023年度部门预算项目支出（含部门参与分配的转移支付项目）开展绩效自评，涉及项目5个，项目金额127.87万元。其中：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全市综合平安建设暨政法工作服务精神文明创建专题片经费（结转本级资金），自评得分为100分，等级为“优”。本项目为按照省委、市委部署要求，为切实做好“三零”创建、“六防六促”等重要工作，全面展示平安许昌、法治许昌建设及政法工作服务精神文明创建成效。情况良好，目标基本完成</w:t>
        <w:br/>
        <w:t xml:space="preserve">    （2）市级综治专项经费（结转本级资金），自评得分为100分，等级为“优”。本项目为平安建设和社会综治工作顺利开展，营造了稳定的社会环境，人民群众的安全感和满意度不断提高。情况良好，目标基本完成。</w:t>
        <w:br/>
        <w:t xml:space="preserve">    （3）市级综治专项经费（第一批）自评得分为100分，等级为“优”。本项目为平安建设和社会综治工作顺利开展，营造了稳定的社会环境，人民群众的安全感和满意度不断提高。情况良好，目标基本完成。</w:t>
        <w:br/>
        <w:t xml:space="preserve">    （4）2023年许昌市派驻村第一书记补助经费（基本运转支出），自评得分为100分，等级为“优”预算执行情况良好，目标基本完成，本项目为驻村工作人员提供保障服务，确保了驻村帮扶工作顺利开展。</w:t>
        <w:br/>
        <w:t xml:space="preserve">    （5）派驻纪检组工作经费，自评得分为100分，等级为“优”本项目为购置派驻纪检组设备资金，自评结果较好，预算执行基本完成。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default"/>
          <w:kern w:val="2"/>
          <w:sz w:val="32"/>
          <w:szCs w:val="32"/>
          <w:lang w:val="en-US" w:eastAsia="zh-CN"/>
        </w:rPr>
        <w:t xml:space="preserve">从项目绩效自评情况来看，我部门对本部门整体绩效目标和项目支出绩效目标进行了自评。一是部门整体绩效自评情况，我部门本着清晰明确可量化、可实现的原则，切实结合我部门工作实际，使部门整体绩效评价指标具有较强的针对性，充分体现出我部门的工作的性质、工作内容和特点。根据绩效评价结果来看，绩效指标设定较为科学、合理，体现了针对性和可实现性。我部门严格按照部门预算和有关财务规定，合理列收（支）项目，重大和特殊事项做好事前市场调整。依据调查结论制定工作方案和支出金额，阻绝浪费和不合理支出。</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p>
    <w:tbl>
      <w:tblPr>
        <w:tblStyle w:val="NormalTable_9f9fd482-7d96-4fe3-ae99-cd713110ada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785"/>
        <w:gridCol w:w="961"/>
        <w:gridCol w:w="703"/>
        <w:gridCol w:w="583"/>
        <w:gridCol w:w="1587"/>
        <w:gridCol w:w="1012"/>
        <w:gridCol w:w="1288"/>
        <w:gridCol w:w="577"/>
        <w:gridCol w:w="666"/>
        <w:gridCol w:w="688"/>
        <w:gridCol w:w="700"/>
        <w:gridCol w:w="1132"/>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部门整体自评表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中共许昌市委政法委员会</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部门整体支出情况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1075.92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1431.35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1260.39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88.06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9.78</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1075.92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1413.94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1260.39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89.14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17.41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目标1：以安保维稳工作为主线，防范化解各类重大风险</w:t>
            </w:r>
            <w:r>
              <w:rPr/>
              <w:br/>
            </w:r>
            <w:r>
              <w:rPr>
                <w:rFonts w:ascii="宋体" w:eastAsia="宋体" w:hAnsi="宋体" w:cs="宋体"/>
                <w:i w:val="0"/>
                <w:iCs w:val="0"/>
                <w:color w:val="000000"/>
                <w:kern w:val="0"/>
                <w:sz w:val="18"/>
                <w:szCs w:val="18"/>
                <w:u w:val="none"/>
                <w:bdr w:val="none" w:sz="0" w:space="0" w:color="auto"/>
                <w:lang w:val="en-US" w:eastAsia="zh-CN"/>
              </w:rPr>
              <w:t xml:space="preserve">目标2：忠实履行维护国家政治安全和社会稳定的职责使命</w:t>
            </w:r>
            <w:r>
              <w:rPr/>
              <w:br/>
            </w:r>
            <w:r>
              <w:rPr>
                <w:rFonts w:ascii="宋体" w:eastAsia="宋体" w:hAnsi="宋体" w:cs="宋体"/>
                <w:i w:val="0"/>
                <w:iCs w:val="0"/>
                <w:color w:val="000000"/>
                <w:kern w:val="0"/>
                <w:sz w:val="18"/>
                <w:szCs w:val="18"/>
                <w:u w:val="none"/>
                <w:bdr w:val="none" w:sz="0" w:space="0" w:color="auto"/>
                <w:lang w:val="en-US" w:eastAsia="zh-CN"/>
              </w:rPr>
              <w:t xml:space="preserve">目标3：有力维护全市社会大局持续稳定，不断提升人民群众安全感和对政法工作的满意度</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营造了稳定的社会环境，平安建设与社会综治工作顺利开展，人民群众安全感和满意度不断提高。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任务1：推进“平安许昌”建设</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加大“平安建设”投入，持续推进“平安许昌”建设，保持我市工作的先进位次</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平安建设工作取得重大进步</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任务2：综治中心维护</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维持综治中心实体化运行</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综治中心进入规范运行</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重点工作1计划完成率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重点工作2计划完成率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年度工作目标1实现率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年度工作目标2实现率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持续提升中</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社会公众满意度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&gt;90%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&gt;90%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99.78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r>
    </w:tbl>
    <w:p>
      <w:pPr>
        <w:pStyle w:val="Normal_b6bb4010-67b4-46bc-9a1f-7af272216015"/>
        <w:sectPr>
          <w:pgSz w:w="11906" w:h="16838" w:orient="portrait"/>
          <w:pgMar w:top="720" w:right="720" w:bottom="720" w:left="720" w:header="851" w:footer="992" w:gutter="0"/>
          <w:cols w:num="1" w:space="425">
            <w:col w:w="10466" w:space="425"/>
          </w:cols>
          <w:docGrid w:type="lines" w:linePitch="312" w:charSpace="0"/>
        </w:sectPr>
      </w:pPr>
    </w:p>
    <w:tbl>
      <w:tblPr>
        <w:tblStyle w:val="NormalTable_9f9fd482-7d96-4fe3-ae99-cd713110ada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539"/>
        <w:gridCol w:w="633"/>
        <w:gridCol w:w="772"/>
        <w:gridCol w:w="1389"/>
        <w:gridCol w:w="1167"/>
        <w:gridCol w:w="1154"/>
        <w:gridCol w:w="697"/>
        <w:gridCol w:w="610"/>
        <w:gridCol w:w="876"/>
        <w:gridCol w:w="878"/>
        <w:gridCol w:w="754"/>
        <w:gridCol w:w="769"/>
        <w:gridCol w:w="222"/>
        <w:gridCol w:w="222"/>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全市综合平安建设暨政法工作服务精神文明创建专题片经费（结转本级资金）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中共许昌市委政法委员会</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中共许昌市委政法委员会</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nil"/>
              <w:left w:val="nil"/>
              <w:bottom w:val="nil"/>
              <w:right w:val="nil"/>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按照实际情况，统筹安排分配资金，确保资金分配符合工作需要。</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严格按照规定拨付资金。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完善资金管理制度，提高资金使用的透明度和规范性。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通过预算绩效管理工作，进一步提升了财政资金的使用效率，为当年预算调整和以后年度预算安排提高了依据。</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按照省委、市委部署要求，为切实做好“三零”创建、“六防六促”等重要工作，全面展示平安许昌、法治许昌建设及政法工作服务精神文明创建成效。</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充分彰显了我市“三零”创建、“六防六促”等重要工作成果，全面展示了平安许昌、法治许昌建设及政法工作服务精神文明创建成效。</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宣传制作经费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三零创建、六防六促、未成年人保护及预防电信诈骗工作参与单位数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103个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103个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三零创建、六防六促、未成年人保护及预防电信诈骗工作覆盖率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平安建设专项工作开展时间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提升人民群众安全感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公众安全感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shd w:val="clear" w:color="auto" w:fill="auto"/>
            <w:noWrap w:val="1"/>
            <w:vAlign w:val="center"/>
          </w:tcPr>
          <w:p>
            <w:pPr>
              <w:pStyle w:val="Normal_b6bb4010-67b4-46bc-9a1f-7af27221601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b6bb4010-67b4-46bc-9a1f-7af27221601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b6bb4010-67b4-46bc-9a1f-7af27221601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b6bb4010-67b4-46bc-9a1f-7af27221601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b6bb4010-67b4-46bc-9a1f-7af27221601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b6bb4010-67b4-46bc-9a1f-7af27221601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b6bb4010-67b4-46bc-9a1f-7af27221601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b6bb4010-67b4-46bc-9a1f-7af27221601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b6bb4010-67b4-46bc-9a1f-7af27221601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b6bb4010-67b4-46bc-9a1f-7af27221601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b6bb4010-67b4-46bc-9a1f-7af27221601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b6bb4010-67b4-46bc-9a1f-7af27221601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b6bb4010-67b4-46bc-9a1f-7af272216015"/>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shd w:val="clear" w:color="auto" w:fill="auto"/>
            <w:noWrap w:val="1"/>
            <w:vAlign w:val="center"/>
          </w:tcPr>
          <w:p>
            <w:pPr>
              <w:pStyle w:val="Normal_b6bb4010-67b4-46bc-9a1f-7af272216015"/>
              <w:rPr>
                <w:rFonts w:ascii="宋体" w:eastAsia="宋体" w:hAnsi="宋体" w:cs="宋体" w:hint="eastAsia"/>
                <w:i w:val="0"/>
                <w:iCs w:val="0"/>
                <w:color w:val="000000"/>
                <w:sz w:val="22"/>
                <w:szCs w:val="22"/>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市级综治专项经费（结转本级资金）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中共许昌市委政法委员会</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中共许昌市委政法委员会</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63.2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63.2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63.2</w:t>
            </w:r>
          </w:p>
        </w:tc>
        <w:tc>
          <w:tcPr>
            <w:tcW w:type="auto" w:w="0"/>
            <w:tcBorders>
              <w:top w:val="nil"/>
              <w:left w:val="nil"/>
              <w:bottom w:val="nil"/>
              <w:right w:val="nil"/>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63.2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63.2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63.2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按照实际情况，统筹安排分配资金，确保资金分配符合工作需要。</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严格按照规定拨付资金。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完善资金管理制度，提高资金使用的透明度和规范性。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通过预算绩效管理工作，进一步提升了财政资金使用效率，为当年预算调整和以后年度预算安排提供了依据。</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3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目标1：保证社会治安综合治理和平安建设基层基础建设，大力推进社会治安防控体系建设。</w:t>
            </w:r>
            <w:r>
              <w:rPr/>
              <w:br/>
            </w:r>
            <w:r>
              <w:rPr>
                <w:rFonts w:ascii="宋体" w:eastAsia="宋体" w:hAnsi="宋体" w:cs="宋体"/>
                <w:i w:val="0"/>
                <w:iCs w:val="0"/>
                <w:color w:val="000000"/>
                <w:kern w:val="0"/>
                <w:sz w:val="18"/>
                <w:szCs w:val="18"/>
                <w:u w:val="none"/>
                <w:bdr w:val="none" w:sz="0" w:space="0" w:color="auto"/>
                <w:lang w:val="en-US" w:eastAsia="zh-CN"/>
              </w:rPr>
              <w:t xml:space="preserve">目标2：营造稳定的社会环境、不断提高人民群众的安全感和满意度。</w:t>
            </w:r>
            <w:r>
              <w:rPr/>
              <w:br/>
            </w:r>
            <w:r>
              <w:rPr>
                <w:rFonts w:ascii="宋体" w:eastAsia="宋体" w:hAnsi="宋体" w:cs="宋体"/>
                <w:i w:val="0"/>
                <w:iCs w:val="0"/>
                <w:color w:val="000000"/>
                <w:kern w:val="0"/>
                <w:sz w:val="18"/>
                <w:szCs w:val="18"/>
                <w:u w:val="none"/>
                <w:bdr w:val="none" w:sz="0" w:space="0" w:color="auto"/>
                <w:lang w:val="en-US" w:eastAsia="zh-CN"/>
              </w:rPr>
              <w:t xml:space="preserve">目标3：努力建设更高水平的平安许昌、法治许昌，不断谱写许昌经济社会繁荣稳定新篇章。</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平安建设和社会综治工作顺利开展，营造了稳定的社会环境，人民群众的安全感和满意度不断提高。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市级综治专项经费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63.2万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63.2万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信访维稳处理信访遗留问题人数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三零创建、六防六促、未成年人保护及预防电信诈骗工作参与单位数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103个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103个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二十大维稳安保参与单位数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92个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92个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重复信访积案化解率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≥72.02%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基层社会治理十万人命案发案率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&lt;0.639%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三零创建、六防六促、未成年人保护及预防电信诈骗工作覆盖率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社会综治专项工作开展时间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打造平安许昌、法治许昌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提升人民群众安全感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4"/>
            <w:tcBorders>
              <w:top w:val="nil"/>
              <w:left w:val="nil"/>
              <w:bottom w:val="nil"/>
              <w:right w:val="nil"/>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市级综治专项经费（第一批）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中共许昌市委政法委员会</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中共许昌市委政法委员会</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50.18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50.18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50.18</w:t>
            </w:r>
          </w:p>
        </w:tc>
        <w:tc>
          <w:tcPr>
            <w:tcW w:type="auto" w:w="0"/>
            <w:tcBorders>
              <w:top w:val="nil"/>
              <w:left w:val="nil"/>
              <w:bottom w:val="nil"/>
              <w:right w:val="nil"/>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50.18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50.18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50.18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按照实际情况，统筹安排分配资金，确保资金分配符合工作需要。</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严格按照规定拨付资金。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完善资金管理制度，提高资金使用的透明度和规范性。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通过预算绩效管理工作，进一步提升了财政资金使用效率，为当年预算调整和以后年度预算安排提供了依据。</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目标1：保证社会治安综合治理和平安建设基层基础建设，大力推进社会治安防控体系建设。</w:t>
            </w:r>
            <w:r>
              <w:rPr/>
              <w:br/>
            </w:r>
            <w:r>
              <w:rPr>
                <w:rFonts w:ascii="宋体" w:eastAsia="宋体" w:hAnsi="宋体" w:cs="宋体"/>
                <w:i w:val="0"/>
                <w:iCs w:val="0"/>
                <w:color w:val="000000"/>
                <w:kern w:val="0"/>
                <w:sz w:val="18"/>
                <w:szCs w:val="18"/>
                <w:u w:val="none"/>
                <w:bdr w:val="none" w:sz="0" w:space="0" w:color="auto"/>
                <w:lang w:val="en-US" w:eastAsia="zh-CN"/>
              </w:rPr>
              <w:t xml:space="preserve">目标2：营造稳定的社会环境、不断提高人民群众的安全感和满意度。</w:t>
            </w:r>
            <w:r>
              <w:rPr/>
              <w:br/>
            </w:r>
            <w:r>
              <w:rPr>
                <w:rFonts w:ascii="宋体" w:eastAsia="宋体" w:hAnsi="宋体" w:cs="宋体"/>
                <w:i w:val="0"/>
                <w:iCs w:val="0"/>
                <w:color w:val="000000"/>
                <w:kern w:val="0"/>
                <w:sz w:val="18"/>
                <w:szCs w:val="18"/>
                <w:u w:val="none"/>
                <w:bdr w:val="none" w:sz="0" w:space="0" w:color="auto"/>
                <w:lang w:val="en-US" w:eastAsia="zh-CN"/>
              </w:rPr>
              <w:t xml:space="preserve">目标3：努力建设更高水平的平安许昌、法治许昌，不断谱写许昌经济社会繁荣稳定新篇章。</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平安建设和社会综治工作顺利开展，营造了稳定的社会环境，人民群众的安全感和满意度不断提高。</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市级综治专项经费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50.18万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50.18万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信访维稳处理信访遗留问题人数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三零创建、六防六促、未成年人保护及预防电信诈骗工作参与单位数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103个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103个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二十大维稳安保参与单位数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92个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92个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重复信访积案化解率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≥72.02%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基层社会治理十万人命案发案率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&lt;0.639%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三零创建、六防六促、未成年人保护及预防电信诈骗工作覆盖率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社会综治专项工作开展时间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打造平安许昌、法治许昌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提升人民群众安全感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4"/>
            <w:tcBorders>
              <w:top w:val="nil"/>
              <w:left w:val="nil"/>
              <w:bottom w:val="nil"/>
              <w:right w:val="nil"/>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2023年许昌市派驻村第一书记补助经费（基本运转支出）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中共许昌市委政法委员会</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中共许昌市委政法委员会</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nil"/>
              <w:left w:val="nil"/>
              <w:bottom w:val="nil"/>
              <w:right w:val="nil"/>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严格按照转移支付管理支付以及资金管理办法规定的范围和标准分配资金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严格按照国库集中支付支付有关规定支付资金，未出现违规将资金从国库转入财政专户霍支付到预算单位实有资金账户</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严格按照上级下达和本级预算安排的金额执行，不存在执行数偏离预算数偏多的问题。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在细化下达预算时同步下达绩效目标，将有关资金纳入本级预算或对下转移支付绩效管理，开展绩效监控和绩效评价。</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目标1：为驻村工作人员提供保障服务，确保了驻村帮扶工作顺利开展。</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为驻村工作人员提供保障服务，确保了驻村帮扶工作顺利开展。</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保障驻村工作人员日常运行维护、工作津补贴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为驻村工作人员提供工作经费和待遇保障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严格执行相关财经法规、制度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完成资金分配、审核和支付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大力推动强村富民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影响明显</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影响明显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践行为民服务，落实党的惠民政策</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4"/>
            <w:tcBorders>
              <w:top w:val="nil"/>
              <w:left w:val="nil"/>
              <w:bottom w:val="nil"/>
              <w:right w:val="nil"/>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b6bb4010-67b4-46bc-9a1f-7af272216015"/>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派驻纪检组工作经费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中共许昌市委政法委员会</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中共许昌市委政法委员会</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w:t>
            </w:r>
          </w:p>
        </w:tc>
        <w:tc>
          <w:tcPr>
            <w:tcW w:type="auto" w:w="0"/>
            <w:tcBorders>
              <w:top w:val="nil"/>
              <w:left w:val="nil"/>
              <w:bottom w:val="nil"/>
              <w:right w:val="nil"/>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按照要求，科学谋划和执行项目</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项目拨付合规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严格按照资金管理有关要求，确保了资金使用规范。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严格按照预算绩效的要求，项目落实事中、事后绩效管理。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2022年需置办派驻纪检组内网设备一套</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2022年已置办派驻纪检组内网设备一套</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购置设备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办公设备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≤1套</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购置办公设备，提升办公效率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1.99万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派驻纪检组办公满意度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b6bb4010-67b4-46bc-9a1f-7af272216015"/>
              <w:jc w:val="center"/>
              <w:rPr>
                <w:rFonts w:ascii="宋体" w:eastAsia="宋体" w:hAnsi="宋体" w:cs="宋体" w:hint="eastAsia"/>
                <w:i w:val="0"/>
                <w:iCs w:val="0"/>
                <w:color w:val="000000"/>
                <w:sz w:val="18"/>
                <w:szCs w:val="18"/>
                <w:u w:val="none"/>
              </w:rPr>
            </w:pPr>
          </w:p>
        </w:tc>
      </w:tr>
    </w:tbl>
    <w:p>
      <w:pPr>
        <w:pStyle w:val="Normal_b6bb4010-67b4-46bc-9a1f-7af272216015"/>
        <w:sectPr>
          <w:pgSz w:w="11906" w:h="16838" w:orient="portrait"/>
          <w:pgMar w:top="720" w:right="720" w:bottom="720" w:left="720" w:header="851" w:footer="992" w:gutter="0"/>
          <w:cols w:num="1" w:space="425">
            <w:col w:w="10466"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7"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123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b6bb4010-67b4-46bc-9a1f-7af272216015">
    <w:name w:val="Normal_b6bb4010-67b4-46bc-9a1f-7af272216015"/>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9f9fd482-7d96-4fe3-ae99-cd713110ada7">
    <w:name w:val="Normal Table_9f9fd482-7d96-4fe3-ae99-cd713110ada7"/>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44</Pages>
  <Words>6696</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