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N w:val="0"/>
        <w:autoSpaceDE w:val="0"/>
        <w:widowControl/>
        <w:spacing w:line="220" w:lineRule="exact" w:before="4438" w:after="0"/>
        <w:ind w:left="0" w:right="0"/>
      </w:pPr>
    </w:p>
    <w:p>
      <w:pPr>
        <w:autoSpaceDN w:val="0"/>
        <w:autoSpaceDE w:val="0"/>
        <w:widowControl/>
        <w:spacing w:line="520" w:lineRule="exact" w:before="0" w:after="0"/>
        <w:ind w:left="0" w:right="0" w:firstLine="0"/>
        <w:jc w:val="center"/>
      </w:pPr>
      <w:r>
        <w:rPr>
          <w:rFonts w:ascii="X9K8VEFC+SimHei" w:hAnsi="X9K8VEFC+SimHei" w:eastAsia="X9K8VEFC+SimHei"/>
          <w:color w:val="000000"/>
          <w:sz w:val="52"/>
        </w:rPr>
        <w:t>2024</w:t>
      </w:r>
      <w:r>
        <w:rPr>
          <w:rFonts w:ascii="36YvJHM7+SimHei" w:hAnsi="36YvJHM7+SimHei" w:eastAsia="36YvJHM7+SimHei"/>
          <w:color w:val="000000"/>
          <w:sz w:val="52"/>
        </w:rPr>
        <w:t>年度</w:t>
      </w:r>
    </w:p>
    <w:p>
      <w:pPr>
        <w:autoSpaceDN w:val="0"/>
        <w:autoSpaceDE w:val="0"/>
        <w:widowControl/>
        <w:spacing w:line="520" w:lineRule="exact" w:before="430" w:after="0"/>
        <w:ind w:left="0" w:right="0" w:firstLine="0"/>
        <w:jc w:val="center"/>
      </w:pPr>
      <w:r>
        <w:rPr>
          <w:rFonts w:ascii="36YvJHM7+SimHei" w:hAnsi="36YvJHM7+SimHei" w:eastAsia="36YvJHM7+SimHei"/>
          <w:color w:val="000000"/>
          <w:sz w:val="52"/>
        </w:rPr>
        <w:t>许昌市职业技能等级评价中心单位决</w:t>
      </w:r>
    </w:p>
    <w:p>
      <w:pPr>
        <w:autoSpaceDN w:val="0"/>
        <w:autoSpaceDE w:val="0"/>
        <w:widowControl/>
        <w:spacing w:line="520" w:lineRule="exact" w:before="432" w:after="0"/>
        <w:ind w:left="0" w:right="0" w:firstLine="0"/>
        <w:jc w:val="center"/>
      </w:pPr>
      <w:r>
        <w:rPr>
          <w:rFonts w:ascii="36YvJHM7+SimHei" w:hAnsi="36YvJHM7+SimHei" w:eastAsia="36YvJHM7+SimHei"/>
          <w:color w:val="000000"/>
          <w:sz w:val="52"/>
        </w:rPr>
        <w:t>算</w:t>
      </w:r>
    </w:p>
    <w:p>
      <w:pPr>
        <w:autoSpaceDN w:val="0"/>
        <w:autoSpaceDE w:val="0"/>
        <w:widowControl/>
        <w:spacing w:line="320" w:lineRule="exact" w:before="6076" w:after="0"/>
        <w:ind w:left="0" w:right="0" w:firstLine="0"/>
        <w:jc w:val="center"/>
      </w:pPr>
      <w:r>
        <w:rPr>
          <w:rFonts w:ascii="36YvJHM7+SimHei" w:hAnsi="36YvJHM7+SimHei" w:eastAsia="36YvJHM7+SimHei"/>
          <w:color w:val="000000"/>
          <w:sz w:val="32"/>
        </w:rPr>
        <w:t>二〇二五年九月</w:t>
      </w:r>
    </w:p>
    <w:p>
      <w:pPr>
        <w:sectPr>
          <w:pgSz w:w="11906" w:h="17238"/>
          <w:pgMar w:top="1440" w:right="1440" w:bottom="962" w:left="1440" w:header="720" w:footer="720" w:gutter="0"/>
          <w:cols w:num="1" w:equalWidth="0" w:space="720">
            <w:col w:w="9026" w:space="0"/>
          </w:cols>
          <w:docGrid w:linePitch="360"/>
        </w:sectPr>
      </w:pPr>
    </w:p>
    <w:p>
      <w:pPr>
        <w:autoSpaceDN w:val="0"/>
        <w:autoSpaceDE w:val="0"/>
        <w:widowControl/>
        <w:spacing w:line="220" w:lineRule="exact" w:before="566" w:after="0"/>
        <w:ind w:left="0" w:right="0"/>
      </w:pPr>
    </w:p>
    <w:p>
      <w:pPr>
        <w:autoSpaceDN w:val="0"/>
        <w:autoSpaceDE w:val="0"/>
        <w:widowControl/>
        <w:spacing w:line="360" w:lineRule="exact" w:before="0" w:after="0"/>
        <w:ind w:left="0" w:right="0" w:firstLine="0"/>
        <w:jc w:val="center"/>
      </w:pPr>
      <w:r>
        <w:rPr>
          <w:rFonts w:ascii="36YvJHM7+SimHei" w:hAnsi="36YvJHM7+SimHei" w:eastAsia="36YvJHM7+SimHei"/>
          <w:color w:val="000000"/>
          <w:sz w:val="36"/>
        </w:rPr>
        <w:t>目</w:t>
      </w:r>
      <w:r>
        <w:rPr>
          <w:rFonts w:ascii="X9K8VEFC+SimHei" w:hAnsi="X9K8VEFC+SimHei" w:eastAsia="X9K8VEFC+SimHei"/>
          <w:color w:val="000000"/>
          <w:sz w:val="36"/>
        </w:rPr>
        <w:t xml:space="preserve">  </w:t>
      </w:r>
      <w:r>
        <w:rPr>
          <w:rFonts w:ascii="36YvJHM7+SimHei" w:hAnsi="36YvJHM7+SimHei" w:eastAsia="36YvJHM7+SimHei"/>
          <w:color w:val="000000"/>
          <w:sz w:val="36"/>
        </w:rPr>
        <w:t>录</w:t>
      </w:r>
    </w:p>
    <w:p>
      <w:pPr>
        <w:autoSpaceDN w:val="0"/>
        <w:tabs>
          <w:tab w:pos="1000" w:val="left"/>
        </w:tabs>
        <w:autoSpaceDE w:val="0"/>
        <w:widowControl/>
        <w:spacing w:line="614" w:lineRule="exact" w:before="0" w:after="0"/>
        <w:ind w:left="360" w:right="2160" w:firstLine="0"/>
        <w:jc w:val="left"/>
      </w:pPr>
      <w:r>
        <w:rPr>
          <w:rFonts w:ascii="36YvJHM7+SimHei" w:hAnsi="36YvJHM7+SimHei" w:eastAsia="36YvJHM7+SimHei"/>
          <w:color w:val="000000"/>
          <w:sz w:val="32"/>
        </w:rPr>
        <w:t>第一部分</w:t>
      </w:r>
      <w:r>
        <w:rPr>
          <w:rFonts w:ascii="X9K8VEFC+SimHei" w:hAnsi="X9K8VEFC+SimHei" w:eastAsia="X9K8VEFC+SimHei"/>
          <w:color w:val="000000"/>
          <w:sz w:val="32"/>
        </w:rPr>
        <w:t xml:space="preserve">  </w:t>
      </w:r>
      <w:r>
        <w:rPr>
          <w:rFonts w:ascii="36YvJHM7+SimHei" w:hAnsi="36YvJHM7+SimHei" w:eastAsia="36YvJHM7+SimHei"/>
          <w:color w:val="000000"/>
          <w:sz w:val="32"/>
        </w:rPr>
        <w:t>许昌市职业技能等级评价中心概况</w:t>
      </w:r>
      <w:r>
        <w:tab/>
      </w:r>
      <w:r>
        <w:rPr>
          <w:rFonts w:ascii="EAFpapsV+SimSun" w:hAnsi="EAFpapsV+SimSun" w:eastAsia="EAFpapsV+SimSun"/>
          <w:color w:val="000000"/>
          <w:sz w:val="32"/>
        </w:rPr>
        <w:t>一、单位职责</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二、机构设置</w:t>
      </w:r>
    </w:p>
    <w:p>
      <w:pPr>
        <w:autoSpaceDN w:val="0"/>
        <w:autoSpaceDE w:val="0"/>
        <w:widowControl/>
        <w:spacing w:line="320" w:lineRule="exact" w:before="304" w:after="0"/>
        <w:ind w:left="360" w:right="0" w:firstLine="0"/>
        <w:jc w:val="left"/>
      </w:pPr>
      <w:r>
        <w:rPr>
          <w:rFonts w:ascii="36YvJHM7+SimHei" w:hAnsi="36YvJHM7+SimHei" w:eastAsia="36YvJHM7+SimHei"/>
          <w:color w:val="000000"/>
          <w:sz w:val="32"/>
        </w:rPr>
        <w:t>第二部分</w:t>
      </w:r>
      <w:r>
        <w:rPr>
          <w:rFonts w:ascii="X9K8VEFC+SimHei" w:hAnsi="X9K8VEFC+SimHei" w:eastAsia="X9K8VEFC+SimHei"/>
          <w:color w:val="000000"/>
          <w:sz w:val="32"/>
        </w:rPr>
        <w:t xml:space="preserve">  2024</w:t>
      </w:r>
      <w:r>
        <w:rPr>
          <w:rFonts w:ascii="36YvJHM7+SimHei" w:hAnsi="36YvJHM7+SimHei" w:eastAsia="36YvJHM7+SimHei"/>
          <w:color w:val="000000"/>
          <w:sz w:val="32"/>
        </w:rPr>
        <w:t>年度单位决算表</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一、收入支出决算总表</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二、收入决算表</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三、支出决算表</w:t>
      </w:r>
    </w:p>
    <w:p>
      <w:pPr>
        <w:autoSpaceDN w:val="0"/>
        <w:tabs>
          <w:tab w:pos="1000" w:val="left"/>
        </w:tabs>
        <w:autoSpaceDE w:val="0"/>
        <w:widowControl/>
        <w:spacing w:line="624" w:lineRule="exact" w:before="0" w:after="0"/>
        <w:ind w:left="360" w:right="576" w:firstLine="0"/>
        <w:jc w:val="left"/>
      </w:pPr>
      <w:r>
        <w:tab/>
      </w:r>
      <w:r>
        <w:rPr>
          <w:rFonts w:ascii="EAFpapsV+SimSun" w:hAnsi="EAFpapsV+SimSun" w:eastAsia="EAFpapsV+SimSun"/>
          <w:color w:val="000000"/>
          <w:sz w:val="32"/>
        </w:rPr>
        <w:t>四、财政拨款收入支出决算总表</w:t>
      </w:r>
      <w:r>
        <w:br/>
      </w:r>
      <w:r>
        <w:tab/>
      </w:r>
      <w:r>
        <w:rPr>
          <w:rFonts w:ascii="EAFpapsV+SimSun" w:hAnsi="EAFpapsV+SimSun" w:eastAsia="EAFpapsV+SimSun"/>
          <w:color w:val="000000"/>
          <w:sz w:val="32"/>
        </w:rPr>
        <w:t>五、一般公共预算财政拨款支出决算表</w:t>
      </w:r>
      <w:r>
        <w:br/>
      </w:r>
      <w:r>
        <w:tab/>
      </w:r>
      <w:r>
        <w:rPr>
          <w:rFonts w:ascii="EAFpapsV+SimSun" w:hAnsi="EAFpapsV+SimSun" w:eastAsia="EAFpapsV+SimSun"/>
          <w:color w:val="000000"/>
          <w:sz w:val="32"/>
        </w:rPr>
        <w:t>六、一般公共预算财政拨款基本支出决算明细表</w:t>
      </w:r>
      <w:r>
        <w:tab/>
      </w:r>
      <w:r>
        <w:rPr>
          <w:rFonts w:ascii="EAFpapsV+SimSun" w:hAnsi="EAFpapsV+SimSun" w:eastAsia="EAFpapsV+SimSun"/>
          <w:color w:val="000000"/>
          <w:sz w:val="32"/>
        </w:rPr>
        <w:t>七、政府性基金预算财政拨款收入支出决算表</w:t>
      </w:r>
      <w:r>
        <w:br/>
      </w:r>
      <w:r>
        <w:tab/>
      </w:r>
      <w:r>
        <w:rPr>
          <w:rFonts w:ascii="EAFpapsV+SimSun" w:hAnsi="EAFpapsV+SimSun" w:eastAsia="EAFpapsV+SimSun"/>
          <w:color w:val="000000"/>
          <w:sz w:val="32"/>
        </w:rPr>
        <w:t>八、国有资本经营预算财政拨款支出决算表</w:t>
      </w:r>
      <w:r>
        <w:br/>
      </w:r>
      <w:r>
        <w:tab/>
      </w:r>
      <w:r>
        <w:rPr>
          <w:rFonts w:ascii="EAFpapsV+SimSun" w:hAnsi="EAFpapsV+SimSun" w:eastAsia="EAFpapsV+SimSun"/>
          <w:color w:val="000000"/>
          <w:sz w:val="32"/>
        </w:rPr>
        <w:t>九、一般公共预算财政拨款“三公”经费支出决算表</w:t>
      </w:r>
      <w:r>
        <w:rPr>
          <w:rFonts w:ascii="36YvJHM7+SimHei" w:hAnsi="36YvJHM7+SimHei" w:eastAsia="36YvJHM7+SimHei"/>
          <w:color w:val="000000"/>
          <w:sz w:val="32"/>
        </w:rPr>
        <w:t>第三部分</w:t>
      </w:r>
      <w:r>
        <w:rPr>
          <w:rFonts w:ascii="X9K8VEFC+SimHei" w:hAnsi="X9K8VEFC+SimHei" w:eastAsia="X9K8VEFC+SimHei"/>
          <w:color w:val="000000"/>
          <w:sz w:val="32"/>
        </w:rPr>
        <w:t xml:space="preserve">  2024</w:t>
      </w:r>
      <w:r>
        <w:rPr>
          <w:rFonts w:ascii="36YvJHM7+SimHei" w:hAnsi="36YvJHM7+SimHei" w:eastAsia="36YvJHM7+SimHei"/>
          <w:color w:val="000000"/>
          <w:sz w:val="32"/>
        </w:rPr>
        <w:t>年度单位决算情况说明</w:t>
      </w:r>
      <w:r>
        <w:br/>
      </w:r>
      <w:r>
        <w:tab/>
      </w:r>
      <w:r>
        <w:rPr>
          <w:rFonts w:ascii="EAFpapsV+SimSun" w:hAnsi="EAFpapsV+SimSun" w:eastAsia="EAFpapsV+SimSun"/>
          <w:color w:val="000000"/>
          <w:sz w:val="32"/>
        </w:rPr>
        <w:t>一、收入支出决算总体情况说明</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二、收入决算情况说明</w:t>
      </w:r>
    </w:p>
    <w:p>
      <w:pPr>
        <w:autoSpaceDN w:val="0"/>
        <w:autoSpaceDE w:val="0"/>
        <w:widowControl/>
        <w:spacing w:line="624" w:lineRule="exact" w:before="0" w:after="0"/>
        <w:ind w:left="1000" w:right="864" w:firstLine="0"/>
        <w:jc w:val="left"/>
      </w:pPr>
      <w:r>
        <w:rPr>
          <w:rFonts w:ascii="EAFpapsV+SimSun" w:hAnsi="EAFpapsV+SimSun" w:eastAsia="EAFpapsV+SimSun"/>
          <w:color w:val="000000"/>
          <w:sz w:val="32"/>
        </w:rPr>
        <w:t>三、支出决算情况说明</w:t>
      </w:r>
      <w:r>
        <w:br/>
      </w:r>
      <w:r>
        <w:rPr>
          <w:rFonts w:ascii="EAFpapsV+SimSun" w:hAnsi="EAFpapsV+SimSun" w:eastAsia="EAFpapsV+SimSun"/>
          <w:color w:val="000000"/>
          <w:sz w:val="32"/>
        </w:rPr>
        <w:t>四、财政拨款收入支出决算总体情况说明</w:t>
      </w:r>
      <w:r>
        <w:br/>
      </w:r>
      <w:r>
        <w:rPr>
          <w:rFonts w:ascii="EAFpapsV+SimSun" w:hAnsi="EAFpapsV+SimSun" w:eastAsia="EAFpapsV+SimSun"/>
          <w:color w:val="000000"/>
          <w:sz w:val="32"/>
        </w:rPr>
        <w:t>五、一般公共预算财政拨款支出决算情况说明</w:t>
      </w:r>
      <w:r>
        <w:rPr>
          <w:rFonts w:ascii="EAFpapsV+SimSun" w:hAnsi="EAFpapsV+SimSun" w:eastAsia="EAFpapsV+SimSun"/>
          <w:color w:val="000000"/>
          <w:sz w:val="32"/>
        </w:rPr>
        <w:t>六、一般公共预算财政拨款基本支出决算情况说明</w:t>
      </w:r>
      <w:r>
        <w:rPr>
          <w:rFonts w:ascii="EAFpapsV+SimSun" w:hAnsi="EAFpapsV+SimSun" w:eastAsia="EAFpapsV+SimSun"/>
          <w:color w:val="000000"/>
          <w:sz w:val="32"/>
        </w:rPr>
        <w:t>七、政府性基金预算财政拨款支出决算情况说明</w:t>
      </w:r>
    </w:p>
    <w:p>
      <w:pPr>
        <w:autoSpaceDN w:val="0"/>
        <w:autoSpaceDE w:val="0"/>
        <w:widowControl/>
        <w:spacing w:line="200" w:lineRule="exact" w:before="900" w:after="0"/>
        <w:ind w:left="0" w:right="0" w:firstLine="0"/>
        <w:jc w:val="center"/>
      </w:pPr>
      <w:r>
        <w:rPr>
          <w:rFonts w:ascii="Ap9kiCzR+TimesNewRomanPSMT" w:hAnsi="Ap9kiCzR+TimesNewRomanPSMT" w:eastAsia="Ap9kiCzR+TimesNewRomanPSMT"/>
          <w:color w:val="000000"/>
          <w:sz w:val="18"/>
        </w:rPr>
        <w:t>- 2 -</w:t>
      </w:r>
    </w:p>
    <w:p>
      <w:pPr>
        <w:sectPr>
          <w:pgSz w:w="11906" w:h="17238"/>
          <w:pgMar w:top="788" w:right="1440" w:bottom="360" w:left="1440" w:header="720" w:footer="720" w:gutter="0"/>
          <w:cols w:num="1" w:equalWidth="0" w:space="720">
            <w:col w:w="9026" w:space="0"/>
          </w:cols>
          <w:docGrid w:linePitch="360"/>
        </w:sectPr>
      </w:pPr>
    </w:p>
    <w:p>
      <w:pPr>
        <w:autoSpaceDN w:val="0"/>
        <w:autoSpaceDE w:val="0"/>
        <w:widowControl/>
        <w:spacing w:line="220" w:lineRule="exact" w:before="576" w:after="0"/>
        <w:ind w:left="0" w:right="0"/>
      </w:pPr>
    </w:p>
    <w:p>
      <w:pPr>
        <w:autoSpaceDN w:val="0"/>
        <w:tabs>
          <w:tab w:pos="1000" w:val="left"/>
        </w:tabs>
        <w:autoSpaceDE w:val="0"/>
        <w:widowControl/>
        <w:spacing w:line="522" w:lineRule="exact" w:before="0" w:after="0"/>
        <w:ind w:left="360" w:right="288" w:firstLine="0"/>
        <w:jc w:val="left"/>
      </w:pPr>
      <w:r>
        <w:tab/>
      </w:r>
      <w:r>
        <w:rPr>
          <w:rFonts w:ascii="EAFpapsV+SimSun" w:hAnsi="EAFpapsV+SimSun" w:eastAsia="EAFpapsV+SimSun"/>
          <w:color w:val="000000"/>
          <w:sz w:val="32"/>
        </w:rPr>
        <w:t>八、国有资本经营预算财政拨款支出决算情况说明</w:t>
      </w:r>
      <w:r>
        <w:tab/>
      </w:r>
      <w:r>
        <w:rPr>
          <w:rFonts w:ascii="EAFpapsV+SimSun" w:hAnsi="EAFpapsV+SimSun" w:eastAsia="EAFpapsV+SimSun"/>
          <w:color w:val="000000"/>
          <w:sz w:val="32"/>
        </w:rPr>
        <w:t>九、一般公共预算财政拨款“三公”经费支出决算情况</w:t>
      </w:r>
      <w:r>
        <w:rPr>
          <w:rFonts w:ascii="EAFpapsV+SimSun" w:hAnsi="EAFpapsV+SimSun" w:eastAsia="EAFpapsV+SimSun"/>
          <w:color w:val="000000"/>
          <w:sz w:val="32"/>
        </w:rPr>
        <w:t>说明</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十、机关运行经费支出情况说明</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十一、政府采购支出情况说明</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十二、国有资产占用情况说明</w:t>
      </w:r>
    </w:p>
    <w:p>
      <w:pPr>
        <w:autoSpaceDN w:val="0"/>
        <w:autoSpaceDE w:val="0"/>
        <w:widowControl/>
        <w:spacing w:line="320" w:lineRule="exact" w:before="304" w:after="0"/>
        <w:ind w:left="1000" w:right="0" w:firstLine="0"/>
        <w:jc w:val="left"/>
      </w:pPr>
      <w:r>
        <w:rPr>
          <w:rFonts w:ascii="EAFpapsV+SimSun" w:hAnsi="EAFpapsV+SimSun" w:eastAsia="EAFpapsV+SimSun"/>
          <w:color w:val="000000"/>
          <w:sz w:val="32"/>
        </w:rPr>
        <w:t>十三、预算绩效情况说明</w:t>
      </w:r>
    </w:p>
    <w:p>
      <w:pPr>
        <w:autoSpaceDN w:val="0"/>
        <w:autoSpaceDE w:val="0"/>
        <w:widowControl/>
        <w:spacing w:line="320" w:lineRule="exact" w:before="304" w:after="0"/>
        <w:ind w:left="360" w:right="0" w:firstLine="0"/>
        <w:jc w:val="left"/>
      </w:pPr>
      <w:r>
        <w:rPr>
          <w:rFonts w:ascii="36YvJHM7+SimHei" w:hAnsi="36YvJHM7+SimHei" w:eastAsia="36YvJHM7+SimHei"/>
          <w:color w:val="000000"/>
          <w:sz w:val="32"/>
        </w:rPr>
        <w:t>第四部分</w:t>
      </w:r>
      <w:r>
        <w:rPr>
          <w:rFonts w:ascii="X9K8VEFC+SimHei" w:hAnsi="X9K8VEFC+SimHei" w:eastAsia="X9K8VEFC+SimHei"/>
          <w:color w:val="000000"/>
          <w:sz w:val="32"/>
        </w:rPr>
        <w:t xml:space="preserve">  </w:t>
      </w:r>
      <w:r>
        <w:rPr>
          <w:rFonts w:ascii="36YvJHM7+SimHei" w:hAnsi="36YvJHM7+SimHei" w:eastAsia="36YvJHM7+SimHei"/>
          <w:color w:val="000000"/>
          <w:sz w:val="32"/>
        </w:rPr>
        <w:t>名词解释</w:t>
      </w:r>
    </w:p>
    <w:p>
      <w:pPr>
        <w:autoSpaceDN w:val="0"/>
        <w:autoSpaceDE w:val="0"/>
        <w:widowControl/>
        <w:spacing w:line="200" w:lineRule="exact" w:before="9636" w:after="0"/>
        <w:ind w:left="0" w:right="0" w:firstLine="0"/>
        <w:jc w:val="center"/>
      </w:pPr>
      <w:r>
        <w:rPr>
          <w:rFonts w:ascii="Ap9kiCzR+TimesNewRomanPSMT" w:hAnsi="Ap9kiCzR+TimesNewRomanPSMT" w:eastAsia="Ap9kiCzR+TimesNewRomanPSMT"/>
          <w:color w:val="000000"/>
          <w:sz w:val="18"/>
        </w:rPr>
        <w:t>- 3 -</w:t>
      </w:r>
    </w:p>
    <w:p>
      <w:pPr>
        <w:sectPr>
          <w:pgSz w:w="11906" w:h="17238"/>
          <w:pgMar w:top="798" w:right="1440" w:bottom="360" w:left="1440" w:header="720" w:footer="720" w:gutter="0"/>
          <w:cols w:num="1" w:equalWidth="0" w:space="720">
            <w:col w:w="9026" w:space="0"/>
          </w:cols>
          <w:docGrid w:linePitch="360"/>
        </w:sectPr>
      </w:pPr>
    </w:p>
    <w:p>
      <w:pPr>
        <w:autoSpaceDN w:val="0"/>
        <w:autoSpaceDE w:val="0"/>
        <w:widowControl/>
        <w:spacing w:line="220" w:lineRule="exact" w:before="1728" w:after="0"/>
        <w:ind w:left="0" w:right="0"/>
      </w:pPr>
    </w:p>
    <w:p>
      <w:pPr>
        <w:autoSpaceDN w:val="0"/>
        <w:autoSpaceDE w:val="0"/>
        <w:widowControl/>
        <w:spacing w:line="480" w:lineRule="exact" w:before="0" w:after="0"/>
        <w:ind w:left="0" w:right="0" w:firstLine="0"/>
        <w:jc w:val="center"/>
      </w:pPr>
      <w:r>
        <w:rPr>
          <w:rFonts w:ascii="36YvJHM7+SimHei" w:hAnsi="36YvJHM7+SimHei" w:eastAsia="36YvJHM7+SimHei"/>
          <w:color w:val="000000"/>
          <w:sz w:val="48"/>
        </w:rPr>
        <w:t>第一部分</w:t>
      </w:r>
      <w:r>
        <w:rPr>
          <w:rFonts w:ascii="X9K8VEFC+SimHei" w:hAnsi="X9K8VEFC+SimHei" w:eastAsia="X9K8VEFC+SimHei"/>
          <w:color w:val="000000"/>
          <w:sz w:val="48"/>
        </w:rPr>
        <w:t xml:space="preserve">  </w:t>
      </w:r>
      <w:r>
        <w:rPr>
          <w:rFonts w:ascii="36YvJHM7+SimHei" w:hAnsi="36YvJHM7+SimHei" w:eastAsia="36YvJHM7+SimHei"/>
          <w:color w:val="000000"/>
          <w:sz w:val="48"/>
        </w:rPr>
        <w:t>许昌市职业技能等级评价中</w:t>
      </w:r>
    </w:p>
    <w:p>
      <w:pPr>
        <w:autoSpaceDN w:val="0"/>
        <w:autoSpaceDE w:val="0"/>
        <w:widowControl/>
        <w:spacing w:line="480" w:lineRule="exact" w:before="144" w:after="0"/>
        <w:ind w:left="0" w:right="0" w:firstLine="0"/>
        <w:jc w:val="center"/>
      </w:pPr>
      <w:r>
        <w:rPr>
          <w:rFonts w:ascii="36YvJHM7+SimHei" w:hAnsi="36YvJHM7+SimHei" w:eastAsia="36YvJHM7+SimHei"/>
          <w:color w:val="000000"/>
          <w:sz w:val="48"/>
        </w:rPr>
        <w:t>心概况</w:t>
      </w:r>
    </w:p>
    <w:p>
      <w:pPr>
        <w:autoSpaceDN w:val="0"/>
        <w:tabs>
          <w:tab w:pos="840" w:val="left"/>
          <w:tab w:pos="1000" w:val="left"/>
        </w:tabs>
        <w:autoSpaceDE w:val="0"/>
        <w:widowControl/>
        <w:spacing w:line="624" w:lineRule="exact" w:before="542" w:after="0"/>
        <w:ind w:left="360" w:right="288" w:firstLine="0"/>
        <w:jc w:val="left"/>
      </w:pPr>
      <w:r>
        <w:tab/>
      </w:r>
      <w:r>
        <w:rPr>
          <w:rFonts w:ascii="36YvJHM7+SimHei" w:hAnsi="36YvJHM7+SimHei" w:eastAsia="36YvJHM7+SimHei"/>
          <w:color w:val="000000"/>
          <w:sz w:val="32"/>
        </w:rPr>
        <w:t>一、单位职责</w:t>
      </w:r>
      <w:r>
        <w:br/>
      </w:r>
      <w:r>
        <w:tab/>
      </w:r>
      <w:r>
        <w:rPr>
          <w:rFonts w:ascii="CHSf0Q3c+FangSong_GB2312" w:hAnsi="CHSf0Q3c+FangSong_GB2312" w:eastAsia="CHSf0Q3c+FangSong_GB2312"/>
          <w:color w:val="000000"/>
          <w:sz w:val="32"/>
        </w:rPr>
        <w:t xml:space="preserve"> </w:t>
      </w:r>
      <w:r>
        <w:rPr>
          <w:rFonts w:ascii="bs5IVuhn+FangSong_GB2312" w:hAnsi="bs5IVuhn+FangSong_GB2312" w:eastAsia="bs5IVuhn+FangSong_GB2312"/>
          <w:color w:val="000000"/>
          <w:sz w:val="32"/>
        </w:rPr>
        <w:t>开展技能人才评价，提升职业技能水平；技能人才评价</w:t>
      </w:r>
      <w:r>
        <w:rPr>
          <w:rFonts w:ascii="bs5IVuhn+FangSong_GB2312" w:hAnsi="bs5IVuhn+FangSong_GB2312" w:eastAsia="bs5IVuhn+FangSong_GB2312"/>
          <w:color w:val="000000"/>
          <w:sz w:val="32"/>
        </w:rPr>
        <w:t>工作监督指导、职业技能培训、技工院校教学研究与服务；</w:t>
      </w:r>
      <w:r>
        <w:rPr>
          <w:rFonts w:ascii="bs5IVuhn+FangSong_GB2312" w:hAnsi="bs5IVuhn+FangSong_GB2312" w:eastAsia="bs5IVuhn+FangSong_GB2312"/>
          <w:color w:val="000000"/>
          <w:sz w:val="32"/>
        </w:rPr>
        <w:t>职业技能竞赛组织；工勤技能岗位人员等级考核辅助；技能</w:t>
      </w:r>
      <w:r>
        <w:rPr>
          <w:rFonts w:ascii="bs5IVuhn+FangSong_GB2312" w:hAnsi="bs5IVuhn+FangSong_GB2312" w:eastAsia="bs5IVuhn+FangSong_GB2312"/>
          <w:color w:val="000000"/>
          <w:sz w:val="32"/>
        </w:rPr>
        <w:t>岗位人员技能培训、竞赛；人事考试笔试考务组织；专业技</w:t>
      </w:r>
      <w:r>
        <w:rPr>
          <w:rFonts w:ascii="bs5IVuhn+FangSong_GB2312" w:hAnsi="bs5IVuhn+FangSong_GB2312" w:eastAsia="bs5IVuhn+FangSong_GB2312"/>
          <w:color w:val="000000"/>
          <w:sz w:val="32"/>
        </w:rPr>
        <w:t>术人员资格、执业（职业）资格考试考务组织、资格审查与</w:t>
      </w:r>
      <w:r>
        <w:rPr>
          <w:rFonts w:ascii="bs5IVuhn+FangSong_GB2312" w:hAnsi="bs5IVuhn+FangSong_GB2312" w:eastAsia="bs5IVuhn+FangSong_GB2312"/>
          <w:color w:val="000000"/>
          <w:sz w:val="32"/>
        </w:rPr>
        <w:t>证书核发。</w:t>
      </w:r>
    </w:p>
    <w:p>
      <w:pPr>
        <w:autoSpaceDN w:val="0"/>
        <w:tabs>
          <w:tab w:pos="1000" w:val="left"/>
        </w:tabs>
        <w:autoSpaceDE w:val="0"/>
        <w:widowControl/>
        <w:spacing w:line="624" w:lineRule="exact" w:before="0" w:after="0"/>
        <w:ind w:left="360" w:right="288" w:firstLine="0"/>
        <w:jc w:val="left"/>
      </w:pPr>
      <w:r>
        <w:tab/>
      </w:r>
      <w:r>
        <w:rPr>
          <w:rFonts w:ascii="36YvJHM7+SimHei" w:hAnsi="36YvJHM7+SimHei" w:eastAsia="36YvJHM7+SimHei"/>
          <w:color w:val="000000"/>
          <w:sz w:val="32"/>
        </w:rPr>
        <w:t>二、机构设置</w:t>
      </w:r>
      <w:r>
        <w:br/>
      </w:r>
      <w:r>
        <w:tab/>
      </w:r>
      <w:r>
        <w:rPr>
          <w:rFonts w:ascii="bs5IVuhn+FangSong_GB2312" w:hAnsi="bs5IVuhn+FangSong_GB2312" w:eastAsia="bs5IVuhn+FangSong_GB2312"/>
          <w:color w:val="000000"/>
          <w:sz w:val="32"/>
        </w:rPr>
        <w:t>许昌市职业技能等级评价中心内设机构</w:t>
      </w:r>
      <w:r>
        <w:rPr>
          <w:rFonts w:ascii="CHSf0Q3c+FangSong_GB2312" w:hAnsi="CHSf0Q3c+FangSong_GB2312" w:eastAsia="CHSf0Q3c+FangSong_GB2312"/>
          <w:color w:val="000000"/>
          <w:sz w:val="32"/>
        </w:rPr>
        <w:t>3</w:t>
      </w:r>
      <w:r>
        <w:rPr>
          <w:rFonts w:ascii="bs5IVuhn+FangSong_GB2312" w:hAnsi="bs5IVuhn+FangSong_GB2312" w:eastAsia="bs5IVuhn+FangSong_GB2312"/>
          <w:color w:val="000000"/>
          <w:sz w:val="32"/>
        </w:rPr>
        <w:t>个，包括：综</w:t>
      </w:r>
      <w:r>
        <w:rPr>
          <w:rFonts w:ascii="bs5IVuhn+FangSong_GB2312" w:hAnsi="bs5IVuhn+FangSong_GB2312" w:eastAsia="bs5IVuhn+FangSong_GB2312"/>
          <w:color w:val="000000"/>
          <w:sz w:val="32"/>
        </w:rPr>
        <w:t>合科、技能评价和竞赛科、考务科。</w:t>
      </w:r>
    </w:p>
    <w:p>
      <w:pPr>
        <w:autoSpaceDN w:val="0"/>
        <w:tabs>
          <w:tab w:pos="1000" w:val="left"/>
        </w:tabs>
        <w:autoSpaceDE w:val="0"/>
        <w:widowControl/>
        <w:spacing w:line="624" w:lineRule="exact" w:before="0" w:after="0"/>
        <w:ind w:left="360" w:right="288" w:firstLine="0"/>
        <w:jc w:val="left"/>
      </w:pPr>
      <w:r>
        <w:tab/>
      </w:r>
      <w:r>
        <w:rPr>
          <w:rFonts w:ascii="bs5IVuhn+FangSong_GB2312" w:hAnsi="bs5IVuhn+FangSong_GB2312" w:eastAsia="bs5IVuhn+FangSong_GB2312"/>
          <w:color w:val="000000"/>
          <w:sz w:val="32"/>
        </w:rPr>
        <w:t>从决算单位构成看，许昌市职业技能等级评价中心单位</w:t>
      </w:r>
      <w:r>
        <w:rPr>
          <w:rFonts w:ascii="bs5IVuhn+FangSong_GB2312" w:hAnsi="bs5IVuhn+FangSong_GB2312" w:eastAsia="bs5IVuhn+FangSong_GB2312"/>
          <w:color w:val="000000"/>
          <w:sz w:val="32"/>
        </w:rPr>
        <w:t>决算包括：本级决算（</w:t>
      </w:r>
      <w:r>
        <w:rPr>
          <w:rFonts w:ascii="CHSf0Q3c+FangSong_GB2312" w:hAnsi="CHSf0Q3c+FangSong_GB2312" w:eastAsia="CHSf0Q3c+FangSong_GB2312"/>
          <w:color w:val="000000"/>
          <w:sz w:val="32"/>
        </w:rPr>
        <w:t>1</w:t>
      </w:r>
      <w:r>
        <w:rPr>
          <w:rFonts w:ascii="bs5IVuhn+FangSong_GB2312" w:hAnsi="bs5IVuhn+FangSong_GB2312" w:eastAsia="bs5IVuhn+FangSong_GB2312"/>
          <w:color w:val="000000"/>
          <w:sz w:val="32"/>
        </w:rPr>
        <w:t>个）。</w:t>
      </w:r>
    </w:p>
    <w:p>
      <w:pPr>
        <w:autoSpaceDN w:val="0"/>
        <w:tabs>
          <w:tab w:pos="1000" w:val="left"/>
        </w:tabs>
        <w:autoSpaceDE w:val="0"/>
        <w:widowControl/>
        <w:spacing w:line="624" w:lineRule="exact" w:before="0" w:after="0"/>
        <w:ind w:left="360" w:right="288" w:firstLine="0"/>
        <w:jc w:val="left"/>
      </w:pPr>
      <w:r>
        <w:tab/>
      </w:r>
      <w:r>
        <w:rPr>
          <w:rFonts w:ascii="bs5IVuhn+FangSong_GB2312" w:hAnsi="bs5IVuhn+FangSong_GB2312" w:eastAsia="bs5IVuhn+FangSong_GB2312"/>
          <w:color w:val="000000"/>
          <w:sz w:val="32"/>
        </w:rPr>
        <w:t>纳入本单位（部门）</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年度单位决算编制范围的单位</w:t>
      </w:r>
      <w:r>
        <w:rPr>
          <w:rFonts w:ascii="bs5IVuhn+FangSong_GB2312" w:hAnsi="bs5IVuhn+FangSong_GB2312" w:eastAsia="bs5IVuhn+FangSong_GB2312"/>
          <w:color w:val="000000"/>
          <w:sz w:val="32"/>
        </w:rPr>
        <w:t>共</w:t>
      </w:r>
      <w:r>
        <w:rPr>
          <w:rFonts w:ascii="CHSf0Q3c+FangSong_GB2312" w:hAnsi="CHSf0Q3c+FangSong_GB2312" w:eastAsia="CHSf0Q3c+FangSong_GB2312"/>
          <w:color w:val="000000"/>
          <w:sz w:val="32"/>
        </w:rPr>
        <w:t>1</w:t>
      </w:r>
      <w:r>
        <w:rPr>
          <w:rFonts w:ascii="bs5IVuhn+FangSong_GB2312" w:hAnsi="bs5IVuhn+FangSong_GB2312" w:eastAsia="bs5IVuhn+FangSong_GB2312"/>
          <w:color w:val="000000"/>
          <w:sz w:val="32"/>
        </w:rPr>
        <w:t>个，具体是：许昌市职业技能等级评价中心</w:t>
      </w:r>
    </w:p>
    <w:p>
      <w:pPr>
        <w:autoSpaceDN w:val="0"/>
        <w:autoSpaceDE w:val="0"/>
        <w:widowControl/>
        <w:spacing w:line="200" w:lineRule="exact" w:before="2148" w:after="0"/>
        <w:ind w:left="0" w:right="0" w:firstLine="0"/>
        <w:jc w:val="center"/>
      </w:pPr>
      <w:r>
        <w:rPr>
          <w:rFonts w:ascii="Ap9kiCzR+TimesNewRomanPSMT" w:hAnsi="Ap9kiCzR+TimesNewRomanPSMT" w:eastAsia="Ap9kiCzR+TimesNewRomanPSMT"/>
          <w:color w:val="000000"/>
          <w:sz w:val="18"/>
        </w:rPr>
        <w:t>- 4 -</w:t>
      </w:r>
    </w:p>
    <w:p>
      <w:pPr>
        <w:sectPr>
          <w:pgSz w:w="11906" w:h="17238"/>
          <w:pgMar w:top="1440" w:right="1440" w:bottom="360" w:left="1440" w:header="720" w:footer="720" w:gutter="0"/>
          <w:cols w:num="1" w:equalWidth="0" w:space="720">
            <w:col w:w="9026" w:space="0"/>
          </w:cols>
          <w:docGrid w:linePitch="360"/>
        </w:sectPr>
      </w:pPr>
    </w:p>
    <w:p>
      <w:pPr>
        <w:autoSpaceDN w:val="0"/>
        <w:autoSpaceDE w:val="0"/>
        <w:widowControl/>
        <w:spacing w:line="220" w:lineRule="exact" w:before="2352" w:after="0"/>
        <w:ind w:left="0" w:right="0"/>
      </w:pPr>
    </w:p>
    <w:p>
      <w:pPr>
        <w:autoSpaceDN w:val="0"/>
        <w:autoSpaceDE w:val="0"/>
        <w:widowControl/>
        <w:spacing w:line="480" w:lineRule="exact" w:before="0" w:after="0"/>
        <w:ind w:left="0" w:right="0" w:firstLine="0"/>
        <w:jc w:val="center"/>
      </w:pPr>
      <w:r>
        <w:rPr>
          <w:rFonts w:ascii="36YvJHM7+SimHei" w:hAnsi="36YvJHM7+SimHei" w:eastAsia="36YvJHM7+SimHei"/>
          <w:color w:val="000000"/>
          <w:sz w:val="48"/>
        </w:rPr>
        <w:t>第二部分</w:t>
      </w:r>
      <w:r>
        <w:rPr>
          <w:rFonts w:ascii="X9K8VEFC+SimHei" w:hAnsi="X9K8VEFC+SimHei" w:eastAsia="X9K8VEFC+SimHei"/>
          <w:color w:val="000000"/>
          <w:sz w:val="48"/>
        </w:rPr>
        <w:t xml:space="preserve">  </w:t>
      </w:r>
      <w:r>
        <w:rPr>
          <w:rFonts w:ascii="36YvJHM7+SimHei" w:hAnsi="36YvJHM7+SimHei" w:eastAsia="36YvJHM7+SimHei"/>
          <w:color w:val="000000"/>
          <w:sz w:val="48"/>
        </w:rPr>
        <w:t>许昌市职业技能等级评价中</w:t>
      </w:r>
    </w:p>
    <w:p>
      <w:pPr>
        <w:autoSpaceDN w:val="0"/>
        <w:autoSpaceDE w:val="0"/>
        <w:widowControl/>
        <w:spacing w:line="480" w:lineRule="exact" w:before="144" w:after="0"/>
        <w:ind w:left="0" w:right="0" w:firstLine="0"/>
        <w:jc w:val="center"/>
      </w:pPr>
      <w:r>
        <w:rPr>
          <w:rFonts w:ascii="36YvJHM7+SimHei" w:hAnsi="36YvJHM7+SimHei" w:eastAsia="36YvJHM7+SimHei"/>
          <w:color w:val="000000"/>
          <w:sz w:val="48"/>
        </w:rPr>
        <w:t>心</w:t>
      </w:r>
      <w:r>
        <w:rPr>
          <w:rFonts w:ascii="X9K8VEFC+SimHei" w:hAnsi="X9K8VEFC+SimHei" w:eastAsia="X9K8VEFC+SimHei"/>
          <w:color w:val="000000"/>
          <w:sz w:val="48"/>
        </w:rPr>
        <w:t>2024</w:t>
      </w:r>
      <w:r>
        <w:rPr>
          <w:rFonts w:ascii="36YvJHM7+SimHei" w:hAnsi="36YvJHM7+SimHei" w:eastAsia="36YvJHM7+SimHei"/>
          <w:color w:val="000000"/>
          <w:sz w:val="48"/>
        </w:rPr>
        <w:t>年度单位决算表</w:t>
      </w:r>
    </w:p>
    <w:p>
      <w:pPr>
        <w:autoSpaceDN w:val="0"/>
        <w:autoSpaceDE w:val="0"/>
        <w:widowControl/>
        <w:spacing w:line="200" w:lineRule="exact" w:before="10802" w:after="0"/>
        <w:ind w:left="0" w:right="0" w:firstLine="0"/>
        <w:jc w:val="center"/>
      </w:pPr>
      <w:r>
        <w:rPr>
          <w:rFonts w:ascii="Ap9kiCzR+TimesNewRomanPSMT" w:hAnsi="Ap9kiCzR+TimesNewRomanPSMT" w:eastAsia="Ap9kiCzR+TimesNewRomanPSMT"/>
          <w:color w:val="000000"/>
          <w:sz w:val="18"/>
        </w:rPr>
        <w:t>- 5 -</w:t>
      </w:r>
    </w:p>
    <w:p>
      <w:pPr>
        <w:sectPr>
          <w:pgSz w:w="11906" w:h="17238"/>
          <w:pgMar w:top="1440" w:right="1440" w:bottom="360" w:left="1440" w:header="720" w:footer="720" w:gutter="0"/>
          <w:cols w:num="1" w:equalWidth="0" w:space="720">
            <w:col w:w="9026" w:space="0"/>
          </w:cols>
          <w:docGrid w:linePitch="360"/>
        </w:sectPr>
      </w:pPr>
    </w:p>
    <w:p>
      <w:pPr>
        <w:autoSpaceDN w:val="0"/>
        <w:autoSpaceDE w:val="0"/>
        <w:widowControl/>
        <w:spacing w:line="220" w:lineRule="exact" w:before="902"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收入支出决算总表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01</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40"/>
        <w:gridCol w:w="4920"/>
        <w:gridCol w:w="3740"/>
      </w:tblGrid>
      <w:tr>
        <w:trPr>
          <w:trHeight w:hRule="exact" w:val="288"/>
        </w:trPr>
        <w:tc>
          <w:tcPr>
            <w:tcW w:type="dxa" w:w="524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w:t>
            </w:r>
            <w:r>
              <w:rPr>
                <w:rFonts w:ascii="EVYCJezs+SimSun" w:hAnsi="EVYCJezs+SimSun" w:eastAsia="EVYCJezs+SimSun"/>
                <w:color w:val="000000"/>
                <w:sz w:val="20"/>
              </w:rPr>
              <w:t>:</w:t>
            </w:r>
            <w:r>
              <w:rPr>
                <w:rFonts w:ascii="EAFpapsV+SimSun" w:hAnsi="EAFpapsV+SimSun" w:eastAsia="EAFpapsV+SimSun"/>
                <w:color w:val="000000"/>
                <w:sz w:val="20"/>
              </w:rPr>
              <w:t>许昌市职业技能等级评价中心</w:t>
            </w:r>
          </w:p>
        </w:tc>
        <w:tc>
          <w:tcPr>
            <w:tcW w:type="dxa" w:w="4920"/>
            <w:tcMar>
              <w:start w:w="0" w:type="dxa"/>
              <w:end w:w="0" w:type="dxa"/>
            </w:tcMar>
          </w:tcPr>
          <w:p>
            <w:pPr>
              <w:autoSpaceDN w:val="0"/>
              <w:autoSpaceDE w:val="0"/>
              <w:widowControl/>
              <w:spacing w:line="200" w:lineRule="exact" w:before="56" w:after="0"/>
              <w:ind w:left="0" w:right="277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4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w:t>
            </w:r>
            <w:r>
              <w:rPr>
                <w:rFonts w:ascii="EVYCJezs+SimSun" w:hAnsi="EVYCJezs+SimSun" w:eastAsia="EVYCJezs+SimSun"/>
                <w:color w:val="000000"/>
                <w:sz w:val="20"/>
              </w:rPr>
              <w:t>:</w:t>
            </w:r>
            <w:r>
              <w:rPr>
                <w:rFonts w:ascii="EAFpapsV+SimSun" w:hAnsi="EAFpapsV+SimSun" w:eastAsia="EAFpapsV+SimSun"/>
                <w:color w:val="000000"/>
                <w:sz w:val="20"/>
              </w:rPr>
              <w:t>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3616"/>
        <w:gridCol w:w="640"/>
        <w:gridCol w:w="2720"/>
        <w:gridCol w:w="3620"/>
        <w:gridCol w:w="640"/>
        <w:gridCol w:w="2718"/>
      </w:tblGrid>
      <w:tr>
        <w:trPr>
          <w:trHeight w:hRule="exact" w:val="268"/>
        </w:trPr>
        <w:tc>
          <w:tcPr>
            <w:tcW w:type="dxa" w:w="697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EAFpapsV+SimSun" w:hAnsi="EAFpapsV+SimSun" w:eastAsia="EAFpapsV+SimSun"/>
                <w:color w:val="000000"/>
                <w:sz w:val="13"/>
              </w:rPr>
              <w:t>收入</w:t>
            </w:r>
          </w:p>
        </w:tc>
        <w:tc>
          <w:tcPr>
            <w:tcW w:type="dxa" w:w="6978"/>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EAFpapsV+SimSun" w:hAnsi="EAFpapsV+SimSun" w:eastAsia="EAFpapsV+SimSun"/>
                <w:color w:val="000000"/>
                <w:sz w:val="13"/>
              </w:rPr>
              <w:t>支出</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项目</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行次</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金额</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项目</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行次</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AFpapsV+SimSun" w:hAnsi="EAFpapsV+SimSun" w:eastAsia="EAFpapsV+SimSun"/>
                <w:color w:val="000000"/>
                <w:sz w:val="13"/>
              </w:rPr>
              <w:t>金额</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AFpapsV+SimSun" w:hAnsi="EAFpapsV+SimSun" w:eastAsia="EAFpapsV+SimSun"/>
                <w:color w:val="000000"/>
                <w:sz w:val="13"/>
              </w:rPr>
              <w:t>栏次</w:t>
            </w:r>
          </w:p>
        </w:tc>
        <w:tc>
          <w:tcPr>
            <w:tcW w:type="dxa" w:w="640"/>
            <w:tcBorders>
              <w:left w:sz="8.0" w:val="single" w:color="000000"/>
              <w:top w:sz="8.0" w:val="single" w:color="000000"/>
              <w:right w:sz="8.0" w:val="single" w:color="000000"/>
              <w:bottom w:sz="8.0" w:val="single" w:color="000000"/>
            </w:tcBorders>
            <w:tcMar>
              <w:start w:w="0" w:type="dxa"/>
              <w:end w:w="0" w:type="dxa"/>
            </w:tcMar>
          </w:tcP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1</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AFpapsV+SimSun" w:hAnsi="EAFpapsV+SimSun" w:eastAsia="EAFpapsV+SimSun"/>
                <w:color w:val="000000"/>
                <w:sz w:val="13"/>
              </w:rPr>
              <w:t>栏次</w:t>
            </w:r>
          </w:p>
        </w:tc>
        <w:tc>
          <w:tcPr>
            <w:tcW w:type="dxa" w:w="640"/>
            <w:tcBorders>
              <w:left w:sz="8.0" w:val="single" w:color="000000"/>
              <w:top w:sz="8.0" w:val="single" w:color="000000"/>
              <w:right w:sz="8.0" w:val="single" w:color="000000"/>
              <w:bottom w:sz="8.0" w:val="single" w:color="000000"/>
            </w:tcBorders>
            <w:tcMar>
              <w:start w:w="0" w:type="dxa"/>
              <w:end w:w="0" w:type="dxa"/>
            </w:tcMar>
          </w:tcP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2</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EAFpapsV+SimSun" w:hAnsi="EAFpapsV+SimSun" w:eastAsia="EAFpapsV+SimSun"/>
                <w:color w:val="000000"/>
                <w:sz w:val="13"/>
              </w:rPr>
              <w:t>一、一般公共预算财政拨款收入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471.41</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一、一般公共服务支出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31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0.79</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二、政府性基金预算财政拨款收入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2</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二、外交支出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三、国有资本经营预算财政拨款收入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三、国防支出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EAFpapsV+SimSun" w:hAnsi="EAFpapsV+SimSun" w:eastAsia="EAFpapsV+SimSun"/>
                <w:color w:val="000000"/>
                <w:sz w:val="13"/>
              </w:rPr>
              <w:t>四、上级补助收入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四、公共安全支出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34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EAFpapsV+SimSun" w:hAnsi="EAFpapsV+SimSun" w:eastAsia="EAFpapsV+SimSun"/>
                <w:color w:val="000000"/>
                <w:sz w:val="13"/>
              </w:rPr>
              <w:t>五、事业收入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5</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五、教育支出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35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六、经营收入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6</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六、科学技术支出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13.06</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七、附属单位上缴收入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7</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七、文化旅游体育与传媒支出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八、其他收入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8</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八、社会保障和就业支出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427.16</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9</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九、卫生健康支出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39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12.58</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10</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十、节能环保支出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11</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十一、城乡社区支出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12</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十二、农林水支出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13</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十三、交通运输支出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14</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十四、资源勘探工业信息等支出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15</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十五、商业服务业等支出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16</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十六、金融支出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17</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十七、援助其他地区支出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18</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十八、自然资源海洋气象等支出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19</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十九、住房保障支出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49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17.82</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20</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二十、粮油物资储备支出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50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21</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二十一、国有资本经营预算支出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51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bl>
    <w:p>
      <w:pPr>
        <w:autoSpaceDN w:val="0"/>
        <w:autoSpaceDE w:val="0"/>
        <w:widowControl/>
        <w:spacing w:line="200" w:lineRule="exact" w:before="1082" w:after="0"/>
        <w:ind w:left="0" w:right="0" w:firstLine="0"/>
        <w:jc w:val="center"/>
      </w:pPr>
      <w:r>
        <w:rPr>
          <w:rFonts w:ascii="Ap9kiCzR+TimesNewRomanPSMT" w:hAnsi="Ap9kiCzR+TimesNewRomanPSMT" w:eastAsia="Ap9kiCzR+TimesNewRomanPSMT"/>
          <w:color w:val="000000"/>
          <w:sz w:val="18"/>
        </w:rPr>
        <w:t>- 6 -</w:t>
      </w:r>
    </w:p>
    <w:p>
      <w:pPr>
        <w:sectPr>
          <w:pgSz w:w="16838" w:h="12306"/>
          <w:pgMar w:top="1122"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3616"/>
        <w:gridCol w:w="640"/>
        <w:gridCol w:w="2720"/>
        <w:gridCol w:w="3620"/>
        <w:gridCol w:w="640"/>
        <w:gridCol w:w="2718"/>
      </w:tblGrid>
      <w:tr>
        <w:trPr>
          <w:trHeight w:hRule="exact" w:val="266"/>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EVYCJezs+SimSun" w:hAnsi="EVYCJezs+SimSun" w:eastAsia="EVYCJezs+SimSun"/>
                <w:color w:val="000000"/>
                <w:sz w:val="13"/>
              </w:rPr>
              <w:t>22</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72" w:right="0" w:firstLine="0"/>
              <w:jc w:val="left"/>
            </w:pPr>
            <w:r>
              <w:rPr>
                <w:rFonts w:ascii="EAFpapsV+SimSun" w:hAnsi="EAFpapsV+SimSun" w:eastAsia="EAFpapsV+SimSun"/>
                <w:color w:val="000000"/>
                <w:sz w:val="13"/>
              </w:rPr>
              <w:t>二十二、灾害防治及应急管理支出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EVYCJezs+SimSun" w:hAnsi="EVYCJezs+SimSun" w:eastAsia="EVYCJezs+SimSun"/>
                <w:color w:val="000000"/>
                <w:sz w:val="13"/>
              </w:rPr>
              <w:t>52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23</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二十三、其他支出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53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70" w:after="0"/>
              <w:ind w:left="0" w:right="0" w:firstLine="0"/>
              <w:jc w:val="center"/>
            </w:pPr>
            <w:r>
              <w:rPr>
                <w:rFonts w:ascii="EVYCJezs+SimSun" w:hAnsi="EVYCJezs+SimSun" w:eastAsia="EVYCJezs+SimSun"/>
                <w:color w:val="000000"/>
                <w:sz w:val="12"/>
              </w:rPr>
              <w:t>24</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二十四、债务还本支出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54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8" w:after="0"/>
              <w:ind w:left="0" w:right="0" w:firstLine="0"/>
              <w:jc w:val="center"/>
            </w:pPr>
            <w:r>
              <w:rPr>
                <w:rFonts w:ascii="EVYCJezs+SimSun" w:hAnsi="EVYCJezs+SimSun" w:eastAsia="EVYCJezs+SimSun"/>
                <w:color w:val="000000"/>
                <w:sz w:val="12"/>
              </w:rPr>
              <w:t>25</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二十五、债务付息支出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55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70" w:after="0"/>
              <w:ind w:left="0" w:right="0" w:firstLine="0"/>
              <w:jc w:val="center"/>
            </w:pPr>
            <w:r>
              <w:rPr>
                <w:rFonts w:ascii="EVYCJezs+SimSun" w:hAnsi="EVYCJezs+SimSun" w:eastAsia="EVYCJezs+SimSun"/>
                <w:color w:val="000000"/>
                <w:sz w:val="12"/>
              </w:rPr>
              <w:t>26</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二十六、抗疫特别国债安排的支出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56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I2VE7Zr+SimSun" w:hAnsi="MI2VE7Zr+SimSun" w:eastAsia="MI2VE7Zr+SimSun"/>
                <w:b/>
                <w:color w:val="000000"/>
                <w:sz w:val="13"/>
              </w:rPr>
              <w:t>本年收入合计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27</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471.41</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I2VE7Zr+SimSun" w:hAnsi="MI2VE7Zr+SimSun" w:eastAsia="MI2VE7Zr+SimSun"/>
                <w:b/>
                <w:color w:val="000000"/>
                <w:sz w:val="13"/>
              </w:rPr>
              <w:t>本年支出合计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57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471.41</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EAFpapsV+SimSun" w:hAnsi="EAFpapsV+SimSun" w:eastAsia="EAFpapsV+SimSun"/>
                <w:color w:val="000000"/>
                <w:sz w:val="13"/>
              </w:rPr>
              <w:t>使用非财政拨款结余（含专用结余）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28</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EAFpapsV+SimSun" w:hAnsi="EAFpapsV+SimSun" w:eastAsia="EAFpapsV+SimSun"/>
                <w:color w:val="000000"/>
                <w:sz w:val="13"/>
              </w:rPr>
              <w:t>结余分配</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EVYCJezs+SimSun" w:hAnsi="EVYCJezs+SimSun" w:eastAsia="EVYCJezs+SimSun"/>
                <w:color w:val="000000"/>
                <w:sz w:val="13"/>
              </w:rPr>
              <w:t>58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EAFpapsV+SimSun" w:hAnsi="EAFpapsV+SimSun" w:eastAsia="EAFpapsV+SimSun"/>
                <w:color w:val="000000"/>
                <w:sz w:val="13"/>
              </w:rPr>
              <w:t>年初结转和结余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29</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EAFpapsV+SimSun" w:hAnsi="EAFpapsV+SimSun" w:eastAsia="EAFpapsV+SimSun"/>
                <w:color w:val="000000"/>
                <w:sz w:val="13"/>
              </w:rPr>
              <w:t>年末结转和结余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59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I2VE7Zr+SimSun" w:hAnsi="MI2VE7Zr+SimSun" w:eastAsia="MI2VE7Zr+SimSun"/>
                <w:b/>
                <w:color w:val="000000"/>
                <w:sz w:val="13"/>
              </w:rPr>
              <w:t>总计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30</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471.41</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I2VE7Zr+SimSun" w:hAnsi="MI2VE7Zr+SimSun" w:eastAsia="MI2VE7Zr+SimSun"/>
                <w:b/>
                <w:color w:val="000000"/>
                <w:sz w:val="13"/>
              </w:rPr>
              <w:t>总计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VYCJezs+SimSun" w:hAnsi="EVYCJezs+SimSun" w:eastAsia="EVYCJezs+SimSun"/>
                <w:color w:val="000000"/>
                <w:sz w:val="13"/>
              </w:rPr>
              <w:t>60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EVYCJezs+SimSun" w:hAnsi="EVYCJezs+SimSun" w:eastAsia="EVYCJezs+SimSun"/>
                <w:color w:val="000000"/>
                <w:sz w:val="13"/>
              </w:rPr>
              <w:t>471.41</w:t>
            </w:r>
          </w:p>
        </w:tc>
      </w:tr>
    </w:tbl>
    <w:p>
      <w:pPr>
        <w:autoSpaceDN w:val="0"/>
        <w:autoSpaceDE w:val="0"/>
        <w:widowControl/>
        <w:spacing w:line="130" w:lineRule="exact" w:before="66" w:after="0"/>
        <w:ind w:left="98" w:right="0" w:firstLine="0"/>
        <w:jc w:val="left"/>
      </w:pPr>
      <w:r>
        <w:rPr>
          <w:rFonts w:ascii="EAFpapsV+SimSun" w:hAnsi="EAFpapsV+SimSun" w:eastAsia="EAFpapsV+SimSun"/>
          <w:color w:val="000000"/>
          <w:sz w:val="13"/>
        </w:rPr>
        <w:t>注：本表反映本年度的总收支和年末结转结余情况。本表金额转换为万元时，因四舍五入可能存在尾差。</w:t>
      </w:r>
    </w:p>
    <w:p>
      <w:pPr>
        <w:autoSpaceDN w:val="0"/>
        <w:autoSpaceDE w:val="0"/>
        <w:widowControl/>
        <w:spacing w:line="200" w:lineRule="exact" w:before="6528" w:after="0"/>
        <w:ind w:left="0" w:right="0" w:firstLine="0"/>
        <w:jc w:val="center"/>
      </w:pPr>
      <w:r>
        <w:rPr>
          <w:rFonts w:ascii="Ap9kiCzR+TimesNewRomanPSMT" w:hAnsi="Ap9kiCzR+TimesNewRomanPSMT" w:eastAsia="Ap9kiCzR+TimesNewRomanPSMT"/>
          <w:color w:val="000000"/>
          <w:sz w:val="18"/>
        </w:rPr>
        <w:t>- 7 -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收入决算表</w:t>
      </w:r>
    </w:p>
    <w:p>
      <w:pPr>
        <w:autoSpaceDN w:val="0"/>
        <w:autoSpaceDE w:val="0"/>
        <w:widowControl/>
        <w:spacing w:line="200" w:lineRule="exact" w:before="124" w:after="56"/>
        <w:ind w:left="0" w:right="116"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02</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EAFpapsV+SimSun" w:hAnsi="EAFpapsV+SimSun" w:eastAsia="EAFpapsV+SimSun"/>
                <w:color w:val="000000"/>
                <w:sz w:val="20"/>
              </w:rPr>
              <w:t>单位（部门）：许昌市职业技能等级评</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EAFpapsV+SimSun" w:hAnsi="EAFpapsV+SimSun" w:eastAsia="EAFpapsV+SimSun"/>
                <w:color w:val="000000"/>
                <w:sz w:val="20"/>
              </w:rPr>
              <w:t>单位：万元</w:t>
            </w:r>
          </w:p>
        </w:tc>
      </w:tr>
    </w:tbl>
    <w:p>
      <w:pPr>
        <w:autoSpaceDN w:val="0"/>
        <w:autoSpaceDE w:val="0"/>
        <w:widowControl/>
        <w:spacing w:line="200" w:lineRule="exact" w:before="56" w:after="56"/>
        <w:ind w:left="96" w:right="0" w:firstLine="0"/>
        <w:jc w:val="left"/>
      </w:pPr>
      <w:r>
        <w:rPr>
          <w:rFonts w:ascii="EAFpapsV+SimSun" w:hAnsi="EAFpapsV+SimSun" w:eastAsia="EAFpapsV+SimSun"/>
          <w:color w:val="000000"/>
          <w:sz w:val="20"/>
        </w:rPr>
        <w:t>价中心</w:t>
      </w:r>
    </w:p>
    <w:tbl>
      <w:tblPr>
        <w:tblW w:type="auto" w:w="0"/>
        <w:tblLayout w:type="fixed"/>
        <w:tblLook w:firstColumn="1" w:firstRow="1" w:lastColumn="0" w:lastRow="0" w:noHBand="0" w:noVBand="1" w:val="04A0"/>
        <w:tblInd w:w="20.0" w:type="dxa"/>
      </w:tblPr>
      <w:tblGrid>
        <w:gridCol w:w="774"/>
        <w:gridCol w:w="2480"/>
        <w:gridCol w:w="820"/>
        <w:gridCol w:w="820"/>
        <w:gridCol w:w="820"/>
        <w:gridCol w:w="820"/>
        <w:gridCol w:w="820"/>
        <w:gridCol w:w="820"/>
        <w:gridCol w:w="892"/>
      </w:tblGrid>
      <w:tr>
        <w:trPr>
          <w:trHeight w:hRule="exact" w:val="220"/>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6" w:after="0"/>
              <w:ind w:left="0" w:right="0" w:firstLine="0"/>
              <w:jc w:val="center"/>
            </w:pPr>
            <w:r>
              <w:rPr>
                <w:rFonts w:ascii="EAFpapsV+SimSun" w:hAnsi="EAFpapsV+SimSun" w:eastAsia="EAFpapsV+SimSun"/>
                <w:color w:val="000000"/>
                <w:sz w:val="11"/>
              </w:rPr>
              <w:t>项目</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本年收入合计</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财政拨款收入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上级补助收入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事业收入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经营收入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14" w:after="0"/>
              <w:ind w:left="0" w:right="0" w:firstLine="0"/>
              <w:jc w:val="center"/>
            </w:pPr>
            <w:r>
              <w:rPr>
                <w:rFonts w:ascii="EAFpapsV+SimSun" w:hAnsi="EAFpapsV+SimSun" w:eastAsia="EAFpapsV+SimSun"/>
                <w:color w:val="000000"/>
                <w:sz w:val="11"/>
              </w:rPr>
              <w:t>附属单位上缴</w:t>
            </w:r>
          </w:p>
          <w:p>
            <w:pPr>
              <w:autoSpaceDN w:val="0"/>
              <w:autoSpaceDE w:val="0"/>
              <w:widowControl/>
              <w:spacing w:line="110" w:lineRule="exact" w:before="32" w:after="0"/>
              <w:ind w:left="0" w:right="0" w:firstLine="0"/>
              <w:jc w:val="center"/>
            </w:pPr>
            <w:r>
              <w:rPr>
                <w:rFonts w:ascii="EAFpapsV+SimSun" w:hAnsi="EAFpapsV+SimSun" w:eastAsia="EAFpapsV+SimSun"/>
                <w:color w:val="000000"/>
                <w:sz w:val="11"/>
              </w:rPr>
              <w:t>收入</w:t>
            </w:r>
          </w:p>
        </w:tc>
        <w:tc>
          <w:tcPr>
            <w:tcW w:type="dxa" w:w="892"/>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EAFpapsV+SimSun" w:hAnsi="EAFpapsV+SimSun" w:eastAsia="EAFpapsV+SimSun"/>
                <w:color w:val="000000"/>
                <w:sz w:val="11"/>
              </w:rPr>
              <w:t>其他收入</w:t>
            </w:r>
          </w:p>
        </w:tc>
      </w:tr>
      <w:tr>
        <w:trPr>
          <w:trHeight w:hRule="exact" w:val="678"/>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06" w:after="0"/>
              <w:ind w:left="0" w:right="0" w:firstLine="0"/>
              <w:jc w:val="center"/>
            </w:pPr>
            <w:r>
              <w:rPr>
                <w:rFonts w:ascii="EAFpapsV+SimSun" w:hAnsi="EAFpapsV+SimSun" w:eastAsia="EAFpapsV+SimSun"/>
                <w:color w:val="000000"/>
                <w:sz w:val="11"/>
              </w:rPr>
              <w:t>功能分类</w:t>
            </w:r>
          </w:p>
          <w:p>
            <w:pPr>
              <w:autoSpaceDN w:val="0"/>
              <w:autoSpaceDE w:val="0"/>
              <w:widowControl/>
              <w:spacing w:line="110" w:lineRule="exact" w:before="32" w:after="0"/>
              <w:ind w:left="0" w:right="0" w:firstLine="0"/>
              <w:jc w:val="center"/>
            </w:pPr>
            <w:r>
              <w:rPr>
                <w:rFonts w:ascii="EAFpapsV+SimSun" w:hAnsi="EAFpapsV+SimSun" w:eastAsia="EAFpapsV+SimSun"/>
                <w:color w:val="000000"/>
                <w:sz w:val="11"/>
              </w:rPr>
              <w:t>科目编码</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78" w:after="0"/>
              <w:ind w:left="0" w:right="0" w:firstLine="0"/>
              <w:jc w:val="center"/>
            </w:pPr>
            <w:r>
              <w:rPr>
                <w:rFonts w:ascii="EAFpapsV+SimSun" w:hAnsi="EAFpapsV+SimSun" w:eastAsia="EAFpapsV+SimSun"/>
                <w:color w:val="000000"/>
                <w:sz w:val="11"/>
              </w:rPr>
              <w:t>科目名称</w:t>
            </w: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r>
      <w:tr>
        <w:trPr>
          <w:trHeight w:hRule="exact" w:val="226"/>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AFpapsV+SimSun" w:hAnsi="EAFpapsV+SimSun" w:eastAsia="EAFpapsV+SimSun"/>
                <w:color w:val="000000"/>
                <w:sz w:val="11"/>
              </w:rPr>
              <w:t>栏次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6</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VYCJezs+SimSun" w:hAnsi="EVYCJezs+SimSun" w:eastAsia="EVYCJezs+SimSun"/>
                <w:color w:val="000000"/>
                <w:sz w:val="11"/>
              </w:rPr>
              <w:t>7</w:t>
            </w:r>
          </w:p>
        </w:tc>
      </w:tr>
      <w:tr>
        <w:trPr>
          <w:trHeight w:hRule="exact" w:val="226"/>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EAFpapsV+SimSun" w:hAnsi="EAFpapsV+SimSun" w:eastAsia="EAFpapsV+SimSun"/>
                <w:color w:val="000000"/>
                <w:sz w:val="11"/>
              </w:rPr>
              <w:t>合计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471.41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471.41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一般公共服务支出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20129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群众团体事务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2012906</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工会事务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0.79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206</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20699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其他科学技术支出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2069999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其他科学技术支出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13.06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社会保障和就业支出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427.16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427.16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人力资源和社会保障管理事务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414.02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414.02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2080101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行政运行</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170.62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170.62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2080102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一般行政管理事务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115.43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115.43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2080111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公共就业服务和职业技能鉴定机构</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4.46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4.46</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2080199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其他人力资源和社会保障管理事务支出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123.51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123.51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20805</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行政事业单位养老支出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3.27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3.27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2080505</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机关事业单位基本养老保险缴费支出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3.27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3.27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20807</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就业补助</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9.87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9.87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2080705</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公益性岗位补贴</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9.87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9.87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210</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卫生健康支出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12.58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12.58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21011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行政事业单位医疗</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12.58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12.58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2101101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行政单位医疗</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6.05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6.05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2101103</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公务员医疗补助</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6.53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6.53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221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住房保障支出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22102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住房改革支出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EVYCJezs+SimSun" w:hAnsi="EVYCJezs+SimSun" w:eastAsia="EVYCJezs+SimSun"/>
                <w:color w:val="000000"/>
                <w:sz w:val="11"/>
              </w:rPr>
              <w:t>2210201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EAFpapsV+SimSun" w:hAnsi="EAFpapsV+SimSun" w:eastAsia="EAFpapsV+SimSun"/>
                <w:color w:val="000000"/>
                <w:sz w:val="11"/>
              </w:rPr>
              <w:t>住房公积金</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17.82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EVYCJezs+SimSun" w:hAnsi="EVYCJezs+SimSun" w:eastAsia="EVYCJezs+SimSun"/>
                <w:color w:val="000000"/>
                <w:sz w:val="11"/>
              </w:rPr>
              <w:t xml:space="preserve"> 0.00</w:t>
            </w:r>
          </w:p>
        </w:tc>
      </w:tr>
    </w:tbl>
    <w:p>
      <w:pPr>
        <w:autoSpaceDN w:val="0"/>
        <w:autoSpaceDE w:val="0"/>
        <w:widowControl/>
        <w:spacing w:line="110" w:lineRule="exact" w:before="52" w:after="0"/>
        <w:ind w:left="96" w:right="0" w:firstLine="0"/>
        <w:jc w:val="left"/>
      </w:pPr>
      <w:r>
        <w:rPr>
          <w:rFonts w:ascii="EAFpapsV+SimSun" w:hAnsi="EAFpapsV+SimSun" w:eastAsia="EAFpapsV+SimSun"/>
          <w:color w:val="000000"/>
          <w:sz w:val="11"/>
        </w:rPr>
        <w:t>注：本表反映本年度取得的各项收入情况。本表金额转换为万元时，因四舍五入可能存在尾差。</w:t>
      </w:r>
    </w:p>
    <w:p>
      <w:pPr>
        <w:autoSpaceDN w:val="0"/>
        <w:autoSpaceDE w:val="0"/>
        <w:widowControl/>
        <w:spacing w:line="200" w:lineRule="exact" w:before="6754" w:after="0"/>
        <w:ind w:left="0" w:right="0" w:firstLine="0"/>
        <w:jc w:val="center"/>
      </w:pPr>
      <w:r>
        <w:rPr>
          <w:rFonts w:ascii="Ap9kiCzR+TimesNewRomanPSMT" w:hAnsi="Ap9kiCzR+TimesNewRomanPSMT" w:eastAsia="Ap9kiCzR+TimesNewRomanPSMT"/>
          <w:color w:val="000000"/>
          <w:sz w:val="18"/>
        </w:rPr>
        <w:t>- 8 -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支出决算表</w:t>
      </w:r>
    </w:p>
    <w:p>
      <w:pPr>
        <w:autoSpaceDN w:val="0"/>
        <w:autoSpaceDE w:val="0"/>
        <w:widowControl/>
        <w:spacing w:line="200" w:lineRule="exact" w:before="124" w:after="56"/>
        <w:ind w:left="0" w:right="116"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03</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EAFpapsV+SimSun" w:hAnsi="EAFpapsV+SimSun" w:eastAsia="EAFpapsV+SimSun"/>
                <w:color w:val="000000"/>
                <w:sz w:val="20"/>
              </w:rPr>
              <w:t>单位（部门）：许昌市职业技能等级评</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EAFpapsV+SimSun" w:hAnsi="EAFpapsV+SimSun" w:eastAsia="EAFpapsV+SimSun"/>
                <w:color w:val="000000"/>
                <w:sz w:val="20"/>
              </w:rPr>
              <w:t>单位：万元</w:t>
            </w:r>
          </w:p>
        </w:tc>
      </w:tr>
    </w:tbl>
    <w:p>
      <w:pPr>
        <w:autoSpaceDN w:val="0"/>
        <w:autoSpaceDE w:val="0"/>
        <w:widowControl/>
        <w:spacing w:line="200" w:lineRule="exact" w:before="56" w:after="56"/>
        <w:ind w:left="96" w:right="0" w:firstLine="0"/>
        <w:jc w:val="left"/>
      </w:pPr>
      <w:r>
        <w:rPr>
          <w:rFonts w:ascii="EAFpapsV+SimSun" w:hAnsi="EAFpapsV+SimSun" w:eastAsia="EAFpapsV+SimSun"/>
          <w:color w:val="000000"/>
          <w:sz w:val="20"/>
        </w:rPr>
        <w:t>价中心</w:t>
      </w:r>
    </w:p>
    <w:tbl>
      <w:tblPr>
        <w:tblW w:type="auto" w:w="0"/>
        <w:tblLayout w:type="fixed"/>
        <w:tblLook w:firstColumn="1" w:firstRow="1" w:lastColumn="0" w:lastRow="0" w:noHBand="0" w:noVBand="1" w:val="04A0"/>
        <w:tblInd w:w="20.0" w:type="dxa"/>
      </w:tblPr>
      <w:tblGrid>
        <w:gridCol w:w="834"/>
        <w:gridCol w:w="2840"/>
        <w:gridCol w:w="900"/>
        <w:gridCol w:w="900"/>
        <w:gridCol w:w="900"/>
        <w:gridCol w:w="900"/>
        <w:gridCol w:w="900"/>
        <w:gridCol w:w="892"/>
      </w:tblGrid>
      <w:tr>
        <w:trPr>
          <w:trHeight w:hRule="exact" w:val="238"/>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4" w:after="0"/>
              <w:ind w:left="0" w:right="0" w:firstLine="0"/>
              <w:jc w:val="center"/>
            </w:pPr>
            <w:r>
              <w:rPr>
                <w:rFonts w:ascii="EAFpapsV+SimSun" w:hAnsi="EAFpapsV+SimSun" w:eastAsia="EAFpapsV+SimSun"/>
                <w:color w:val="000000"/>
                <w:sz w:val="11"/>
              </w:rPr>
              <w:t>项目</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EAFpapsV+SimSun" w:hAnsi="EAFpapsV+SimSun" w:eastAsia="EAFpapsV+SimSun"/>
                <w:color w:val="000000"/>
                <w:sz w:val="11"/>
              </w:rPr>
              <w:t>本年支出合计</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EAFpapsV+SimSun" w:hAnsi="EAFpapsV+SimSun" w:eastAsia="EAFpapsV+SimSun"/>
                <w:color w:val="000000"/>
                <w:sz w:val="11"/>
              </w:rPr>
              <w:t>基本支出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EAFpapsV+SimSun" w:hAnsi="EAFpapsV+SimSun" w:eastAsia="EAFpapsV+SimSun"/>
                <w:color w:val="000000"/>
                <w:sz w:val="11"/>
              </w:rPr>
              <w:t>项目支出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EAFpapsV+SimSun" w:hAnsi="EAFpapsV+SimSun" w:eastAsia="EAFpapsV+SimSun"/>
                <w:color w:val="000000"/>
                <w:sz w:val="11"/>
              </w:rPr>
              <w:t>上缴上级支出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EAFpapsV+SimSun" w:hAnsi="EAFpapsV+SimSun" w:eastAsia="EAFpapsV+SimSun"/>
                <w:color w:val="000000"/>
                <w:sz w:val="11"/>
              </w:rPr>
              <w:t>经营支出</w:t>
            </w:r>
          </w:p>
        </w:tc>
        <w:tc>
          <w:tcPr>
            <w:tcW w:type="dxa" w:w="892"/>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50" w:after="0"/>
              <w:ind w:left="0" w:right="0" w:firstLine="0"/>
              <w:jc w:val="center"/>
            </w:pPr>
            <w:r>
              <w:rPr>
                <w:rFonts w:ascii="EAFpapsV+SimSun" w:hAnsi="EAFpapsV+SimSun" w:eastAsia="EAFpapsV+SimSun"/>
                <w:color w:val="000000"/>
                <w:sz w:val="11"/>
              </w:rPr>
              <w:t>对附属单位补</w:t>
            </w:r>
          </w:p>
          <w:p>
            <w:pPr>
              <w:autoSpaceDN w:val="0"/>
              <w:autoSpaceDE w:val="0"/>
              <w:widowControl/>
              <w:spacing w:line="110" w:lineRule="exact" w:before="32" w:after="0"/>
              <w:ind w:left="0" w:right="0" w:firstLine="0"/>
              <w:jc w:val="center"/>
            </w:pPr>
            <w:r>
              <w:rPr>
                <w:rFonts w:ascii="EAFpapsV+SimSun" w:hAnsi="EAFpapsV+SimSun" w:eastAsia="EAFpapsV+SimSun"/>
                <w:color w:val="000000"/>
                <w:sz w:val="11"/>
              </w:rPr>
              <w:t>助支出</w:t>
            </w:r>
          </w:p>
        </w:tc>
      </w:tr>
      <w:tr>
        <w:trPr>
          <w:trHeight w:hRule="exact" w:val="732"/>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34" w:after="0"/>
              <w:ind w:left="0" w:right="0" w:firstLine="0"/>
              <w:jc w:val="center"/>
            </w:pPr>
            <w:r>
              <w:rPr>
                <w:rFonts w:ascii="EAFpapsV+SimSun" w:hAnsi="EAFpapsV+SimSun" w:eastAsia="EAFpapsV+SimSun"/>
                <w:color w:val="000000"/>
                <w:sz w:val="11"/>
              </w:rPr>
              <w:t>功能分类</w:t>
            </w:r>
          </w:p>
          <w:p>
            <w:pPr>
              <w:autoSpaceDN w:val="0"/>
              <w:autoSpaceDE w:val="0"/>
              <w:widowControl/>
              <w:spacing w:line="110" w:lineRule="exact" w:before="32" w:after="0"/>
              <w:ind w:left="0" w:right="0" w:firstLine="0"/>
              <w:jc w:val="center"/>
            </w:pPr>
            <w:r>
              <w:rPr>
                <w:rFonts w:ascii="EAFpapsV+SimSun" w:hAnsi="EAFpapsV+SimSun" w:eastAsia="EAFpapsV+SimSun"/>
                <w:color w:val="000000"/>
                <w:sz w:val="11"/>
              </w:rPr>
              <w:t>科目编码</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04" w:after="0"/>
              <w:ind w:left="0" w:right="0" w:firstLine="0"/>
              <w:jc w:val="center"/>
            </w:pPr>
            <w:r>
              <w:rPr>
                <w:rFonts w:ascii="EAFpapsV+SimSun" w:hAnsi="EAFpapsV+SimSun" w:eastAsia="EAFpapsV+SimSun"/>
                <w:color w:val="000000"/>
                <w:sz w:val="11"/>
              </w:rPr>
              <w:t>科目名称</w:t>
            </w: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r>
      <w:tr>
        <w:trPr>
          <w:trHeight w:hRule="exact" w:val="244"/>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AFpapsV+SimSun" w:hAnsi="EAFpapsV+SimSun" w:eastAsia="EAFpapsV+SimSun"/>
                <w:color w:val="000000"/>
                <w:sz w:val="11"/>
              </w:rPr>
              <w:t>栏次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5</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VYCJezs+SimSun" w:hAnsi="EVYCJezs+SimSun" w:eastAsia="EVYCJezs+SimSun"/>
                <w:color w:val="000000"/>
                <w:sz w:val="11"/>
              </w:rPr>
              <w:t>6</w:t>
            </w:r>
          </w:p>
        </w:tc>
      </w:tr>
      <w:tr>
        <w:trPr>
          <w:trHeight w:hRule="exact" w:val="244"/>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EAFpapsV+SimSun" w:hAnsi="EAFpapsV+SimSun" w:eastAsia="EAFpapsV+SimSun"/>
                <w:color w:val="000000"/>
                <w:sz w:val="11"/>
              </w:rPr>
              <w:t>合计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471.41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218.14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253.27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一般公共服务支出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20129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群众团体事务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2012906</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工会事务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0.79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206</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20699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其他科学技术支出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2069999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其他科学技术支出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13.06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社会保障和就业支出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427.16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173.89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253.27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人力资源和社会保障管理事务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414.02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170.62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243.40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2080101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行政运行</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170.62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170.62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2080102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一般行政管理事务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115.43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115.43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2080111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公共就业服务和职业技能鉴定机构</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4.46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4.46</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2080199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其他人力资源和社会保障管理事务支出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123.51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123.51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20805</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行政事业单位养老支出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2080505</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机关事业单位基本养老保险缴费支出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3.27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20807</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就业补助</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9.87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9.87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2080705</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公益性岗位补贴</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9.87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9.87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210</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卫生健康支出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12.58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12.58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21011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行政事业单位医疗</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12.58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12.58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2101101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行政单位医疗</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6.05</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6.05</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2101103</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公务员医疗补助</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6.53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6.53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221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住房保障支出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22102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住房改革支出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EVYCJezs+SimSun" w:hAnsi="EVYCJezs+SimSun" w:eastAsia="EVYCJezs+SimSun"/>
                <w:color w:val="000000"/>
                <w:sz w:val="11"/>
              </w:rPr>
              <w:t>2210201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EAFpapsV+SimSun" w:hAnsi="EAFpapsV+SimSun" w:eastAsia="EAFpapsV+SimSun"/>
                <w:color w:val="000000"/>
                <w:sz w:val="11"/>
              </w:rPr>
              <w:t>住房公积金</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17.82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EVYCJezs+SimSun" w:hAnsi="EVYCJezs+SimSun" w:eastAsia="EVYCJezs+SimSun"/>
                <w:color w:val="000000"/>
                <w:sz w:val="11"/>
              </w:rPr>
              <w:t xml:space="preserve"> 0.00</w:t>
            </w:r>
          </w:p>
        </w:tc>
      </w:tr>
    </w:tbl>
    <w:p>
      <w:pPr>
        <w:autoSpaceDN w:val="0"/>
        <w:autoSpaceDE w:val="0"/>
        <w:widowControl/>
        <w:spacing w:line="110" w:lineRule="exact" w:before="60" w:after="0"/>
        <w:ind w:left="96" w:right="0" w:firstLine="0"/>
        <w:jc w:val="left"/>
      </w:pPr>
      <w:r>
        <w:rPr>
          <w:rFonts w:ascii="EAFpapsV+SimSun" w:hAnsi="EAFpapsV+SimSun" w:eastAsia="EAFpapsV+SimSun"/>
          <w:color w:val="000000"/>
          <w:sz w:val="11"/>
        </w:rPr>
        <w:t>注：本表反映本年度各项支出情况。本表金额转换为万元时，因四舍五入可能存在尾差。</w:t>
      </w:r>
    </w:p>
    <w:p>
      <w:pPr>
        <w:autoSpaceDN w:val="0"/>
        <w:autoSpaceDE w:val="0"/>
        <w:widowControl/>
        <w:spacing w:line="200" w:lineRule="exact" w:before="6224" w:after="0"/>
        <w:ind w:left="0" w:right="0" w:firstLine="0"/>
        <w:jc w:val="center"/>
      </w:pPr>
      <w:r>
        <w:rPr>
          <w:rFonts w:ascii="Ap9kiCzR+TimesNewRomanPSMT" w:hAnsi="Ap9kiCzR+TimesNewRomanPSMT" w:eastAsia="Ap9kiCzR+TimesNewRomanPSMT"/>
          <w:color w:val="000000"/>
          <w:sz w:val="18"/>
        </w:rPr>
        <w:t>- 9 -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财政拨款收入支出决算总表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04</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80"/>
        <w:gridCol w:w="4840"/>
        <w:gridCol w:w="3780"/>
      </w:tblGrid>
      <w:tr>
        <w:trPr>
          <w:trHeight w:hRule="exact" w:val="288"/>
        </w:trPr>
        <w:tc>
          <w:tcPr>
            <w:tcW w:type="dxa" w:w="528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单位（部门）：许昌市职业技能等级评价中心</w:t>
            </w:r>
          </w:p>
        </w:tc>
        <w:tc>
          <w:tcPr>
            <w:tcW w:type="dxa" w:w="4840"/>
            <w:tcMar>
              <w:start w:w="0" w:type="dxa"/>
              <w:end w:w="0" w:type="dxa"/>
            </w:tcMar>
          </w:tcPr>
          <w:p>
            <w:pPr>
              <w:autoSpaceDN w:val="0"/>
              <w:autoSpaceDE w:val="0"/>
              <w:widowControl/>
              <w:spacing w:line="200" w:lineRule="exact" w:before="56" w:after="0"/>
              <w:ind w:left="0" w:right="273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2916"/>
        <w:gridCol w:w="500"/>
        <w:gridCol w:w="1420"/>
        <w:gridCol w:w="2920"/>
        <w:gridCol w:w="500"/>
        <w:gridCol w:w="1420"/>
        <w:gridCol w:w="1420"/>
        <w:gridCol w:w="1420"/>
        <w:gridCol w:w="1438"/>
      </w:tblGrid>
      <w:tr>
        <w:trPr>
          <w:trHeight w:hRule="exact" w:val="246"/>
        </w:trPr>
        <w:tc>
          <w:tcPr>
            <w:tcW w:type="dxa" w:w="483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EAFpapsV+SimSun" w:hAnsi="EAFpapsV+SimSun" w:eastAsia="EAFpapsV+SimSun"/>
                <w:color w:val="000000"/>
                <w:sz w:val="12"/>
              </w:rPr>
              <w:t>收</w:t>
            </w:r>
            <w:r>
              <w:rPr>
                <w:rFonts w:ascii="EVYCJezs+SimSun" w:hAnsi="EVYCJezs+SimSun" w:eastAsia="EVYCJezs+SimSun"/>
                <w:color w:val="000000"/>
                <w:sz w:val="12"/>
              </w:rPr>
              <w:t xml:space="preserve">     </w:t>
            </w:r>
            <w:r>
              <w:rPr>
                <w:rFonts w:ascii="EAFpapsV+SimSun" w:hAnsi="EAFpapsV+SimSun" w:eastAsia="EAFpapsV+SimSun"/>
                <w:color w:val="000000"/>
                <w:sz w:val="12"/>
              </w:rPr>
              <w:t>入</w:t>
            </w:r>
          </w:p>
        </w:tc>
        <w:tc>
          <w:tcPr>
            <w:tcW w:type="dxa" w:w="911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EAFpapsV+SimSun" w:hAnsi="EAFpapsV+SimSun" w:eastAsia="EAFpapsV+SimSun"/>
                <w:color w:val="000000"/>
                <w:sz w:val="12"/>
              </w:rPr>
              <w:t>支</w:t>
            </w:r>
            <w:r>
              <w:rPr>
                <w:rFonts w:ascii="EVYCJezs+SimSun" w:hAnsi="EVYCJezs+SimSun" w:eastAsia="EVYCJezs+SimSun"/>
                <w:color w:val="000000"/>
                <w:sz w:val="12"/>
              </w:rPr>
              <w:t xml:space="preserve">     </w:t>
            </w:r>
            <w:r>
              <w:rPr>
                <w:rFonts w:ascii="EAFpapsV+SimSun" w:hAnsi="EAFpapsV+SimSun" w:eastAsia="EAFpapsV+SimSun"/>
                <w:color w:val="000000"/>
                <w:sz w:val="12"/>
              </w:rPr>
              <w:t>出</w:t>
            </w:r>
          </w:p>
        </w:tc>
      </w:tr>
      <w:tr>
        <w:trPr>
          <w:trHeight w:hRule="exact" w:val="526"/>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项目</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行次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金额</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项目</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行次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合计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EAFpapsV+SimSun" w:hAnsi="EAFpapsV+SimSun" w:eastAsia="EAFpapsV+SimSun"/>
                <w:color w:val="000000"/>
                <w:sz w:val="12"/>
              </w:rPr>
              <w:t>一般公共预算财政拨款</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8" w:after="0"/>
              <w:ind w:left="0" w:right="0" w:firstLine="0"/>
              <w:jc w:val="center"/>
            </w:pPr>
            <w:r>
              <w:rPr>
                <w:rFonts w:ascii="EAFpapsV+SimSun" w:hAnsi="EAFpapsV+SimSun" w:eastAsia="EAFpapsV+SimSun"/>
                <w:color w:val="000000"/>
                <w:sz w:val="12"/>
              </w:rPr>
              <w:t>政府性基金预算财政拨</w:t>
            </w:r>
          </w:p>
          <w:p>
            <w:pPr>
              <w:autoSpaceDN w:val="0"/>
              <w:autoSpaceDE w:val="0"/>
              <w:widowControl/>
              <w:spacing w:line="120" w:lineRule="exact" w:before="36" w:after="0"/>
              <w:ind w:left="0" w:right="0" w:firstLine="0"/>
              <w:jc w:val="center"/>
            </w:pPr>
            <w:r>
              <w:rPr>
                <w:rFonts w:ascii="EAFpapsV+SimSun" w:hAnsi="EAFpapsV+SimSun" w:eastAsia="EAFpapsV+SimSun"/>
                <w:color w:val="000000"/>
                <w:sz w:val="12"/>
              </w:rPr>
              <w:t>款</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8" w:after="0"/>
              <w:ind w:left="0" w:right="0" w:firstLine="0"/>
              <w:jc w:val="center"/>
            </w:pPr>
            <w:r>
              <w:rPr>
                <w:rFonts w:ascii="EAFpapsV+SimSun" w:hAnsi="EAFpapsV+SimSun" w:eastAsia="EAFpapsV+SimSun"/>
                <w:color w:val="000000"/>
                <w:sz w:val="12"/>
              </w:rPr>
              <w:t>国有资本经营预算财政</w:t>
            </w:r>
          </w:p>
          <w:p>
            <w:pPr>
              <w:autoSpaceDN w:val="0"/>
              <w:autoSpaceDE w:val="0"/>
              <w:widowControl/>
              <w:spacing w:line="120" w:lineRule="exact" w:before="36" w:after="0"/>
              <w:ind w:left="0" w:right="0" w:firstLine="0"/>
              <w:jc w:val="center"/>
            </w:pPr>
            <w:r>
              <w:rPr>
                <w:rFonts w:ascii="EAFpapsV+SimSun" w:hAnsi="EAFpapsV+SimSun" w:eastAsia="EAFpapsV+SimSun"/>
                <w:color w:val="000000"/>
                <w:sz w:val="12"/>
              </w:rPr>
              <w:t>拨款</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AFpapsV+SimSun" w:hAnsi="EAFpapsV+SimSun" w:eastAsia="EAFpapsV+SimSun"/>
                <w:color w:val="000000"/>
                <w:sz w:val="12"/>
              </w:rPr>
              <w:t>栏次</w:t>
            </w:r>
          </w:p>
        </w:tc>
        <w:tc>
          <w:tcPr>
            <w:tcW w:type="dxa" w:w="50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AFpapsV+SimSun" w:hAnsi="EAFpapsV+SimSun" w:eastAsia="EAFpapsV+SimSun"/>
                <w:color w:val="000000"/>
                <w:sz w:val="12"/>
              </w:rPr>
              <w:t>栏次</w:t>
            </w:r>
          </w:p>
        </w:tc>
        <w:tc>
          <w:tcPr>
            <w:tcW w:type="dxa" w:w="50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EAFpapsV+SimSun" w:hAnsi="EAFpapsV+SimSun" w:eastAsia="EAFpapsV+SimSun"/>
                <w:color w:val="000000"/>
                <w:sz w:val="12"/>
              </w:rPr>
              <w:t>一、一般公共预算财政拨款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471.41</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一、一般公共服务支出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33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0.79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0.79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68" w:right="0" w:firstLine="0"/>
              <w:jc w:val="left"/>
            </w:pPr>
            <w:r>
              <w:rPr>
                <w:rFonts w:ascii="EAFpapsV+SimSun" w:hAnsi="EAFpapsV+SimSun" w:eastAsia="EAFpapsV+SimSun"/>
                <w:color w:val="000000"/>
                <w:sz w:val="12"/>
              </w:rPr>
              <w:t>二、政府性基金预算财政拨款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二、外交支出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EAFpapsV+SimSun" w:hAnsi="EAFpapsV+SimSun" w:eastAsia="EAFpapsV+SimSun"/>
                <w:color w:val="000000"/>
                <w:sz w:val="12"/>
              </w:rPr>
              <w:t>三、国有资本经营预算财政拨款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三、国防支出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35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四、公共安全支出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五、教育支出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37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六、科学技术支出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13.06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13.06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7</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七、文化旅游体育与传媒支出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8</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八、社会保障和就业支出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427.16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427.16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9</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九、卫生健康支出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12.58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12.58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10</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十、节能环保支出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十一、城乡社区支出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十二、农林水支出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十三、交通运输支出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十四、资源勘探工业信息等支出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十五、商业服务业等支出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十六、金融支出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17</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十七、援助其他地区支出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49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18</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十八、自然资源海洋气象等支出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19</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十九、住房保障支出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17.82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17.82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20</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二十、粮油物资储备支出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21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二十一、国有资本经营预算支出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53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二十二、灾害防治及应急管理支出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23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二十三、其他支出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55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bl>
    <w:p>
      <w:pPr>
        <w:autoSpaceDN w:val="0"/>
        <w:autoSpaceDE w:val="0"/>
        <w:widowControl/>
        <w:spacing w:line="200" w:lineRule="exact" w:before="1122" w:after="0"/>
        <w:ind w:left="0" w:right="0" w:firstLine="0"/>
        <w:jc w:val="center"/>
      </w:pPr>
      <w:r>
        <w:rPr>
          <w:rFonts w:ascii="Ap9kiCzR+TimesNewRomanPSMT" w:hAnsi="Ap9kiCzR+TimesNewRomanPSMT" w:eastAsia="Ap9kiCzR+TimesNewRomanPSMT"/>
          <w:color w:val="000000"/>
          <w:sz w:val="18"/>
        </w:rPr>
        <w:t>- 10 -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2916"/>
        <w:gridCol w:w="500"/>
        <w:gridCol w:w="1420"/>
        <w:gridCol w:w="2920"/>
        <w:gridCol w:w="500"/>
        <w:gridCol w:w="1420"/>
        <w:gridCol w:w="1420"/>
        <w:gridCol w:w="1420"/>
        <w:gridCol w:w="1438"/>
      </w:tblGrid>
      <w:tr>
        <w:trPr>
          <w:trHeight w:hRule="exact" w:val="246"/>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EVYCJezs+SimSun" w:hAnsi="EVYCJezs+SimSun" w:eastAsia="EVYCJezs+SimSun"/>
                <w:color w:val="000000"/>
                <w:sz w:val="12"/>
              </w:rPr>
              <w:t>24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72" w:right="0" w:firstLine="0"/>
              <w:jc w:val="left"/>
            </w:pPr>
            <w:r>
              <w:rPr>
                <w:rFonts w:ascii="EAFpapsV+SimSun" w:hAnsi="EAFpapsV+SimSun" w:eastAsia="EAFpapsV+SimSun"/>
                <w:color w:val="000000"/>
                <w:sz w:val="12"/>
              </w:rPr>
              <w:t>二十四、债务还本支出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EVYCJezs+SimSun" w:hAnsi="EVYCJezs+SimSun" w:eastAsia="EVYCJezs+SimSun"/>
                <w:color w:val="000000"/>
                <w:sz w:val="12"/>
              </w:rPr>
              <w:t>56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AFpapsV+SimSun" w:hAnsi="EAFpapsV+SimSun" w:eastAsia="EAFpapsV+SimSun"/>
                <w:color w:val="000000"/>
                <w:sz w:val="12"/>
              </w:rPr>
              <w:t>二十五、债务付息支出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26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二十六、抗疫特别国债安排的支出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58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I2VE7Zr+SimSun" w:hAnsi="MI2VE7Zr+SimSun" w:eastAsia="MI2VE7Zr+SimSun"/>
                <w:b/>
                <w:color w:val="000000"/>
                <w:sz w:val="12"/>
              </w:rPr>
              <w:t>本年收入合计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I2VE7Zr+SimSun" w:hAnsi="MI2VE7Zr+SimSun" w:eastAsia="MI2VE7Zr+SimSun"/>
                <w:b/>
                <w:color w:val="000000"/>
                <w:sz w:val="12"/>
              </w:rPr>
              <w:t>本年支出合计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59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EAFpapsV+SimSun" w:hAnsi="EAFpapsV+SimSun" w:eastAsia="EAFpapsV+SimSun"/>
                <w:color w:val="000000"/>
                <w:sz w:val="12"/>
              </w:rPr>
              <w:t>年初财政拨款结转和结余</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28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EAFpapsV+SimSun" w:hAnsi="EAFpapsV+SimSun" w:eastAsia="EAFpapsV+SimSun"/>
                <w:color w:val="000000"/>
                <w:sz w:val="12"/>
              </w:rPr>
              <w:t>年末财政拨款结转和结余</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EVYCJezs+SimSun" w:hAnsi="EVYCJezs+SimSun" w:eastAsia="EVYCJezs+SimSun"/>
                <w:color w:val="000000"/>
                <w:sz w:val="12"/>
              </w:rPr>
              <w:t>60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EVYCJezs+SimSun" w:hAnsi="EVYCJezs+SimSun" w:eastAsia="EVYCJezs+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一般公共预算财政拨款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29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61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政府性基金预算财政拨款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62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国有资本经营预算财政拨款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63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I2VE7Zr+SimSun" w:hAnsi="MI2VE7Zr+SimSun" w:eastAsia="MI2VE7Zr+SimSun"/>
                <w:b/>
                <w:color w:val="000000"/>
                <w:sz w:val="12"/>
              </w:rPr>
              <w:t>总计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32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I2VE7Zr+SimSun" w:hAnsi="MI2VE7Zr+SimSun" w:eastAsia="MI2VE7Zr+SimSun"/>
                <w:b/>
                <w:color w:val="000000"/>
                <w:sz w:val="12"/>
              </w:rPr>
              <w:t>总计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VYCJezs+SimSun" w:hAnsi="EVYCJezs+SimSun" w:eastAsia="EVYCJezs+SimSun"/>
                <w:color w:val="000000"/>
                <w:sz w:val="12"/>
              </w:rPr>
              <w:t>64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471.41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bl>
    <w:p>
      <w:pPr>
        <w:autoSpaceDN w:val="0"/>
        <w:autoSpaceDE w:val="0"/>
        <w:widowControl/>
        <w:spacing w:line="120" w:lineRule="exact" w:before="58" w:after="0"/>
        <w:ind w:left="98" w:right="0" w:firstLine="0"/>
        <w:jc w:val="left"/>
      </w:pPr>
      <w:r>
        <w:rPr>
          <w:rFonts w:ascii="EAFpapsV+SimSun" w:hAnsi="EAFpapsV+SimSun" w:eastAsia="EAFpapsV+SimSun"/>
          <w:color w:val="000000"/>
          <w:sz w:val="12"/>
        </w:rPr>
        <w:t>注：本表反映本年度一般公共预算财政拨款、政府性基金预算财政拨款和国有资本经营预算财政拨款的总收支和年末结转结余情况。本表金额转换为万元时，因四舍五入可能存在尾差。</w:t>
      </w:r>
    </w:p>
    <w:p>
      <w:pPr>
        <w:autoSpaceDN w:val="0"/>
        <w:autoSpaceDE w:val="0"/>
        <w:widowControl/>
        <w:spacing w:line="200" w:lineRule="exact" w:before="6734" w:after="0"/>
        <w:ind w:left="0" w:right="0" w:firstLine="0"/>
        <w:jc w:val="center"/>
      </w:pPr>
      <w:r>
        <w:rPr>
          <w:rFonts w:ascii="Ap9kiCzR+TimesNewRomanPSMT" w:hAnsi="Ap9kiCzR+TimesNewRomanPSMT" w:eastAsia="Ap9kiCzR+TimesNewRomanPSMT"/>
          <w:color w:val="000000"/>
          <w:sz w:val="18"/>
        </w:rPr>
        <w:t>- 11 -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一般公共预算财政拨款支出决算表</w:t>
      </w:r>
    </w:p>
    <w:p>
      <w:pPr>
        <w:autoSpaceDN w:val="0"/>
        <w:autoSpaceDE w:val="0"/>
        <w:widowControl/>
        <w:spacing w:line="200" w:lineRule="exact" w:before="124" w:after="56"/>
        <w:ind w:left="0" w:right="116"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05</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EAFpapsV+SimSun" w:hAnsi="EAFpapsV+SimSun" w:eastAsia="EAFpapsV+SimSun"/>
                <w:color w:val="000000"/>
                <w:sz w:val="20"/>
              </w:rPr>
              <w:t>单位（部门）：许昌市职业技能等级评</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EAFpapsV+SimSun" w:hAnsi="EAFpapsV+SimSun" w:eastAsia="EAFpapsV+SimSun"/>
                <w:color w:val="000000"/>
                <w:sz w:val="20"/>
              </w:rPr>
              <w:t>单位：万元</w:t>
            </w:r>
          </w:p>
        </w:tc>
      </w:tr>
    </w:tbl>
    <w:p>
      <w:pPr>
        <w:autoSpaceDN w:val="0"/>
        <w:autoSpaceDE w:val="0"/>
        <w:widowControl/>
        <w:spacing w:line="200" w:lineRule="exact" w:before="56" w:after="56"/>
        <w:ind w:left="96" w:right="0" w:firstLine="0"/>
        <w:jc w:val="left"/>
      </w:pPr>
      <w:r>
        <w:rPr>
          <w:rFonts w:ascii="EAFpapsV+SimSun" w:hAnsi="EAFpapsV+SimSun" w:eastAsia="EAFpapsV+SimSun"/>
          <w:color w:val="000000"/>
          <w:sz w:val="20"/>
        </w:rPr>
        <w:t>价中心</w:t>
      </w:r>
    </w:p>
    <w:tbl>
      <w:tblPr>
        <w:tblW w:type="auto" w:w="0"/>
        <w:tblLayout w:type="fixed"/>
        <w:tblLook w:firstColumn="1" w:firstRow="1" w:lastColumn="0" w:lastRow="0" w:noHBand="0" w:noVBand="1" w:val="04A0"/>
        <w:tblInd w:w="20.0" w:type="dxa"/>
      </w:tblPr>
      <w:tblGrid>
        <w:gridCol w:w="954"/>
        <w:gridCol w:w="3780"/>
        <w:gridCol w:w="1440"/>
        <w:gridCol w:w="1440"/>
        <w:gridCol w:w="1452"/>
      </w:tblGrid>
      <w:tr>
        <w:trPr>
          <w:trHeight w:hRule="exact" w:val="282"/>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AFpapsV+SimSun" w:hAnsi="EAFpapsV+SimSun" w:eastAsia="EAFpapsV+SimSun"/>
                <w:color w:val="000000"/>
                <w:sz w:val="13"/>
              </w:rPr>
              <w:t>项目</w:t>
            </w:r>
          </w:p>
        </w:tc>
        <w:tc>
          <w:tcPr>
            <w:tcW w:type="dxa" w:w="4332"/>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EAFpapsV+SimSun" w:hAnsi="EAFpapsV+SimSun" w:eastAsia="EAFpapsV+SimSun"/>
                <w:color w:val="000000"/>
                <w:sz w:val="13"/>
              </w:rPr>
              <w:t>本年支出</w:t>
            </w:r>
          </w:p>
        </w:tc>
      </w:tr>
      <w:tr>
        <w:trPr>
          <w:trHeight w:hRule="exact" w:val="83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262" w:after="0"/>
              <w:ind w:left="0" w:right="0" w:firstLine="0"/>
              <w:jc w:val="center"/>
            </w:pPr>
            <w:r>
              <w:rPr>
                <w:rFonts w:ascii="EAFpapsV+SimSun" w:hAnsi="EAFpapsV+SimSun" w:eastAsia="EAFpapsV+SimSun"/>
                <w:color w:val="000000"/>
                <w:sz w:val="13"/>
              </w:rPr>
              <w:t>功能分类</w:t>
            </w:r>
          </w:p>
          <w:p>
            <w:pPr>
              <w:autoSpaceDN w:val="0"/>
              <w:autoSpaceDE w:val="0"/>
              <w:widowControl/>
              <w:spacing w:line="130" w:lineRule="exact" w:before="38" w:after="0"/>
              <w:ind w:left="0" w:right="0" w:firstLine="0"/>
              <w:jc w:val="center"/>
            </w:pPr>
            <w:r>
              <w:rPr>
                <w:rFonts w:ascii="EAFpapsV+SimSun" w:hAnsi="EAFpapsV+SimSun" w:eastAsia="EAFpapsV+SimSun"/>
                <w:color w:val="000000"/>
                <w:sz w:val="13"/>
              </w:rPr>
              <w:t>科目编码</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EAFpapsV+SimSun" w:hAnsi="EAFpapsV+SimSun" w:eastAsia="EAFpapsV+SimSun"/>
                <w:color w:val="000000"/>
                <w:sz w:val="13"/>
              </w:rPr>
              <w:t>科目名称</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EAFpapsV+SimSun" w:hAnsi="EAFpapsV+SimSun" w:eastAsia="EAFpapsV+SimSun"/>
                <w:color w:val="000000"/>
                <w:sz w:val="13"/>
              </w:rPr>
              <w:t>小计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EAFpapsV+SimSun" w:hAnsi="EAFpapsV+SimSun" w:eastAsia="EAFpapsV+SimSun"/>
                <w:color w:val="000000"/>
                <w:sz w:val="13"/>
              </w:rPr>
              <w:t>基本支出</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EAFpapsV+SimSun" w:hAnsi="EAFpapsV+SimSun" w:eastAsia="EAFpapsV+SimSun"/>
                <w:color w:val="000000"/>
                <w:sz w:val="13"/>
              </w:rPr>
              <w:t>项目支出</w:t>
            </w:r>
          </w:p>
        </w:tc>
      </w:tr>
      <w:tr>
        <w:trPr>
          <w:trHeight w:hRule="exact" w:val="288"/>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EAFpapsV+SimSun" w:hAnsi="EAFpapsV+SimSun" w:eastAsia="EAFpapsV+SimSun"/>
                <w:color w:val="000000"/>
                <w:sz w:val="13"/>
              </w:rPr>
              <w:t>栏次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EVYCJezs+SimSun" w:hAnsi="EVYCJezs+SimSun" w:eastAsia="EVYCJezs+SimSun"/>
                <w:color w:val="000000"/>
                <w:sz w:val="13"/>
              </w:rPr>
              <w:t>1</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EVYCJezs+SimSun" w:hAnsi="EVYCJezs+SimSun" w:eastAsia="EVYCJezs+SimSun"/>
                <w:color w:val="000000"/>
                <w:sz w:val="13"/>
              </w:rPr>
              <w:t>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EVYCJezs+SimSun" w:hAnsi="EVYCJezs+SimSun" w:eastAsia="EVYCJezs+SimSun"/>
                <w:color w:val="000000"/>
                <w:sz w:val="13"/>
              </w:rPr>
              <w:t>3</w:t>
            </w:r>
          </w:p>
        </w:tc>
      </w:tr>
      <w:tr>
        <w:trPr>
          <w:trHeight w:hRule="exact" w:val="288"/>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EAFpapsV+SimSun" w:hAnsi="EAFpapsV+SimSun" w:eastAsia="EAFpapsV+SimSun"/>
                <w:color w:val="000000"/>
                <w:sz w:val="13"/>
              </w:rPr>
              <w:t>合计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471.41</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218.14</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253.27</w:t>
            </w:r>
          </w:p>
        </w:tc>
      </w:tr>
      <w:tr>
        <w:trPr>
          <w:trHeight w:hRule="exact" w:val="28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EVYCJezs+SimSun" w:hAnsi="EVYCJezs+SimSun" w:eastAsia="EVYCJezs+SimSun"/>
                <w:color w:val="000000"/>
                <w:sz w:val="13"/>
              </w:rPr>
              <w:t>201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EAFpapsV+SimSun" w:hAnsi="EAFpapsV+SimSun" w:eastAsia="EAFpapsV+SimSun"/>
                <w:color w:val="000000"/>
                <w:sz w:val="13"/>
              </w:rPr>
              <w:t>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0.79</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0.79</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r>
      <w:tr>
        <w:trPr>
          <w:trHeight w:hRule="exact" w:val="290"/>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20129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群众团体事务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0.79</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0.79</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EVYCJezs+SimSun" w:hAnsi="EVYCJezs+SimSun" w:eastAsia="EVYCJezs+SimSun"/>
                <w:color w:val="000000"/>
                <w:sz w:val="13"/>
              </w:rPr>
              <w:t>2012906</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EAFpapsV+SimSun" w:hAnsi="EAFpapsV+SimSun" w:eastAsia="EAFpapsV+SimSun"/>
                <w:color w:val="000000"/>
                <w:sz w:val="13"/>
              </w:rPr>
              <w:t>工会事务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0.79</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0.79</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EVYCJezs+SimSun" w:hAnsi="EVYCJezs+SimSun" w:eastAsia="EVYCJezs+SimSun"/>
                <w:color w:val="000000"/>
                <w:sz w:val="13"/>
              </w:rPr>
              <w:t>20199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EAFpapsV+SimSun" w:hAnsi="EAFpapsV+SimSun" w:eastAsia="EAFpapsV+SimSun"/>
                <w:color w:val="000000"/>
                <w:sz w:val="13"/>
              </w:rPr>
              <w:t>其他一般公共服务支出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EVYCJezs+SimSun" w:hAnsi="EVYCJezs+SimSun" w:eastAsia="EVYCJezs+SimSun"/>
                <w:color w:val="000000"/>
                <w:sz w:val="13"/>
              </w:rPr>
              <w:t>2019999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EAFpapsV+SimSun" w:hAnsi="EAFpapsV+SimSun" w:eastAsia="EAFpapsV+SimSun"/>
                <w:color w:val="000000"/>
                <w:sz w:val="13"/>
              </w:rPr>
              <w:t>其他一般公共服务支出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r>
      <w:tr>
        <w:trPr>
          <w:trHeight w:hRule="exact" w:val="28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EVYCJezs+SimSun" w:hAnsi="EVYCJezs+SimSun" w:eastAsia="EVYCJezs+SimSun"/>
                <w:color w:val="000000"/>
                <w:sz w:val="13"/>
              </w:rPr>
              <w:t>206</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EAFpapsV+SimSun" w:hAnsi="EAFpapsV+SimSun" w:eastAsia="EAFpapsV+SimSun"/>
                <w:color w:val="000000"/>
                <w:sz w:val="13"/>
              </w:rPr>
              <w:t>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13.06</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13.06</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20699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其他科学技术支出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13.06</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13.06</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2069999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其他科学技术支出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13.06</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13.06</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社会保障和就业支出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427.16</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173.89</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253.27</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人力资源和社会保障管理事务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414.02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170.62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243.40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行政运行</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170.62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170.62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2080102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一般行政管理事务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115.43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115.43</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2080111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公共就业服务和职业技能鉴定机构</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4.46</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4.46</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2080150</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事业运行</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2080199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其他人力资源和社会保障管理事务支出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123.51</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123.51</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20805</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行政事业单位养老支出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3.27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3.27</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2080505</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机关事业单位基本养老保险缴费支出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3.27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3.27</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20807</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就业补助</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9.87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9.87</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2080705</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公益性岗位补贴</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9.87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9.87</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2080799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其他就业补助支出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210</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卫生健康支出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12.58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12.58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21011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行政事业单位医疗</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12.58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12.58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2101101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行政单位医疗</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6.05</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6.05</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2101103</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公务员医疗补助</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6.53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6.53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221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住房保障支出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22102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住房改革支出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EVYCJezs+SimSun" w:hAnsi="EVYCJezs+SimSun" w:eastAsia="EVYCJezs+SimSun"/>
                <w:color w:val="000000"/>
                <w:sz w:val="13"/>
              </w:rPr>
              <w:t>2210201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EAFpapsV+SimSun" w:hAnsi="EAFpapsV+SimSun" w:eastAsia="EAFpapsV+SimSun"/>
                <w:color w:val="000000"/>
                <w:sz w:val="13"/>
              </w:rPr>
              <w:t>住房公积金</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17.82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EVYCJezs+SimSun" w:hAnsi="EVYCJezs+SimSun" w:eastAsia="EVYCJezs+SimSun"/>
                <w:color w:val="000000"/>
                <w:sz w:val="13"/>
              </w:rPr>
              <w:t xml:space="preserve"> 0.00</w:t>
            </w:r>
          </w:p>
        </w:tc>
      </w:tr>
    </w:tbl>
    <w:p>
      <w:pPr>
        <w:autoSpaceDN w:val="0"/>
        <w:autoSpaceDE w:val="0"/>
        <w:widowControl/>
        <w:spacing w:line="130" w:lineRule="exact" w:before="74" w:after="0"/>
        <w:ind w:left="96" w:right="0" w:firstLine="0"/>
        <w:jc w:val="left"/>
      </w:pPr>
      <w:r>
        <w:rPr>
          <w:rFonts w:ascii="EAFpapsV+SimSun" w:hAnsi="EAFpapsV+SimSun" w:eastAsia="EAFpapsV+SimSun"/>
          <w:color w:val="000000"/>
          <w:sz w:val="13"/>
        </w:rPr>
        <w:t>注：本表反映本年度一般公共预算财政拨款支出情况。本表金额转换为万元时，因四舍五入可能存在尾差。</w:t>
      </w:r>
    </w:p>
    <w:p>
      <w:pPr>
        <w:autoSpaceDN w:val="0"/>
        <w:autoSpaceDE w:val="0"/>
        <w:widowControl/>
        <w:spacing w:line="200" w:lineRule="exact" w:before="3792" w:after="0"/>
        <w:ind w:left="0" w:right="0" w:firstLine="0"/>
        <w:jc w:val="center"/>
      </w:pPr>
      <w:r>
        <w:rPr>
          <w:rFonts w:ascii="Ap9kiCzR+TimesNewRomanPSMT" w:hAnsi="Ap9kiCzR+TimesNewRomanPSMT" w:eastAsia="Ap9kiCzR+TimesNewRomanPSMT"/>
          <w:color w:val="000000"/>
          <w:sz w:val="18"/>
        </w:rPr>
        <w:t>- 12 -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一般公共预算财政拨款基本支出决算明细表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06</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80"/>
        <w:gridCol w:w="4840"/>
        <w:gridCol w:w="3780"/>
      </w:tblGrid>
      <w:tr>
        <w:trPr>
          <w:trHeight w:hRule="exact" w:val="288"/>
        </w:trPr>
        <w:tc>
          <w:tcPr>
            <w:tcW w:type="dxa" w:w="528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单位（部门）：许昌市职业技能等级评价中心</w:t>
            </w:r>
          </w:p>
        </w:tc>
        <w:tc>
          <w:tcPr>
            <w:tcW w:type="dxa" w:w="4840"/>
            <w:tcMar>
              <w:start w:w="0" w:type="dxa"/>
              <w:end w:w="0" w:type="dxa"/>
            </w:tcMar>
          </w:tcPr>
          <w:p>
            <w:pPr>
              <w:autoSpaceDN w:val="0"/>
              <w:autoSpaceDE w:val="0"/>
              <w:widowControl/>
              <w:spacing w:line="200" w:lineRule="exact" w:before="56" w:after="0"/>
              <w:ind w:left="0" w:right="273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856"/>
        <w:gridCol w:w="2600"/>
        <w:gridCol w:w="1040"/>
        <w:gridCol w:w="860"/>
        <w:gridCol w:w="2600"/>
        <w:gridCol w:w="1040"/>
        <w:gridCol w:w="860"/>
        <w:gridCol w:w="3040"/>
        <w:gridCol w:w="1058"/>
      </w:tblGrid>
      <w:tr>
        <w:trPr>
          <w:trHeight w:hRule="exact" w:val="254"/>
        </w:trPr>
        <w:tc>
          <w:tcPr>
            <w:tcW w:type="dxa" w:w="449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AFpapsV+SimSun" w:hAnsi="EAFpapsV+SimSun" w:eastAsia="EAFpapsV+SimSun"/>
                <w:color w:val="000000"/>
                <w:sz w:val="12"/>
              </w:rPr>
              <w:t>人员经费</w:t>
            </w:r>
          </w:p>
        </w:tc>
        <w:tc>
          <w:tcPr>
            <w:tcW w:type="dxa" w:w="945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EAFpapsV+SimSun" w:hAnsi="EAFpapsV+SimSun" w:eastAsia="EAFpapsV+SimSun"/>
                <w:color w:val="000000"/>
                <w:sz w:val="12"/>
              </w:rPr>
              <w:t>公用经费</w:t>
            </w:r>
          </w:p>
        </w:tc>
      </w:tr>
      <w:tr>
        <w:trPr>
          <w:trHeight w:hRule="exact" w:val="52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EAFpapsV+SimSun" w:hAnsi="EAFpapsV+SimSun" w:eastAsia="EAFpapsV+SimSun"/>
                <w:color w:val="000000"/>
                <w:sz w:val="12"/>
              </w:rPr>
              <w:t>经济分类科</w:t>
            </w:r>
          </w:p>
          <w:p>
            <w:pPr>
              <w:autoSpaceDN w:val="0"/>
              <w:autoSpaceDE w:val="0"/>
              <w:widowControl/>
              <w:spacing w:line="120" w:lineRule="exact" w:before="36" w:after="0"/>
              <w:ind w:left="0" w:right="0" w:firstLine="0"/>
              <w:jc w:val="center"/>
            </w:pPr>
            <w:r>
              <w:rPr>
                <w:rFonts w:ascii="EAFpapsV+SimSun" w:hAnsi="EAFpapsV+SimSun" w:eastAsia="EAFpapsV+SimSun"/>
                <w:color w:val="000000"/>
                <w:sz w:val="12"/>
              </w:rPr>
              <w:t>目编码</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科目名称</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决算数</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EAFpapsV+SimSun" w:hAnsi="EAFpapsV+SimSun" w:eastAsia="EAFpapsV+SimSun"/>
                <w:color w:val="000000"/>
                <w:sz w:val="12"/>
              </w:rPr>
              <w:t>经济分类科</w:t>
            </w:r>
          </w:p>
          <w:p>
            <w:pPr>
              <w:autoSpaceDN w:val="0"/>
              <w:autoSpaceDE w:val="0"/>
              <w:widowControl/>
              <w:spacing w:line="120" w:lineRule="exact" w:before="36" w:after="0"/>
              <w:ind w:left="0" w:right="0" w:firstLine="0"/>
              <w:jc w:val="center"/>
            </w:pPr>
            <w:r>
              <w:rPr>
                <w:rFonts w:ascii="EAFpapsV+SimSun" w:hAnsi="EAFpapsV+SimSun" w:eastAsia="EAFpapsV+SimSun"/>
                <w:color w:val="000000"/>
                <w:sz w:val="12"/>
              </w:rPr>
              <w:t>目编码</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科目名称</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决算数</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EAFpapsV+SimSun" w:hAnsi="EAFpapsV+SimSun" w:eastAsia="EAFpapsV+SimSun"/>
                <w:color w:val="000000"/>
                <w:sz w:val="12"/>
              </w:rPr>
              <w:t>经济分类科</w:t>
            </w:r>
          </w:p>
          <w:p>
            <w:pPr>
              <w:autoSpaceDN w:val="0"/>
              <w:autoSpaceDE w:val="0"/>
              <w:widowControl/>
              <w:spacing w:line="120" w:lineRule="exact" w:before="36" w:after="0"/>
              <w:ind w:left="0" w:right="0" w:firstLine="0"/>
              <w:jc w:val="center"/>
            </w:pPr>
            <w:r>
              <w:rPr>
                <w:rFonts w:ascii="EAFpapsV+SimSun" w:hAnsi="EAFpapsV+SimSun" w:eastAsia="EAFpapsV+SimSun"/>
                <w:color w:val="000000"/>
                <w:sz w:val="12"/>
              </w:rPr>
              <w:t>目编码</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科目名称</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EAFpapsV+SimSun" w:hAnsi="EAFpapsV+SimSun" w:eastAsia="EAFpapsV+SimSun"/>
                <w:color w:val="000000"/>
                <w:sz w:val="12"/>
              </w:rPr>
              <w:t>决算数</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工资福利支出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191.52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商品和服务支出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23.32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债务利息及费用支出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基本工资</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82.92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办公费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8.30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30701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国内债务付息</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津贴补贴</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48.25</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印刷费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30702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国外债务付息</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奖金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13.47</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咨询费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资本性支出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2.31</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伙食补助费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手续费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房屋建筑物购建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绩效工资</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办公设备购置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2.31</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机关事业单位基本养老保险缴费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16.34</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电费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31003</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专用设备购置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职业年金缴费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邮电费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0.28</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31005</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基础设施建设</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30110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职工基本医疗保险缴费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6.05</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取暖费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31006</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大型修缮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公务员医疗补助缴费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6.53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物业管理费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信息网络及软件购置更新</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30112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其他社会保障缴费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0.15</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差旅费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2.80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31008</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物资储备</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30113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住房公积金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17.82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因公出国（境）费用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31009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土地补偿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30114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医疗费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维修（护）费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安置补助</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30199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其他工资福利支出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租赁费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31011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地上附着物和青苗补偿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对个人和家庭的补助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0.98</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会议费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31012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拆迁补偿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离休费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培训费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31013</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公务用车购置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退休费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公务接待费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0.44</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31019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其他交通工具购置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退职（役）费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30218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专用材料费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31021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文物和陈列品购置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抚恤金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被装购置费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31022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无形资产购置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生活补助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0.98</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专用燃料费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31099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其他资本性支出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救济费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劳务费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AFpapsV+SimSun" w:hAnsi="EAFpapsV+SimSun" w:eastAsia="EAFpapsV+SimSun"/>
                <w:color w:val="000000"/>
                <w:sz w:val="12"/>
              </w:rPr>
              <w:t>其他支出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医疗费补助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委托业务费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39907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国家赔偿费用支出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助学金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工会经费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0.79</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39908</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对民间非营利组织和群众性自治组织补贴</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奖励金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30229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福利费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0.80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39909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经常性赠与</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bl>
    <w:p>
      <w:pPr>
        <w:autoSpaceDN w:val="0"/>
        <w:autoSpaceDE w:val="0"/>
        <w:widowControl/>
        <w:spacing w:line="200" w:lineRule="exact" w:before="904" w:after="0"/>
        <w:ind w:left="0" w:right="0" w:firstLine="0"/>
        <w:jc w:val="center"/>
      </w:pPr>
      <w:r>
        <w:rPr>
          <w:rFonts w:ascii="Ap9kiCzR+TimesNewRomanPSMT" w:hAnsi="Ap9kiCzR+TimesNewRomanPSMT" w:eastAsia="Ap9kiCzR+TimesNewRomanPSMT"/>
          <w:color w:val="000000"/>
          <w:sz w:val="18"/>
        </w:rPr>
        <w:t>- 13 -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856"/>
        <w:gridCol w:w="2600"/>
        <w:gridCol w:w="1040"/>
        <w:gridCol w:w="860"/>
        <w:gridCol w:w="2600"/>
        <w:gridCol w:w="1040"/>
        <w:gridCol w:w="860"/>
        <w:gridCol w:w="3040"/>
        <w:gridCol w:w="1058"/>
      </w:tblGrid>
      <w:tr>
        <w:trPr>
          <w:trHeight w:hRule="exact" w:val="254"/>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68" w:right="0" w:firstLine="0"/>
              <w:jc w:val="left"/>
            </w:pPr>
            <w:r>
              <w:rPr>
                <w:rFonts w:ascii="EVYCJezs+SimSun" w:hAnsi="EVYCJezs+SimSun" w:eastAsia="EVYCJezs+SimSun"/>
                <w:color w:val="000000"/>
                <w:sz w:val="12"/>
              </w:rPr>
              <w:t>30310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个人农业生产补贴</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VYCJezs+SimSun" w:hAnsi="EVYCJezs+SimSun" w:eastAsia="EVYCJezs+SimSun"/>
                <w:color w:val="000000"/>
                <w:sz w:val="12"/>
              </w:rPr>
              <w:t>30231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公务用车运行维护费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EVYCJezs+SimSun" w:hAnsi="EVYCJezs+SimSun" w:eastAsia="EVYCJezs+SimSun"/>
                <w:color w:val="000000"/>
                <w:sz w:val="12"/>
              </w:rPr>
              <w:t>39910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资本性赠与</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代缴社会保险费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30239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其他交通费用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9.92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39999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EVYCJezs+SimSun" w:hAnsi="EVYCJezs+SimSun" w:eastAsia="EVYCJezs+SimSun"/>
                <w:color w:val="000000"/>
                <w:sz w:val="12"/>
              </w:rPr>
              <w:t>30399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其他对个人和家庭的补助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30240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税金及附加费用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tc>
        <w:tc>
          <w:tcPr>
            <w:tcW w:type="dxa" w:w="3040"/>
            <w:tcBorders>
              <w:left w:sz="8.0" w:val="single" w:color="000000"/>
              <w:top w:sz="8.0" w:val="single" w:color="000000"/>
              <w:right w:sz="8.0" w:val="single" w:color="000000"/>
              <w:bottom w:sz="8.0" w:val="single" w:color="000000"/>
            </w:tcBorders>
            <w:tcMar>
              <w:start w:w="0" w:type="dxa"/>
              <w:end w:w="0" w:type="dxa"/>
            </w:tcMar>
          </w:tcPr>
          <w:p/>
        </w:tc>
        <w:tc>
          <w:tcPr>
            <w:tcW w:type="dxa" w:w="1058"/>
            <w:tcBorders>
              <w:left w:sz="8.0" w:val="single" w:color="000000"/>
              <w:top w:sz="8.0" w:val="single" w:color="000000"/>
              <w:right w:sz="8.0" w:val="single" w:color="000000"/>
              <w:bottom w:sz="8.0" w:val="single" w:color="000000"/>
            </w:tcBorders>
            <w:tcMar>
              <w:start w:w="0" w:type="dxa"/>
              <w:end w:w="0" w:type="dxa"/>
            </w:tcMar>
          </w:tcP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tc>
        <w:tc>
          <w:tcPr>
            <w:tcW w:type="dxa" w:w="2600"/>
            <w:tcBorders>
              <w:left w:sz="8.0" w:val="single" w:color="000000"/>
              <w:top w:sz="8.0" w:val="single" w:color="000000"/>
              <w:right w:sz="8.0" w:val="single" w:color="000000"/>
              <w:bottom w:sz="8.0" w:val="single" w:color="000000"/>
            </w:tcBorders>
            <w:tcMar>
              <w:start w:w="0" w:type="dxa"/>
              <w:end w:w="0" w:type="dxa"/>
            </w:tcMar>
          </w:tcPr>
          <w:p/>
        </w:tc>
        <w:tc>
          <w:tcPr>
            <w:tcW w:type="dxa" w:w="1040"/>
            <w:tcBorders>
              <w:left w:sz="8.0" w:val="single" w:color="000000"/>
              <w:top w:sz="8.0" w:val="single" w:color="000000"/>
              <w:right w:sz="8.0" w:val="single" w:color="000000"/>
              <w:bottom w:sz="8.0" w:val="single" w:color="000000"/>
            </w:tcBorders>
            <w:tcMar>
              <w:start w:w="0" w:type="dxa"/>
              <w:end w:w="0" w:type="dxa"/>
            </w:tcMar>
          </w:tcP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EVYCJezs+SimSun" w:hAnsi="EVYCJezs+SimSun" w:eastAsia="EVYCJezs+SimSun"/>
                <w:color w:val="000000"/>
                <w:sz w:val="12"/>
              </w:rPr>
              <w:t>30299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EVYCJezs+SimSun" w:hAnsi="EVYCJezs+SimSun" w:eastAsia="EVYCJezs+SimSun"/>
                <w:color w:val="000000"/>
                <w:sz w:val="12"/>
              </w:rPr>
              <w:t xml:space="preserve"> </w:t>
            </w:r>
            <w:r>
              <w:rPr>
                <w:rFonts w:ascii="EAFpapsV+SimSun" w:hAnsi="EAFpapsV+SimSun" w:eastAsia="EAFpapsV+SimSun"/>
                <w:color w:val="000000"/>
                <w:sz w:val="12"/>
              </w:rPr>
              <w:t>其他商品和服务支出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tc>
        <w:tc>
          <w:tcPr>
            <w:tcW w:type="dxa" w:w="3040"/>
            <w:tcBorders>
              <w:left w:sz="8.0" w:val="single" w:color="000000"/>
              <w:top w:sz="8.0" w:val="single" w:color="000000"/>
              <w:right w:sz="8.0" w:val="single" w:color="000000"/>
              <w:bottom w:sz="8.0" w:val="single" w:color="000000"/>
            </w:tcBorders>
            <w:tcMar>
              <w:start w:w="0" w:type="dxa"/>
              <w:end w:w="0" w:type="dxa"/>
            </w:tcMar>
          </w:tcPr>
          <w:p/>
        </w:tc>
        <w:tc>
          <w:tcPr>
            <w:tcW w:type="dxa" w:w="1058"/>
            <w:tcBorders>
              <w:left w:sz="8.0" w:val="single" w:color="000000"/>
              <w:top w:sz="8.0" w:val="single" w:color="000000"/>
              <w:right w:sz="8.0" w:val="single" w:color="000000"/>
              <w:bottom w:sz="8.0" w:val="single" w:color="000000"/>
            </w:tcBorders>
            <w:tcMar>
              <w:start w:w="0" w:type="dxa"/>
              <w:end w:w="0" w:type="dxa"/>
            </w:tcMar>
          </w:tcPr>
          <w:p/>
        </w:tc>
      </w:tr>
      <w:tr>
        <w:trPr>
          <w:trHeight w:hRule="exact" w:val="260"/>
        </w:trPr>
        <w:tc>
          <w:tcPr>
            <w:tcW w:type="dxa" w:w="345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0" w:firstLine="0"/>
              <w:jc w:val="center"/>
            </w:pPr>
            <w:r>
              <w:rPr>
                <w:rFonts w:ascii="EAFpapsV+SimSun" w:hAnsi="EAFpapsV+SimSun" w:eastAsia="EAFpapsV+SimSun"/>
                <w:color w:val="000000"/>
                <w:sz w:val="12"/>
              </w:rPr>
              <w:t>人员经费合计</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192.51</w:t>
            </w:r>
          </w:p>
        </w:tc>
        <w:tc>
          <w:tcPr>
            <w:tcW w:type="dxa" w:w="8400"/>
            <w:gridSpan w:val="5"/>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0" w:firstLine="0"/>
              <w:jc w:val="center"/>
            </w:pPr>
            <w:r>
              <w:rPr>
                <w:rFonts w:ascii="EAFpapsV+SimSun" w:hAnsi="EAFpapsV+SimSun" w:eastAsia="EAFpapsV+SimSun"/>
                <w:color w:val="000000"/>
                <w:sz w:val="12"/>
              </w:rPr>
              <w:t>公用经费合计</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EVYCJezs+SimSun" w:hAnsi="EVYCJezs+SimSun" w:eastAsia="EVYCJezs+SimSun"/>
                <w:color w:val="000000"/>
                <w:sz w:val="12"/>
              </w:rPr>
              <w:t>25.63</w:t>
            </w:r>
          </w:p>
        </w:tc>
      </w:tr>
    </w:tbl>
    <w:p>
      <w:pPr>
        <w:autoSpaceDN w:val="0"/>
        <w:autoSpaceDE w:val="0"/>
        <w:widowControl/>
        <w:spacing w:line="120" w:lineRule="exact" w:before="64" w:after="0"/>
        <w:ind w:left="98" w:right="0" w:firstLine="0"/>
        <w:jc w:val="left"/>
      </w:pPr>
      <w:r>
        <w:rPr>
          <w:rFonts w:ascii="EAFpapsV+SimSun" w:hAnsi="EAFpapsV+SimSun" w:eastAsia="EAFpapsV+SimSun"/>
          <w:color w:val="000000"/>
          <w:sz w:val="12"/>
        </w:rPr>
        <w:t>注：本表反映本年度一般公共预算财政拨款基本支出明细情况。本表金额转换为万元时，因四舍五入可能存在尾差。</w:t>
      </w:r>
    </w:p>
    <w:p>
      <w:pPr>
        <w:autoSpaceDN w:val="0"/>
        <w:autoSpaceDE w:val="0"/>
        <w:widowControl/>
        <w:spacing w:line="200" w:lineRule="exact" w:before="7688" w:after="0"/>
        <w:ind w:left="0" w:right="0" w:firstLine="0"/>
        <w:jc w:val="center"/>
      </w:pPr>
      <w:r>
        <w:rPr>
          <w:rFonts w:ascii="Ap9kiCzR+TimesNewRomanPSMT" w:hAnsi="Ap9kiCzR+TimesNewRomanPSMT" w:eastAsia="Ap9kiCzR+TimesNewRomanPSMT"/>
          <w:color w:val="000000"/>
          <w:sz w:val="18"/>
        </w:rPr>
        <w:t>- 14 -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政府性基金预算财政拨款收入支出决算表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07</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80"/>
        <w:gridCol w:w="4840"/>
        <w:gridCol w:w="3780"/>
      </w:tblGrid>
      <w:tr>
        <w:trPr>
          <w:trHeight w:hRule="exact" w:val="288"/>
        </w:trPr>
        <w:tc>
          <w:tcPr>
            <w:tcW w:type="dxa" w:w="528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单位（部门）：许昌市职业技能等级评价中心</w:t>
            </w:r>
          </w:p>
        </w:tc>
        <w:tc>
          <w:tcPr>
            <w:tcW w:type="dxa" w:w="4840"/>
            <w:tcMar>
              <w:start w:w="0" w:type="dxa"/>
              <w:end w:w="0" w:type="dxa"/>
            </w:tcMar>
          </w:tcPr>
          <w:p>
            <w:pPr>
              <w:autoSpaceDN w:val="0"/>
              <w:autoSpaceDE w:val="0"/>
              <w:widowControl/>
              <w:spacing w:line="200" w:lineRule="exact" w:before="56" w:after="0"/>
              <w:ind w:left="0" w:right="273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316"/>
        <w:gridCol w:w="4380"/>
        <w:gridCol w:w="1380"/>
        <w:gridCol w:w="1380"/>
        <w:gridCol w:w="1380"/>
        <w:gridCol w:w="1380"/>
        <w:gridCol w:w="1380"/>
        <w:gridCol w:w="1358"/>
      </w:tblGrid>
      <w:tr>
        <w:trPr>
          <w:trHeight w:hRule="exact" w:val="370"/>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86" w:after="0"/>
              <w:ind w:left="0" w:right="0" w:firstLine="0"/>
              <w:jc w:val="center"/>
            </w:pPr>
            <w:r>
              <w:rPr>
                <w:rFonts w:ascii="EAFpapsV+SimSun" w:hAnsi="EAFpapsV+SimSun" w:eastAsia="EAFpapsV+SimSun"/>
                <w:color w:val="000000"/>
                <w:sz w:val="18"/>
              </w:rPr>
              <w:t>项目</w:t>
            </w:r>
          </w:p>
        </w:tc>
        <w:tc>
          <w:tcPr>
            <w:tcW w:type="dxa" w:w="138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534" w:after="0"/>
              <w:ind w:left="0" w:right="0" w:firstLine="0"/>
              <w:jc w:val="center"/>
            </w:pPr>
            <w:r>
              <w:rPr>
                <w:rFonts w:ascii="EAFpapsV+SimSun" w:hAnsi="EAFpapsV+SimSun" w:eastAsia="EAFpapsV+SimSun"/>
                <w:color w:val="000000"/>
                <w:sz w:val="18"/>
              </w:rPr>
              <w:t>年初结转和结</w:t>
            </w:r>
          </w:p>
          <w:p>
            <w:pPr>
              <w:autoSpaceDN w:val="0"/>
              <w:autoSpaceDE w:val="0"/>
              <w:widowControl/>
              <w:spacing w:line="180" w:lineRule="exact" w:before="54" w:after="0"/>
              <w:ind w:left="0" w:right="0" w:firstLine="0"/>
              <w:jc w:val="center"/>
            </w:pPr>
            <w:r>
              <w:rPr>
                <w:rFonts w:ascii="EAFpapsV+SimSun" w:hAnsi="EAFpapsV+SimSun" w:eastAsia="EAFpapsV+SimSun"/>
                <w:color w:val="000000"/>
                <w:sz w:val="18"/>
              </w:rPr>
              <w:t>余</w:t>
            </w:r>
          </w:p>
        </w:tc>
        <w:tc>
          <w:tcPr>
            <w:tcW w:type="dxa" w:w="138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650" w:after="0"/>
              <w:ind w:left="0" w:right="0" w:firstLine="0"/>
              <w:jc w:val="center"/>
            </w:pPr>
            <w:r>
              <w:rPr>
                <w:rFonts w:ascii="EAFpapsV+SimSun" w:hAnsi="EAFpapsV+SimSun" w:eastAsia="EAFpapsV+SimSun"/>
                <w:color w:val="000000"/>
                <w:sz w:val="18"/>
              </w:rPr>
              <w:t>本年收入</w:t>
            </w:r>
          </w:p>
        </w:tc>
        <w:tc>
          <w:tcPr>
            <w:tcW w:type="dxa" w:w="414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86" w:after="0"/>
              <w:ind w:left="0" w:right="0" w:firstLine="0"/>
              <w:jc w:val="center"/>
            </w:pPr>
            <w:r>
              <w:rPr>
                <w:rFonts w:ascii="EAFpapsV+SimSun" w:hAnsi="EAFpapsV+SimSun" w:eastAsia="EAFpapsV+SimSun"/>
                <w:color w:val="000000"/>
                <w:sz w:val="18"/>
              </w:rPr>
              <w:t>本年支出</w:t>
            </w:r>
          </w:p>
        </w:tc>
        <w:tc>
          <w:tcPr>
            <w:tcW w:type="dxa" w:w="1358"/>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534" w:after="0"/>
              <w:ind w:left="0" w:right="0" w:firstLine="0"/>
              <w:jc w:val="center"/>
            </w:pPr>
            <w:r>
              <w:rPr>
                <w:rFonts w:ascii="EAFpapsV+SimSun" w:hAnsi="EAFpapsV+SimSun" w:eastAsia="EAFpapsV+SimSun"/>
                <w:color w:val="000000"/>
                <w:sz w:val="18"/>
              </w:rPr>
              <w:t>年末结转和结</w:t>
            </w:r>
          </w:p>
          <w:p>
            <w:pPr>
              <w:autoSpaceDN w:val="0"/>
              <w:autoSpaceDE w:val="0"/>
              <w:widowControl/>
              <w:spacing w:line="180" w:lineRule="exact" w:before="54" w:after="0"/>
              <w:ind w:left="0" w:right="0" w:firstLine="0"/>
              <w:jc w:val="center"/>
            </w:pPr>
            <w:r>
              <w:rPr>
                <w:rFonts w:ascii="EAFpapsV+SimSun" w:hAnsi="EAFpapsV+SimSun" w:eastAsia="EAFpapsV+SimSun"/>
                <w:color w:val="000000"/>
                <w:sz w:val="18"/>
              </w:rPr>
              <w:t>余</w:t>
            </w:r>
          </w:p>
        </w:tc>
      </w:tr>
      <w:tr>
        <w:trPr>
          <w:trHeight w:hRule="exact" w:val="1128"/>
        </w:trPr>
        <w:tc>
          <w:tcPr>
            <w:tcW w:type="dxa" w:w="13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352" w:after="0"/>
              <w:ind w:left="0" w:right="0" w:firstLine="0"/>
              <w:jc w:val="center"/>
            </w:pPr>
            <w:r>
              <w:rPr>
                <w:rFonts w:ascii="EAFpapsV+SimSun" w:hAnsi="EAFpapsV+SimSun" w:eastAsia="EAFpapsV+SimSun"/>
                <w:color w:val="000000"/>
                <w:sz w:val="18"/>
              </w:rPr>
              <w:t>功能分类</w:t>
            </w:r>
          </w:p>
          <w:p>
            <w:pPr>
              <w:autoSpaceDN w:val="0"/>
              <w:autoSpaceDE w:val="0"/>
              <w:widowControl/>
              <w:spacing w:line="180" w:lineRule="exact" w:before="54" w:after="0"/>
              <w:ind w:left="0" w:right="0" w:firstLine="0"/>
              <w:jc w:val="center"/>
            </w:pPr>
            <w:r>
              <w:rPr>
                <w:rFonts w:ascii="EAFpapsV+SimSun" w:hAnsi="EAFpapsV+SimSun" w:eastAsia="EAFpapsV+SimSun"/>
                <w:color w:val="000000"/>
                <w:sz w:val="18"/>
              </w:rPr>
              <w:t>科目编码</w:t>
            </w:r>
          </w:p>
        </w:tc>
        <w:tc>
          <w:tcPr>
            <w:tcW w:type="dxa" w:w="4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EAFpapsV+SimSun" w:hAnsi="EAFpapsV+SimSun" w:eastAsia="EAFpapsV+SimSun"/>
                <w:color w:val="000000"/>
                <w:sz w:val="18"/>
              </w:rPr>
              <w:t>科目名称</w:t>
            </w:r>
          </w:p>
        </w:tc>
        <w:tc>
          <w:tcPr>
            <w:tcW w:type="dxa" w:w="1752"/>
            <w:vMerge/>
            <w:tcBorders>
              <w:left w:sz="8.0" w:val="single" w:color="000000"/>
              <w:top w:sz="8.0" w:val="single" w:color="000000"/>
              <w:right w:sz="8.0" w:val="single" w:color="000000"/>
              <w:bottom w:sz="8.0" w:val="single" w:color="000000"/>
            </w:tcBorders>
          </w:tcPr>
          <w:p/>
        </w:tc>
        <w:tc>
          <w:tcPr>
            <w:tcW w:type="dxa" w:w="1752"/>
            <w:vMerge/>
            <w:tcBorders>
              <w:left w:sz="8.0" w:val="single" w:color="000000"/>
              <w:top w:sz="8.0" w:val="single" w:color="000000"/>
              <w:right w:sz="8.0" w:val="single" w:color="000000"/>
              <w:bottom w:sz="8.0" w:val="single" w:color="000000"/>
            </w:tcBorders>
          </w:tcP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EAFpapsV+SimSun" w:hAnsi="EAFpapsV+SimSun" w:eastAsia="EAFpapsV+SimSun"/>
                <w:color w:val="000000"/>
                <w:sz w:val="18"/>
              </w:rPr>
              <w:t>小计</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EAFpapsV+SimSun" w:hAnsi="EAFpapsV+SimSun" w:eastAsia="EAFpapsV+SimSun"/>
                <w:color w:val="000000"/>
                <w:sz w:val="18"/>
              </w:rPr>
              <w:t>基本支出</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EAFpapsV+SimSun" w:hAnsi="EAFpapsV+SimSun" w:eastAsia="EAFpapsV+SimSun"/>
                <w:color w:val="000000"/>
                <w:sz w:val="18"/>
              </w:rPr>
              <w:t>项目支出</w:t>
            </w:r>
          </w:p>
        </w:tc>
        <w:tc>
          <w:tcPr>
            <w:tcW w:type="dxa" w:w="1752"/>
            <w:vMerge/>
            <w:tcBorders>
              <w:left w:sz="8.0" w:val="single" w:color="000000"/>
              <w:top w:sz="8.0" w:val="single" w:color="000000"/>
              <w:right w:sz="8.0" w:val="single" w:color="000000"/>
              <w:bottom w:sz="8.0" w:val="single" w:color="000000"/>
            </w:tcBorders>
          </w:tcPr>
          <w:p/>
        </w:tc>
      </w:tr>
      <w:tr>
        <w:trPr>
          <w:trHeight w:hRule="exact" w:val="376"/>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AFpapsV+SimSun" w:hAnsi="EAFpapsV+SimSun" w:eastAsia="EAFpapsV+SimSun"/>
                <w:color w:val="000000"/>
                <w:sz w:val="18"/>
              </w:rPr>
              <w:t>栏次</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1</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2</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3</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4</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5</w:t>
            </w:r>
          </w:p>
        </w:tc>
        <w:tc>
          <w:tcPr>
            <w:tcW w:type="dxa" w:w="13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VYCJezs+SimSun" w:hAnsi="EVYCJezs+SimSun" w:eastAsia="EVYCJezs+SimSun"/>
                <w:color w:val="000000"/>
                <w:sz w:val="18"/>
              </w:rPr>
              <w:t>6</w:t>
            </w:r>
          </w:p>
        </w:tc>
      </w:tr>
      <w:tr>
        <w:trPr>
          <w:trHeight w:hRule="exact" w:val="378"/>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EAFpapsV+SimSun" w:hAnsi="EAFpapsV+SimSun" w:eastAsia="EAFpapsV+SimSun"/>
                <w:color w:val="000000"/>
                <w:sz w:val="18"/>
              </w:rPr>
              <w:t>合计</w:t>
            </w: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58"/>
            <w:tcBorders>
              <w:left w:sz="8.0" w:val="single" w:color="000000"/>
              <w:top w:sz="8.0" w:val="single" w:color="000000"/>
              <w:right w:sz="8.0" w:val="single" w:color="000000"/>
              <w:bottom w:sz="8.0" w:val="single" w:color="000000"/>
            </w:tcBorders>
            <w:tcMar>
              <w:start w:w="0" w:type="dxa"/>
              <w:end w:w="0" w:type="dxa"/>
            </w:tcMar>
          </w:tcPr>
          <w:p/>
        </w:tc>
      </w:tr>
      <w:tr>
        <w:trPr>
          <w:trHeight w:hRule="exact" w:val="374"/>
        </w:trPr>
        <w:tc>
          <w:tcPr>
            <w:tcW w:type="dxa" w:w="1316"/>
            <w:tcBorders>
              <w:left w:sz="8.0" w:val="single" w:color="000000"/>
              <w:top w:sz="8.0" w:val="single" w:color="000000"/>
              <w:right w:sz="8.0" w:val="single" w:color="000000"/>
              <w:bottom w:sz="8.0" w:val="single" w:color="000000"/>
            </w:tcBorders>
            <w:tcMar>
              <w:start w:w="0" w:type="dxa"/>
              <w:end w:w="0" w:type="dxa"/>
            </w:tcMar>
          </w:tcPr>
          <w:p/>
        </w:tc>
        <w:tc>
          <w:tcPr>
            <w:tcW w:type="dxa" w:w="4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58"/>
            <w:tcBorders>
              <w:left w:sz="8.0" w:val="single" w:color="000000"/>
              <w:top w:sz="8.0" w:val="single" w:color="000000"/>
              <w:right w:sz="8.0" w:val="single" w:color="000000"/>
              <w:bottom w:sz="8.0" w:val="single" w:color="000000"/>
            </w:tcBorders>
            <w:tcMar>
              <w:start w:w="0" w:type="dxa"/>
              <w:end w:w="0" w:type="dxa"/>
            </w:tcMar>
          </w:tcPr>
          <w:p/>
        </w:tc>
      </w:tr>
    </w:tbl>
    <w:p>
      <w:pPr>
        <w:autoSpaceDN w:val="0"/>
        <w:autoSpaceDE w:val="0"/>
        <w:widowControl/>
        <w:spacing w:line="180" w:lineRule="exact" w:before="92" w:after="0"/>
        <w:ind w:left="98" w:right="0" w:firstLine="0"/>
        <w:jc w:val="left"/>
      </w:pPr>
      <w:r>
        <w:rPr>
          <w:rFonts w:ascii="EAFpapsV+SimSun" w:hAnsi="EAFpapsV+SimSun" w:eastAsia="EAFpapsV+SimSun"/>
          <w:color w:val="000000"/>
          <w:sz w:val="18"/>
        </w:rPr>
        <w:t>注：本表反映本年度政府性基金预算财政拨款收入、支出及结转和结余情况。</w:t>
      </w:r>
    </w:p>
    <w:p>
      <w:pPr>
        <w:autoSpaceDN w:val="0"/>
        <w:autoSpaceDE w:val="0"/>
        <w:widowControl/>
        <w:spacing w:line="180" w:lineRule="exact" w:before="158" w:after="0"/>
        <w:ind w:left="82" w:right="0" w:firstLine="0"/>
        <w:jc w:val="left"/>
      </w:pPr>
      <w:r>
        <w:rPr>
          <w:rFonts w:ascii="EAFpapsV+SimSun" w:hAnsi="EAFpapsV+SimSun" w:eastAsia="EAFpapsV+SimSun"/>
          <w:color w:val="000000"/>
          <w:sz w:val="18"/>
        </w:rPr>
        <w:t>说明：我单位（部门）没有政府性基金收入，也没有使用政府性基金安排的支出，故本表无数据。</w:t>
      </w:r>
    </w:p>
    <w:p>
      <w:pPr>
        <w:autoSpaceDN w:val="0"/>
        <w:autoSpaceDE w:val="0"/>
        <w:widowControl/>
        <w:spacing w:line="200" w:lineRule="exact" w:before="4682" w:after="0"/>
        <w:ind w:left="0" w:right="0" w:firstLine="0"/>
        <w:jc w:val="center"/>
      </w:pPr>
      <w:r>
        <w:rPr>
          <w:rFonts w:ascii="Ap9kiCzR+TimesNewRomanPSMT" w:hAnsi="Ap9kiCzR+TimesNewRomanPSMT" w:eastAsia="Ap9kiCzR+TimesNewRomanPSMT"/>
          <w:color w:val="000000"/>
          <w:sz w:val="18"/>
        </w:rPr>
        <w:t>- 15 -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国有资本经营预算财政拨款支出决算表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08</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80"/>
        <w:gridCol w:w="4840"/>
        <w:gridCol w:w="3780"/>
      </w:tblGrid>
      <w:tr>
        <w:trPr>
          <w:trHeight w:hRule="exact" w:val="288"/>
        </w:trPr>
        <w:tc>
          <w:tcPr>
            <w:tcW w:type="dxa" w:w="528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单位（部门）：许昌市职业技能等级评价中心</w:t>
            </w:r>
          </w:p>
        </w:tc>
        <w:tc>
          <w:tcPr>
            <w:tcW w:type="dxa" w:w="4840"/>
            <w:tcMar>
              <w:start w:w="0" w:type="dxa"/>
              <w:end w:w="0" w:type="dxa"/>
            </w:tcMar>
          </w:tcPr>
          <w:p>
            <w:pPr>
              <w:autoSpaceDN w:val="0"/>
              <w:autoSpaceDE w:val="0"/>
              <w:widowControl/>
              <w:spacing w:line="200" w:lineRule="exact" w:before="56" w:after="0"/>
              <w:ind w:left="0" w:right="273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856"/>
        <w:gridCol w:w="5580"/>
        <w:gridCol w:w="2180"/>
        <w:gridCol w:w="2180"/>
        <w:gridCol w:w="2158"/>
      </w:tblGrid>
      <w:tr>
        <w:trPr>
          <w:trHeight w:hRule="exact" w:val="404"/>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98" w:after="0"/>
              <w:ind w:left="0" w:right="0" w:firstLine="0"/>
              <w:jc w:val="center"/>
            </w:pPr>
            <w:r>
              <w:rPr>
                <w:rFonts w:ascii="EAFpapsV+SimSun" w:hAnsi="EAFpapsV+SimSun" w:eastAsia="EAFpapsV+SimSun"/>
                <w:color w:val="000000"/>
                <w:sz w:val="19"/>
              </w:rPr>
              <w:t>项目</w:t>
            </w:r>
          </w:p>
        </w:tc>
        <w:tc>
          <w:tcPr>
            <w:tcW w:type="dxa" w:w="6518"/>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98" w:after="0"/>
              <w:ind w:left="0" w:right="0" w:firstLine="0"/>
              <w:jc w:val="center"/>
            </w:pPr>
            <w:r>
              <w:rPr>
                <w:rFonts w:ascii="EAFpapsV+SimSun" w:hAnsi="EAFpapsV+SimSun" w:eastAsia="EAFpapsV+SimSun"/>
                <w:color w:val="000000"/>
                <w:sz w:val="19"/>
              </w:rPr>
              <w:t>本年支出</w:t>
            </w:r>
          </w:p>
        </w:tc>
      </w:tr>
      <w:tr>
        <w:trPr>
          <w:trHeight w:hRule="exact" w:val="1226"/>
        </w:trPr>
        <w:tc>
          <w:tcPr>
            <w:tcW w:type="dxa" w:w="1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EAFpapsV+SimSun" w:hAnsi="EAFpapsV+SimSun" w:eastAsia="EAFpapsV+SimSun"/>
                <w:color w:val="000000"/>
                <w:sz w:val="19"/>
              </w:rPr>
              <w:t>科目代码</w:t>
            </w:r>
          </w:p>
        </w:tc>
        <w:tc>
          <w:tcPr>
            <w:tcW w:type="dxa" w:w="55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EAFpapsV+SimSun" w:hAnsi="EAFpapsV+SimSun" w:eastAsia="EAFpapsV+SimSun"/>
                <w:color w:val="000000"/>
                <w:sz w:val="19"/>
              </w:rPr>
              <w:t>科目名称</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EAFpapsV+SimSun" w:hAnsi="EAFpapsV+SimSun" w:eastAsia="EAFpapsV+SimSun"/>
                <w:color w:val="000000"/>
                <w:sz w:val="19"/>
              </w:rPr>
              <w:t>合计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EAFpapsV+SimSun" w:hAnsi="EAFpapsV+SimSun" w:eastAsia="EAFpapsV+SimSun"/>
                <w:color w:val="000000"/>
                <w:sz w:val="19"/>
              </w:rPr>
              <w:t>基本支出</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EAFpapsV+SimSun" w:hAnsi="EAFpapsV+SimSun" w:eastAsia="EAFpapsV+SimSun"/>
                <w:color w:val="000000"/>
                <w:sz w:val="19"/>
              </w:rPr>
              <w:t>项目支出</w:t>
            </w:r>
          </w:p>
        </w:tc>
      </w:tr>
      <w:tr>
        <w:trPr>
          <w:trHeight w:hRule="exact" w:val="410"/>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EAFpapsV+SimSun" w:hAnsi="EAFpapsV+SimSun" w:eastAsia="EAFpapsV+SimSun"/>
                <w:color w:val="000000"/>
                <w:sz w:val="19"/>
              </w:rPr>
              <w:t>栏次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EVYCJezs+SimSun" w:hAnsi="EVYCJezs+SimSun" w:eastAsia="EVYCJezs+SimSun"/>
                <w:color w:val="000000"/>
                <w:sz w:val="19"/>
              </w:rPr>
              <w:t>1</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EVYCJezs+SimSun" w:hAnsi="EVYCJezs+SimSun" w:eastAsia="EVYCJezs+SimSun"/>
                <w:color w:val="000000"/>
                <w:sz w:val="19"/>
              </w:rPr>
              <w:t>2</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EVYCJezs+SimSun" w:hAnsi="EVYCJezs+SimSun" w:eastAsia="EVYCJezs+SimSun"/>
                <w:color w:val="000000"/>
                <w:sz w:val="19"/>
              </w:rPr>
              <w:t>3</w:t>
            </w:r>
          </w:p>
        </w:tc>
      </w:tr>
      <w:tr>
        <w:trPr>
          <w:trHeight w:hRule="exact" w:val="408"/>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EAFpapsV+SimSun" w:hAnsi="EAFpapsV+SimSun" w:eastAsia="EAFpapsV+SimSun"/>
                <w:color w:val="000000"/>
                <w:sz w:val="19"/>
              </w:rPr>
              <w:t>合计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EVYCJezs+SimSun" w:hAnsi="EVYCJezs+SimSun" w:eastAsia="EVYCJezs+SimSun"/>
                <w:color w:val="000000"/>
                <w:sz w:val="19"/>
              </w:rPr>
              <w:t xml:space="preserve"> 0.00</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EVYCJezs+SimSun" w:hAnsi="EVYCJezs+SimSun" w:eastAsia="EVYCJezs+SimSun"/>
                <w:color w:val="000000"/>
                <w:sz w:val="19"/>
              </w:rPr>
              <w:t xml:space="preserve"> 0.00</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EVYCJezs+SimSun" w:hAnsi="EVYCJezs+SimSun" w:eastAsia="EVYCJezs+SimSun"/>
                <w:color w:val="000000"/>
                <w:sz w:val="19"/>
              </w:rPr>
              <w:t xml:space="preserve"> 0.00</w:t>
            </w:r>
          </w:p>
        </w:tc>
      </w:tr>
      <w:tr>
        <w:trPr>
          <w:trHeight w:hRule="exact" w:val="410"/>
        </w:trPr>
        <w:tc>
          <w:tcPr>
            <w:tcW w:type="dxa" w:w="1856"/>
            <w:tcBorders>
              <w:left w:sz="8.0" w:val="single" w:color="000000"/>
              <w:top w:sz="8.0" w:val="single" w:color="000000"/>
              <w:right w:sz="8.0" w:val="single" w:color="000000"/>
              <w:bottom w:sz="8.0" w:val="single" w:color="000000"/>
            </w:tcBorders>
            <w:tcMar>
              <w:start w:w="0" w:type="dxa"/>
              <w:end w:w="0" w:type="dxa"/>
            </w:tcMar>
          </w:tcPr>
          <w:p/>
        </w:tc>
        <w:tc>
          <w:tcPr>
            <w:tcW w:type="dxa" w:w="5580"/>
            <w:tcBorders>
              <w:left w:sz="8.0" w:val="single" w:color="000000"/>
              <w:top w:sz="8.0" w:val="single" w:color="000000"/>
              <w:right w:sz="8.0" w:val="single" w:color="000000"/>
              <w:bottom w:sz="8.0" w:val="single" w:color="000000"/>
            </w:tcBorders>
            <w:tcMar>
              <w:start w:w="0" w:type="dxa"/>
              <w:end w:w="0" w:type="dxa"/>
            </w:tcMar>
          </w:tcPr>
          <w:p/>
        </w:tc>
        <w:tc>
          <w:tcPr>
            <w:tcW w:type="dxa" w:w="2180"/>
            <w:tcBorders>
              <w:left w:sz="8.0" w:val="single" w:color="000000"/>
              <w:top w:sz="8.0" w:val="single" w:color="000000"/>
              <w:right w:sz="8.0" w:val="single" w:color="000000"/>
              <w:bottom w:sz="8.0" w:val="single" w:color="000000"/>
            </w:tcBorders>
            <w:tcMar>
              <w:start w:w="0" w:type="dxa"/>
              <w:end w:w="0" w:type="dxa"/>
            </w:tcMar>
          </w:tcPr>
          <w:p/>
        </w:tc>
        <w:tc>
          <w:tcPr>
            <w:tcW w:type="dxa" w:w="2180"/>
            <w:tcBorders>
              <w:left w:sz="8.0" w:val="single" w:color="000000"/>
              <w:top w:sz="8.0" w:val="single" w:color="000000"/>
              <w:right w:sz="8.0" w:val="single" w:color="000000"/>
              <w:bottom w:sz="8.0" w:val="single" w:color="000000"/>
            </w:tcBorders>
            <w:tcMar>
              <w:start w:w="0" w:type="dxa"/>
              <w:end w:w="0" w:type="dxa"/>
            </w:tcMar>
          </w:tcPr>
          <w:p/>
        </w:tc>
        <w:tc>
          <w:tcPr>
            <w:tcW w:type="dxa" w:w="2158"/>
            <w:tcBorders>
              <w:left w:sz="8.0" w:val="single" w:color="000000"/>
              <w:top w:sz="8.0" w:val="single" w:color="000000"/>
              <w:right w:sz="8.0" w:val="single" w:color="000000"/>
              <w:bottom w:sz="8.0" w:val="single" w:color="000000"/>
            </w:tcBorders>
            <w:tcMar>
              <w:start w:w="0" w:type="dxa"/>
              <w:end w:w="0" w:type="dxa"/>
            </w:tcMar>
          </w:tcPr>
          <w:p/>
        </w:tc>
      </w:tr>
    </w:tbl>
    <w:p>
      <w:pPr>
        <w:autoSpaceDN w:val="0"/>
        <w:autoSpaceDE w:val="0"/>
        <w:widowControl/>
        <w:spacing w:line="190" w:lineRule="exact" w:before="104" w:after="0"/>
        <w:ind w:left="98" w:right="0" w:firstLine="0"/>
        <w:jc w:val="left"/>
      </w:pPr>
      <w:r>
        <w:rPr>
          <w:rFonts w:ascii="EAFpapsV+SimSun" w:hAnsi="EAFpapsV+SimSun" w:eastAsia="EAFpapsV+SimSun"/>
          <w:color w:val="000000"/>
          <w:sz w:val="19"/>
        </w:rPr>
        <w:t>注：本表反映本年度国有资本经营预算财政拨款支出情况。</w:t>
      </w:r>
    </w:p>
    <w:p>
      <w:pPr>
        <w:autoSpaceDN w:val="0"/>
        <w:autoSpaceDE w:val="0"/>
        <w:widowControl/>
        <w:spacing w:line="200" w:lineRule="exact" w:before="158" w:after="0"/>
        <w:ind w:left="102" w:right="0" w:firstLine="0"/>
        <w:jc w:val="left"/>
      </w:pPr>
      <w:r>
        <w:rPr>
          <w:rFonts w:ascii="EAFpapsV+SimSun" w:hAnsi="EAFpapsV+SimSun" w:eastAsia="EAFpapsV+SimSun"/>
          <w:color w:val="000000"/>
          <w:sz w:val="19"/>
        </w:rPr>
        <w:t>说明：我单位（部门）没有使用国有资本经营预算安排的支出，故本表无数据。</w:t>
      </w:r>
      <w:r>
        <w:rPr>
          <w:rFonts w:ascii="EVYCJezs+SimSun" w:hAnsi="EVYCJezs+SimSun" w:eastAsia="EVYCJezs+SimSun"/>
          <w:color w:val="000000"/>
          <w:sz w:val="20"/>
        </w:rPr>
        <w:t xml:space="preserve"> </w:t>
      </w:r>
    </w:p>
    <w:p>
      <w:pPr>
        <w:autoSpaceDN w:val="0"/>
        <w:autoSpaceDE w:val="0"/>
        <w:widowControl/>
        <w:spacing w:line="200" w:lineRule="exact" w:before="4408" w:after="0"/>
        <w:ind w:left="0" w:right="0" w:firstLine="0"/>
        <w:jc w:val="center"/>
      </w:pPr>
      <w:r>
        <w:rPr>
          <w:rFonts w:ascii="Ap9kiCzR+TimesNewRomanPSMT" w:hAnsi="Ap9kiCzR+TimesNewRomanPSMT" w:eastAsia="Ap9kiCzR+TimesNewRomanPSMT"/>
          <w:color w:val="000000"/>
          <w:sz w:val="18"/>
        </w:rPr>
        <w:t>- 16 -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mCXV4gLU+STZhongsong" w:hAnsi="mCXV4gLU+STZhongsong" w:eastAsia="mCXV4gLU+STZhongsong"/>
          <w:color w:val="000000"/>
          <w:sz w:val="32"/>
        </w:rPr>
        <w:t>一般公共预算财政拨款“三公”经费支出决算表</w:t>
      </w:r>
    </w:p>
    <w:p>
      <w:pPr>
        <w:autoSpaceDN w:val="0"/>
        <w:autoSpaceDE w:val="0"/>
        <w:widowControl/>
        <w:spacing w:line="200" w:lineRule="exact" w:before="126" w:after="56"/>
        <w:ind w:left="0" w:right="118" w:firstLine="0"/>
        <w:jc w:val="right"/>
      </w:pPr>
      <w:r>
        <w:rPr>
          <w:rFonts w:ascii="EAFpapsV+SimSun" w:hAnsi="EAFpapsV+SimSun" w:eastAsia="EAFpapsV+SimSun"/>
          <w:color w:val="000000"/>
          <w:sz w:val="20"/>
        </w:rPr>
        <w:t>公开</w:t>
      </w:r>
      <w:r>
        <w:rPr>
          <w:rFonts w:ascii="EVYCJezs+SimSun" w:hAnsi="EVYCJezs+SimSun" w:eastAsia="EVYCJezs+SimSun"/>
          <w:color w:val="000000"/>
          <w:sz w:val="20"/>
        </w:rPr>
        <w:t>09</w:t>
      </w:r>
      <w:r>
        <w:rPr>
          <w:rFonts w:ascii="EAFpapsV+SimSun" w:hAnsi="EAFpapsV+SimSun" w:eastAsia="EAFpapsV+SimSun"/>
          <w:color w:val="000000"/>
          <w:sz w:val="20"/>
        </w:rPr>
        <w:t>表</w:t>
      </w:r>
    </w:p>
    <w:tbl>
      <w:tblPr>
        <w:tblW w:type="auto" w:w="0"/>
        <w:tblLayout w:type="fixed"/>
        <w:tblLook w:firstColumn="1" w:firstRow="1" w:lastColumn="0" w:lastRow="0" w:noHBand="0" w:noVBand="1" w:val="04A0"/>
        <w:tblInd w:w="38.000000000000114" w:type="dxa"/>
      </w:tblPr>
      <w:tblGrid>
        <w:gridCol w:w="5280"/>
        <w:gridCol w:w="4840"/>
        <w:gridCol w:w="3780"/>
      </w:tblGrid>
      <w:tr>
        <w:trPr>
          <w:trHeight w:hRule="exact" w:val="288"/>
        </w:trPr>
        <w:tc>
          <w:tcPr>
            <w:tcW w:type="dxa" w:w="5280"/>
            <w:tcMar>
              <w:start w:w="0" w:type="dxa"/>
              <w:end w:w="0" w:type="dxa"/>
            </w:tcMar>
          </w:tcPr>
          <w:p>
            <w:pPr>
              <w:autoSpaceDN w:val="0"/>
              <w:autoSpaceDE w:val="0"/>
              <w:widowControl/>
              <w:spacing w:line="200" w:lineRule="exact" w:before="56" w:after="0"/>
              <w:ind w:left="60" w:right="0" w:firstLine="0"/>
              <w:jc w:val="left"/>
            </w:pPr>
            <w:r>
              <w:rPr>
                <w:rFonts w:ascii="EAFpapsV+SimSun" w:hAnsi="EAFpapsV+SimSun" w:eastAsia="EAFpapsV+SimSun"/>
                <w:color w:val="000000"/>
                <w:sz w:val="20"/>
              </w:rPr>
              <w:t>单位（部门）：许昌市职业技能等级评价中心</w:t>
            </w:r>
          </w:p>
        </w:tc>
        <w:tc>
          <w:tcPr>
            <w:tcW w:type="dxa" w:w="4840"/>
            <w:tcMar>
              <w:start w:w="0" w:type="dxa"/>
              <w:end w:w="0" w:type="dxa"/>
            </w:tcMar>
          </w:tcPr>
          <w:p>
            <w:pPr>
              <w:autoSpaceDN w:val="0"/>
              <w:autoSpaceDE w:val="0"/>
              <w:widowControl/>
              <w:spacing w:line="200" w:lineRule="exact" w:before="56" w:after="0"/>
              <w:ind w:left="0" w:right="2736" w:firstLine="0"/>
              <w:jc w:val="right"/>
            </w:pPr>
            <w:r>
              <w:rPr>
                <w:rFonts w:ascii="EVYCJezs+SimSun" w:hAnsi="EVYCJezs+SimSun" w:eastAsia="EVYCJezs+SimSun"/>
                <w:color w:val="000000"/>
                <w:sz w:val="20"/>
              </w:rPr>
              <w:t>2024</w:t>
            </w:r>
            <w:r>
              <w:rPr>
                <w:rFonts w:ascii="EAFpapsV+SimSun" w:hAnsi="EAFpapsV+SimSun" w:eastAsia="EAFpapsV+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EAFpapsV+SimSun" w:hAnsi="EAFpapsV+SimSun" w:eastAsia="EAFpapsV+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156"/>
        <w:gridCol w:w="1160"/>
        <w:gridCol w:w="1160"/>
        <w:gridCol w:w="1160"/>
        <w:gridCol w:w="1160"/>
        <w:gridCol w:w="1160"/>
        <w:gridCol w:w="1160"/>
        <w:gridCol w:w="1160"/>
        <w:gridCol w:w="1160"/>
        <w:gridCol w:w="1160"/>
        <w:gridCol w:w="1160"/>
        <w:gridCol w:w="1198"/>
      </w:tblGrid>
      <w:tr>
        <w:trPr>
          <w:trHeight w:hRule="exact" w:val="366"/>
        </w:trPr>
        <w:tc>
          <w:tcPr>
            <w:tcW w:type="dxa" w:w="6956"/>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0" w:after="0"/>
              <w:ind w:left="0" w:right="0" w:firstLine="0"/>
              <w:jc w:val="center"/>
            </w:pPr>
            <w:r>
              <w:rPr>
                <w:rFonts w:ascii="EAFpapsV+SimSun" w:hAnsi="EAFpapsV+SimSun" w:eastAsia="EAFpapsV+SimSun"/>
                <w:color w:val="000000"/>
                <w:sz w:val="17"/>
              </w:rPr>
              <w:t>预算数</w:t>
            </w:r>
          </w:p>
        </w:tc>
        <w:tc>
          <w:tcPr>
            <w:tcW w:type="dxa" w:w="699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0" w:after="0"/>
              <w:ind w:left="0" w:right="0" w:firstLine="0"/>
              <w:jc w:val="center"/>
            </w:pPr>
            <w:r>
              <w:rPr>
                <w:rFonts w:ascii="EAFpapsV+SimSun" w:hAnsi="EAFpapsV+SimSun" w:eastAsia="EAFpapsV+SimSun"/>
                <w:color w:val="000000"/>
                <w:sz w:val="17"/>
              </w:rPr>
              <w:t>决算数</w:t>
            </w:r>
          </w:p>
        </w:tc>
      </w:tr>
      <w:tr>
        <w:trPr>
          <w:trHeight w:hRule="exact" w:val="372"/>
        </w:trPr>
        <w:tc>
          <w:tcPr>
            <w:tcW w:type="dxa" w:w="1156"/>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EAFpapsV+SimSun" w:hAnsi="EAFpapsV+SimSun" w:eastAsia="EAFpapsV+SimSun"/>
                <w:color w:val="000000"/>
                <w:sz w:val="17"/>
              </w:rPr>
              <w:t>合计</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356" w:after="0"/>
              <w:ind w:left="0" w:right="0" w:firstLine="0"/>
              <w:jc w:val="center"/>
            </w:pPr>
            <w:r>
              <w:rPr>
                <w:rFonts w:ascii="EAFpapsV+SimSun" w:hAnsi="EAFpapsV+SimSun" w:eastAsia="EAFpapsV+SimSun"/>
                <w:color w:val="000000"/>
                <w:sz w:val="17"/>
              </w:rPr>
              <w:t>因公出国</w:t>
            </w:r>
          </w:p>
          <w:p>
            <w:pPr>
              <w:autoSpaceDN w:val="0"/>
              <w:autoSpaceDE w:val="0"/>
              <w:widowControl/>
              <w:spacing w:line="170" w:lineRule="exact" w:before="50" w:after="0"/>
              <w:ind w:left="0" w:right="0" w:firstLine="0"/>
              <w:jc w:val="center"/>
            </w:pPr>
            <w:r>
              <w:rPr>
                <w:rFonts w:ascii="EAFpapsV+SimSun" w:hAnsi="EAFpapsV+SimSun" w:eastAsia="EAFpapsV+SimSun"/>
                <w:color w:val="000000"/>
                <w:sz w:val="17"/>
              </w:rPr>
              <w:t>（境）费</w:t>
            </w:r>
          </w:p>
        </w:tc>
        <w:tc>
          <w:tcPr>
            <w:tcW w:type="dxa" w:w="348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0" w:firstLine="0"/>
              <w:jc w:val="center"/>
            </w:pPr>
            <w:r>
              <w:rPr>
                <w:rFonts w:ascii="EAFpapsV+SimSun" w:hAnsi="EAFpapsV+SimSun" w:eastAsia="EAFpapsV+SimSun"/>
                <w:color w:val="000000"/>
                <w:sz w:val="17"/>
              </w:rPr>
              <w:t>公务用车购置及运行维护费</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EAFpapsV+SimSun" w:hAnsi="EAFpapsV+SimSun" w:eastAsia="EAFpapsV+SimSun"/>
                <w:color w:val="000000"/>
                <w:sz w:val="17"/>
              </w:rPr>
              <w:t>公务接待费</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EAFpapsV+SimSun" w:hAnsi="EAFpapsV+SimSun" w:eastAsia="EAFpapsV+SimSun"/>
                <w:color w:val="000000"/>
                <w:sz w:val="17"/>
              </w:rPr>
              <w:t>合计</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356" w:after="0"/>
              <w:ind w:left="0" w:right="0" w:firstLine="0"/>
              <w:jc w:val="center"/>
            </w:pPr>
            <w:r>
              <w:rPr>
                <w:rFonts w:ascii="EAFpapsV+SimSun" w:hAnsi="EAFpapsV+SimSun" w:eastAsia="EAFpapsV+SimSun"/>
                <w:color w:val="000000"/>
                <w:sz w:val="17"/>
              </w:rPr>
              <w:t>因公出国</w:t>
            </w:r>
          </w:p>
          <w:p>
            <w:pPr>
              <w:autoSpaceDN w:val="0"/>
              <w:autoSpaceDE w:val="0"/>
              <w:widowControl/>
              <w:spacing w:line="170" w:lineRule="exact" w:before="50" w:after="0"/>
              <w:ind w:left="0" w:right="0" w:firstLine="0"/>
              <w:jc w:val="center"/>
            </w:pPr>
            <w:r>
              <w:rPr>
                <w:rFonts w:ascii="EAFpapsV+SimSun" w:hAnsi="EAFpapsV+SimSun" w:eastAsia="EAFpapsV+SimSun"/>
                <w:color w:val="000000"/>
                <w:sz w:val="17"/>
              </w:rPr>
              <w:t>（境）费</w:t>
            </w:r>
          </w:p>
        </w:tc>
        <w:tc>
          <w:tcPr>
            <w:tcW w:type="dxa" w:w="348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0" w:firstLine="0"/>
              <w:jc w:val="center"/>
            </w:pPr>
            <w:r>
              <w:rPr>
                <w:rFonts w:ascii="EAFpapsV+SimSun" w:hAnsi="EAFpapsV+SimSun" w:eastAsia="EAFpapsV+SimSun"/>
                <w:color w:val="000000"/>
                <w:sz w:val="17"/>
              </w:rPr>
              <w:t>公务用车购置及运行维护费</w:t>
            </w:r>
          </w:p>
        </w:tc>
        <w:tc>
          <w:tcPr>
            <w:tcW w:type="dxa" w:w="1198"/>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EAFpapsV+SimSun" w:hAnsi="EAFpapsV+SimSun" w:eastAsia="EAFpapsV+SimSun"/>
                <w:color w:val="000000"/>
                <w:sz w:val="17"/>
              </w:rPr>
              <w:t>公务接待费</w:t>
            </w:r>
          </w:p>
        </w:tc>
      </w:tr>
      <w:tr>
        <w:trPr>
          <w:trHeight w:hRule="exact" w:val="740"/>
        </w:trPr>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278" w:after="0"/>
              <w:ind w:left="0" w:right="0" w:firstLine="0"/>
              <w:jc w:val="center"/>
            </w:pPr>
            <w:r>
              <w:rPr>
                <w:rFonts w:ascii="EAFpapsV+SimSun" w:hAnsi="EAFpapsV+SimSun" w:eastAsia="EAFpapsV+SimSun"/>
                <w:color w:val="000000"/>
                <w:sz w:val="17"/>
              </w:rPr>
              <w:t>小计</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EAFpapsV+SimSun" w:hAnsi="EAFpapsV+SimSun" w:eastAsia="EAFpapsV+SimSun"/>
                <w:color w:val="000000"/>
                <w:sz w:val="17"/>
              </w:rPr>
              <w:t>公务用车购</w:t>
            </w:r>
          </w:p>
          <w:p>
            <w:pPr>
              <w:autoSpaceDN w:val="0"/>
              <w:autoSpaceDE w:val="0"/>
              <w:widowControl/>
              <w:spacing w:line="170" w:lineRule="exact" w:before="52" w:after="0"/>
              <w:ind w:left="0" w:right="0" w:firstLine="0"/>
              <w:jc w:val="center"/>
            </w:pPr>
            <w:r>
              <w:rPr>
                <w:rFonts w:ascii="EAFpapsV+SimSun" w:hAnsi="EAFpapsV+SimSun" w:eastAsia="EAFpapsV+SimSun"/>
                <w:color w:val="000000"/>
                <w:sz w:val="17"/>
              </w:rPr>
              <w:t>置费</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EAFpapsV+SimSun" w:hAnsi="EAFpapsV+SimSun" w:eastAsia="EAFpapsV+SimSun"/>
                <w:color w:val="000000"/>
                <w:sz w:val="17"/>
              </w:rPr>
              <w:t>公务用车运</w:t>
            </w:r>
          </w:p>
          <w:p>
            <w:pPr>
              <w:autoSpaceDN w:val="0"/>
              <w:autoSpaceDE w:val="0"/>
              <w:widowControl/>
              <w:spacing w:line="170" w:lineRule="exact" w:before="52" w:after="0"/>
              <w:ind w:left="0" w:right="0" w:firstLine="0"/>
              <w:jc w:val="center"/>
            </w:pPr>
            <w:r>
              <w:rPr>
                <w:rFonts w:ascii="EAFpapsV+SimSun" w:hAnsi="EAFpapsV+SimSun" w:eastAsia="EAFpapsV+SimSun"/>
                <w:color w:val="000000"/>
                <w:sz w:val="17"/>
              </w:rPr>
              <w:t>行维护费</w:t>
            </w:r>
          </w:p>
        </w:tc>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278" w:after="0"/>
              <w:ind w:left="0" w:right="0" w:firstLine="0"/>
              <w:jc w:val="center"/>
            </w:pPr>
            <w:r>
              <w:rPr>
                <w:rFonts w:ascii="EAFpapsV+SimSun" w:hAnsi="EAFpapsV+SimSun" w:eastAsia="EAFpapsV+SimSun"/>
                <w:color w:val="000000"/>
                <w:sz w:val="17"/>
              </w:rPr>
              <w:t>小计</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EAFpapsV+SimSun" w:hAnsi="EAFpapsV+SimSun" w:eastAsia="EAFpapsV+SimSun"/>
                <w:color w:val="000000"/>
                <w:sz w:val="17"/>
              </w:rPr>
              <w:t>公务用车购</w:t>
            </w:r>
          </w:p>
          <w:p>
            <w:pPr>
              <w:autoSpaceDN w:val="0"/>
              <w:autoSpaceDE w:val="0"/>
              <w:widowControl/>
              <w:spacing w:line="170" w:lineRule="exact" w:before="52" w:after="0"/>
              <w:ind w:left="0" w:right="0" w:firstLine="0"/>
              <w:jc w:val="center"/>
            </w:pPr>
            <w:r>
              <w:rPr>
                <w:rFonts w:ascii="EAFpapsV+SimSun" w:hAnsi="EAFpapsV+SimSun" w:eastAsia="EAFpapsV+SimSun"/>
                <w:color w:val="000000"/>
                <w:sz w:val="17"/>
              </w:rPr>
              <w:t>置费</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EAFpapsV+SimSun" w:hAnsi="EAFpapsV+SimSun" w:eastAsia="EAFpapsV+SimSun"/>
                <w:color w:val="000000"/>
                <w:sz w:val="17"/>
              </w:rPr>
              <w:t>公务用车运</w:t>
            </w:r>
          </w:p>
          <w:p>
            <w:pPr>
              <w:autoSpaceDN w:val="0"/>
              <w:autoSpaceDE w:val="0"/>
              <w:widowControl/>
              <w:spacing w:line="170" w:lineRule="exact" w:before="52" w:after="0"/>
              <w:ind w:left="0" w:right="0" w:firstLine="0"/>
              <w:jc w:val="center"/>
            </w:pPr>
            <w:r>
              <w:rPr>
                <w:rFonts w:ascii="EAFpapsV+SimSun" w:hAnsi="EAFpapsV+SimSun" w:eastAsia="EAFpapsV+SimSun"/>
                <w:color w:val="000000"/>
                <w:sz w:val="17"/>
              </w:rPr>
              <w:t>行维护费</w:t>
            </w:r>
          </w:p>
        </w:tc>
        <w:tc>
          <w:tcPr>
            <w:tcW w:type="dxa" w:w="1168"/>
            <w:vMerge/>
            <w:tcBorders>
              <w:left w:sz="8.0" w:val="single" w:color="000000"/>
              <w:top w:sz="8.0" w:val="single" w:color="000000"/>
              <w:right w:sz="8.0" w:val="single" w:color="000000"/>
              <w:bottom w:sz="8.0" w:val="single" w:color="000000"/>
            </w:tcBorders>
          </w:tcPr>
          <w:p/>
        </w:tc>
      </w:tr>
      <w:tr>
        <w:trPr>
          <w:trHeight w:hRule="exact" w:val="372"/>
        </w:trPr>
        <w:tc>
          <w:tcPr>
            <w:tcW w:type="dxa" w:w="11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1</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2</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3</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4</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5</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6</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7</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8</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9</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10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11</w:t>
            </w:r>
          </w:p>
        </w:tc>
        <w:tc>
          <w:tcPr>
            <w:tcW w:type="dxa" w:w="119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EVYCJezs+SimSun" w:hAnsi="EVYCJezs+SimSun" w:eastAsia="EVYCJezs+SimSun"/>
                <w:color w:val="000000"/>
                <w:sz w:val="17"/>
              </w:rPr>
              <w:t>12</w:t>
            </w:r>
          </w:p>
        </w:tc>
      </w:tr>
      <w:tr>
        <w:trPr>
          <w:trHeight w:hRule="exact" w:val="372"/>
        </w:trPr>
        <w:tc>
          <w:tcPr>
            <w:tcW w:type="dxa" w:w="11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0.50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0.50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0.44</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 xml:space="preserve"> 0.00</w:t>
            </w:r>
          </w:p>
        </w:tc>
        <w:tc>
          <w:tcPr>
            <w:tcW w:type="dxa" w:w="119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EVYCJezs+SimSun" w:hAnsi="EVYCJezs+SimSun" w:eastAsia="EVYCJezs+SimSun"/>
                <w:color w:val="000000"/>
                <w:sz w:val="17"/>
              </w:rPr>
              <w:t>0.44</w:t>
            </w:r>
          </w:p>
        </w:tc>
      </w:tr>
    </w:tbl>
    <w:p>
      <w:pPr>
        <w:autoSpaceDN w:val="0"/>
        <w:autoSpaceDE w:val="0"/>
        <w:widowControl/>
        <w:spacing w:line="200" w:lineRule="exact" w:before="5696" w:after="0"/>
        <w:ind w:left="0" w:right="0" w:firstLine="0"/>
        <w:jc w:val="center"/>
      </w:pPr>
      <w:r>
        <w:rPr>
          <w:rFonts w:ascii="Ap9kiCzR+TimesNewRomanPSMT" w:hAnsi="Ap9kiCzR+TimesNewRomanPSMT" w:eastAsia="Ap9kiCzR+TimesNewRomanPSMT"/>
          <w:color w:val="000000"/>
          <w:sz w:val="18"/>
        </w:rPr>
        <w:t>- 17 -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5472" w:after="0"/>
        <w:ind w:left="0" w:right="0"/>
      </w:pPr>
    </w:p>
    <w:p>
      <w:pPr>
        <w:autoSpaceDN w:val="0"/>
        <w:autoSpaceDE w:val="0"/>
        <w:widowControl/>
        <w:spacing w:line="552" w:lineRule="exact" w:before="0" w:after="0"/>
        <w:ind w:left="432" w:right="432" w:firstLine="0"/>
        <w:jc w:val="center"/>
      </w:pPr>
      <w:r>
        <w:rPr>
          <w:rFonts w:ascii="36YvJHM7+SimHei" w:hAnsi="36YvJHM7+SimHei" w:eastAsia="36YvJHM7+SimHei"/>
          <w:color w:val="000000"/>
          <w:sz w:val="48"/>
        </w:rPr>
        <w:t>第三部分</w:t>
      </w:r>
      <w:r>
        <w:rPr>
          <w:rFonts w:ascii="X9K8VEFC+SimHei" w:hAnsi="X9K8VEFC+SimHei" w:eastAsia="X9K8VEFC+SimHei"/>
          <w:color w:val="000000"/>
          <w:sz w:val="48"/>
        </w:rPr>
        <w:t xml:space="preserve"> </w:t>
      </w:r>
      <w:r>
        <w:rPr>
          <w:rFonts w:ascii="36YvJHM7+SimHei" w:hAnsi="36YvJHM7+SimHei" w:eastAsia="36YvJHM7+SimHei"/>
          <w:color w:val="000000"/>
          <w:sz w:val="48"/>
        </w:rPr>
        <w:t>许昌市职业技能等级评价中</w:t>
      </w:r>
      <w:r>
        <w:rPr>
          <w:rFonts w:ascii="36YvJHM7+SimHei" w:hAnsi="36YvJHM7+SimHei" w:eastAsia="36YvJHM7+SimHei"/>
          <w:color w:val="000000"/>
          <w:sz w:val="48"/>
        </w:rPr>
        <w:t>心</w:t>
      </w:r>
      <w:r>
        <w:rPr>
          <w:rFonts w:ascii="X9K8VEFC+SimHei" w:hAnsi="X9K8VEFC+SimHei" w:eastAsia="X9K8VEFC+SimHei"/>
          <w:color w:val="000000"/>
          <w:sz w:val="48"/>
        </w:rPr>
        <w:t>2024</w:t>
      </w:r>
      <w:r>
        <w:rPr>
          <w:rFonts w:ascii="36YvJHM7+SimHei" w:hAnsi="36YvJHM7+SimHei" w:eastAsia="36YvJHM7+SimHei"/>
          <w:color w:val="000000"/>
          <w:sz w:val="48"/>
        </w:rPr>
        <w:t>年度单位决算情况说明</w:t>
      </w:r>
    </w:p>
    <w:p>
      <w:pPr>
        <w:autoSpaceDN w:val="0"/>
        <w:autoSpaceDE w:val="0"/>
        <w:widowControl/>
        <w:spacing w:line="200" w:lineRule="exact" w:before="7682" w:after="0"/>
        <w:ind w:left="0" w:right="0" w:firstLine="0"/>
        <w:jc w:val="center"/>
      </w:pPr>
      <w:r>
        <w:rPr>
          <w:rFonts w:ascii="Ap9kiCzR+TimesNewRomanPSMT" w:hAnsi="Ap9kiCzR+TimesNewRomanPSMT" w:eastAsia="Ap9kiCzR+TimesNewRomanPSMT"/>
          <w:color w:val="000000"/>
          <w:sz w:val="18"/>
        </w:rPr>
        <w:t>- 18 -</w:t>
      </w:r>
    </w:p>
    <w:p>
      <w:pPr>
        <w:sectPr>
          <w:pgSz w:w="11906" w:h="17238"/>
          <w:pgMar w:top="1440" w:right="1440" w:bottom="360" w:left="1440" w:header="720" w:footer="720" w:gutter="0"/>
          <w:cols w:num="1" w:equalWidth="0" w:space="720">
            <w:col w:w="902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36" w:lineRule="exact" w:before="0" w:after="0"/>
        <w:ind w:left="146" w:right="0" w:firstLine="0"/>
        <w:jc w:val="left"/>
      </w:pPr>
      <w:r>
        <w:tab/>
      </w:r>
      <w:r>
        <w:rPr>
          <w:rFonts w:ascii="36YvJHM7+SimHei" w:hAnsi="36YvJHM7+SimHei" w:eastAsia="36YvJHM7+SimHei"/>
          <w:color w:val="000000"/>
          <w:sz w:val="32"/>
        </w:rPr>
        <w:t>一、收入支出决算总体情况说明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年度收、支总计均为</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w:t>
      </w:r>
      <w:r>
        <w:rPr>
          <w:rFonts w:ascii="Vvxjkz98+FangSong" w:hAnsi="Vvxjkz98+FangSong" w:eastAsia="Vvxjkz98+FangSong"/>
          <w:color w:val="000000"/>
          <w:sz w:val="32"/>
        </w:rPr>
        <w:t>与上年度相比，收、</w:t>
      </w:r>
      <w:r>
        <w:rPr>
          <w:rFonts w:ascii="Vvxjkz98+FangSong" w:hAnsi="Vvxjkz98+FangSong" w:eastAsia="Vvxjkz98+FangSong"/>
          <w:color w:val="000000"/>
          <w:sz w:val="32"/>
        </w:rPr>
        <w:t>支总计各减少</w:t>
      </w:r>
      <w:r>
        <w:rPr>
          <w:rFonts w:ascii="JMF7coLC+FangSong" w:hAnsi="JMF7coLC+FangSong" w:eastAsia="JMF7coLC+FangSong"/>
          <w:color w:val="000000"/>
          <w:sz w:val="32"/>
        </w:rPr>
        <w:t>110.84</w:t>
      </w:r>
      <w:r>
        <w:rPr>
          <w:rFonts w:ascii="Vvxjkz98+FangSong" w:hAnsi="Vvxjkz98+FangSong" w:eastAsia="Vvxjkz98+FangSong"/>
          <w:color w:val="000000"/>
          <w:sz w:val="32"/>
        </w:rPr>
        <w:t>万元，下降</w:t>
      </w:r>
      <w:r>
        <w:rPr>
          <w:rFonts w:ascii="JMF7coLC+FangSong" w:hAnsi="JMF7coLC+FangSong" w:eastAsia="JMF7coLC+FangSong"/>
          <w:color w:val="000000"/>
          <w:sz w:val="32"/>
        </w:rPr>
        <w:t>19.04%</w:t>
      </w:r>
      <w:r>
        <w:rPr>
          <w:rFonts w:ascii="Vvxjkz98+FangSong" w:hAnsi="Vvxjkz98+FangSong" w:eastAsia="Vvxjkz98+FangSong"/>
          <w:color w:val="000000"/>
          <w:sz w:val="32"/>
        </w:rPr>
        <w:t>，主要原因是</w:t>
      </w:r>
      <w:r>
        <w:rPr>
          <w:rFonts w:ascii="JMF7coLC+FangSong" w:hAnsi="JMF7coLC+FangSong" w:eastAsia="JMF7coLC+FangSong"/>
          <w:color w:val="000000"/>
          <w:sz w:val="32"/>
        </w:rPr>
        <w:t>2023</w:t>
      </w:r>
      <w:r>
        <w:rPr>
          <w:rFonts w:ascii="Vvxjkz98+FangSong" w:hAnsi="Vvxjkz98+FangSong" w:eastAsia="Vvxjkz98+FangSong"/>
          <w:color w:val="000000"/>
          <w:sz w:val="32"/>
        </w:rPr>
        <w:t>年</w:t>
      </w:r>
      <w:r>
        <w:rPr>
          <w:rFonts w:ascii="Vvxjkz98+FangSong" w:hAnsi="Vvxjkz98+FangSong" w:eastAsia="Vvxjkz98+FangSong"/>
          <w:color w:val="000000"/>
          <w:sz w:val="32"/>
        </w:rPr>
        <w:t>收、支多的原因是</w:t>
      </w:r>
      <w:r>
        <w:rPr>
          <w:rFonts w:ascii="JMF7coLC+FangSong" w:hAnsi="JMF7coLC+FangSong" w:eastAsia="JMF7coLC+FangSong"/>
          <w:color w:val="000000"/>
          <w:sz w:val="32"/>
        </w:rPr>
        <w:t>2022</w:t>
      </w:r>
      <w:r>
        <w:rPr>
          <w:rFonts w:ascii="Vvxjkz98+FangSong" w:hAnsi="Vvxjkz98+FangSong" w:eastAsia="Vvxjkz98+FangSong"/>
          <w:color w:val="000000"/>
          <w:sz w:val="32"/>
        </w:rPr>
        <w:t>年因为疫情原因考试考务费推迟发放，</w:t>
      </w:r>
      <w:r>
        <w:rPr>
          <w:rFonts w:ascii="JMF7coLC+FangSong" w:hAnsi="JMF7coLC+FangSong" w:eastAsia="JMF7coLC+FangSong"/>
          <w:color w:val="000000"/>
          <w:sz w:val="32"/>
        </w:rPr>
        <w:t>2024</w:t>
      </w:r>
      <w:r>
        <w:rPr>
          <w:rFonts w:ascii="Vvxjkz98+FangSong" w:hAnsi="Vvxjkz98+FangSong" w:eastAsia="Vvxjkz98+FangSong"/>
          <w:color w:val="000000"/>
          <w:sz w:val="32"/>
        </w:rPr>
        <w:t>年恢复了正常收、支。</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二、收入决算情况说明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年度收入合计</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万元，其中：财政拨款收入</w:t>
      </w:r>
      <w:r>
        <w:rPr>
          <w:rFonts w:ascii="CHSf0Q3c+FangSong_GB2312" w:hAnsi="CHSf0Q3c+FangSong_GB2312" w:eastAsia="CHSf0Q3c+FangSong_GB2312"/>
          <w:color w:val="000000"/>
          <w:sz w:val="32"/>
        </w:rPr>
        <w:t xml:space="preserve">471 </w:t>
      </w:r>
      <w:r>
        <w:rPr>
          <w:rFonts w:ascii="CHSf0Q3c+FangSong_GB2312" w:hAnsi="CHSf0Q3c+FangSong_GB2312" w:eastAsia="CHSf0Q3c+FangSong_GB2312"/>
          <w:color w:val="000000"/>
          <w:sz w:val="32"/>
        </w:rPr>
        <w:t>.41</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100.00%</w:t>
      </w:r>
      <w:r>
        <w:rPr>
          <w:rFonts w:ascii="bs5IVuhn+FangSong_GB2312" w:hAnsi="bs5IVuhn+FangSong_GB2312" w:eastAsia="bs5IVuhn+FangSong_GB2312"/>
          <w:color w:val="000000"/>
          <w:sz w:val="32"/>
        </w:rPr>
        <w:t>。</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三、支出决算情况说明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年度支出合计</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万元，其中：基本支出</w:t>
      </w:r>
      <w:r>
        <w:rPr>
          <w:rFonts w:ascii="CHSf0Q3c+FangSong_GB2312" w:hAnsi="CHSf0Q3c+FangSong_GB2312" w:eastAsia="CHSf0Q3c+FangSong_GB2312"/>
          <w:color w:val="000000"/>
          <w:sz w:val="32"/>
        </w:rPr>
        <w:t>218.14</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46.27%;</w:t>
      </w:r>
      <w:r>
        <w:rPr>
          <w:rFonts w:ascii="bs5IVuhn+FangSong_GB2312" w:hAnsi="bs5IVuhn+FangSong_GB2312" w:eastAsia="bs5IVuhn+FangSong_GB2312"/>
          <w:color w:val="000000"/>
          <w:sz w:val="32"/>
        </w:rPr>
        <w:t>项目支出</w:t>
      </w:r>
      <w:r>
        <w:rPr>
          <w:rFonts w:ascii="CHSf0Q3c+FangSong_GB2312" w:hAnsi="CHSf0Q3c+FangSong_GB2312" w:eastAsia="CHSf0Q3c+FangSong_GB2312"/>
          <w:color w:val="000000"/>
          <w:sz w:val="32"/>
        </w:rPr>
        <w:t>253.27</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53.73%</w:t>
      </w:r>
      <w:r>
        <w:rPr>
          <w:rFonts w:ascii="bs5IVuhn+FangSong_GB2312" w:hAnsi="bs5IVuhn+FangSong_GB2312" w:eastAsia="bs5IVuhn+FangSong_GB2312"/>
          <w:color w:val="000000"/>
          <w:sz w:val="32"/>
        </w:rPr>
        <w:t>。</w:t>
      </w:r>
    </w:p>
    <w:p>
      <w:pPr>
        <w:autoSpaceDN w:val="0"/>
        <w:tabs>
          <w:tab w:pos="786" w:val="left"/>
        </w:tabs>
        <w:autoSpaceDE w:val="0"/>
        <w:widowControl/>
        <w:spacing w:line="590" w:lineRule="exact" w:before="0" w:after="0"/>
        <w:ind w:left="146" w:right="0" w:firstLine="0"/>
        <w:jc w:val="left"/>
      </w:pPr>
      <w:r>
        <w:tab/>
      </w:r>
      <w:r>
        <w:rPr>
          <w:rFonts w:ascii="36YvJHM7+SimHei" w:hAnsi="36YvJHM7+SimHei" w:eastAsia="36YvJHM7+SimHei"/>
          <w:color w:val="000000"/>
          <w:sz w:val="32"/>
        </w:rPr>
        <w:t>四、财政拨款收入支出决算总体情况说明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年度财政拨款收、支总计均为</w:t>
      </w:r>
      <w:r>
        <w:rPr>
          <w:rFonts w:ascii="JMF7coLC+FangSong" w:hAnsi="JMF7coLC+FangSong" w:eastAsia="JMF7coLC+FangSong"/>
          <w:color w:val="000000"/>
          <w:sz w:val="32"/>
        </w:rPr>
        <w:t>471.41</w:t>
      </w:r>
      <w:r>
        <w:rPr>
          <w:rFonts w:ascii="bs5IVuhn+FangSong_GB2312" w:hAnsi="bs5IVuhn+FangSong_GB2312" w:eastAsia="bs5IVuhn+FangSong_GB2312"/>
          <w:color w:val="000000"/>
          <w:sz w:val="32"/>
        </w:rPr>
        <w:t>万元。与上年度</w:t>
      </w:r>
      <w:r>
        <w:rPr>
          <w:rFonts w:ascii="bs5IVuhn+FangSong_GB2312" w:hAnsi="bs5IVuhn+FangSong_GB2312" w:eastAsia="bs5IVuhn+FangSong_GB2312"/>
          <w:color w:val="000000"/>
          <w:sz w:val="32"/>
        </w:rPr>
        <w:t>相比，财政拨款收、支总计各减少</w:t>
      </w:r>
      <w:r>
        <w:rPr>
          <w:rFonts w:ascii="CHSf0Q3c+FangSong_GB2312" w:hAnsi="CHSf0Q3c+FangSong_GB2312" w:eastAsia="CHSf0Q3c+FangSong_GB2312"/>
          <w:color w:val="000000"/>
          <w:sz w:val="32"/>
        </w:rPr>
        <w:t>110.84</w:t>
      </w:r>
      <w:r>
        <w:rPr>
          <w:rFonts w:ascii="bs5IVuhn+FangSong_GB2312" w:hAnsi="bs5IVuhn+FangSong_GB2312" w:eastAsia="bs5IVuhn+FangSong_GB2312"/>
          <w:color w:val="000000"/>
          <w:sz w:val="32"/>
        </w:rPr>
        <w:t>万元，下降</w:t>
      </w:r>
      <w:r>
        <w:rPr>
          <w:rFonts w:ascii="CHSf0Q3c+FangSong_GB2312" w:hAnsi="CHSf0Q3c+FangSong_GB2312" w:eastAsia="CHSf0Q3c+FangSong_GB2312"/>
          <w:color w:val="000000"/>
          <w:sz w:val="32"/>
        </w:rPr>
        <w:t>19.04%</w:t>
      </w:r>
      <w:r>
        <w:rPr>
          <w:rFonts w:ascii="bs5IVuhn+FangSong_GB2312" w:hAnsi="bs5IVuhn+FangSong_GB2312" w:eastAsia="bs5IVuhn+FangSong_GB2312"/>
          <w:color w:val="000000"/>
          <w:sz w:val="32"/>
        </w:rPr>
        <w:t>，</w:t>
      </w:r>
      <w:r>
        <w:rPr>
          <w:rFonts w:ascii="bs5IVuhn+FangSong_GB2312" w:hAnsi="bs5IVuhn+FangSong_GB2312" w:eastAsia="bs5IVuhn+FangSong_GB2312"/>
          <w:color w:val="000000"/>
          <w:sz w:val="32"/>
        </w:rPr>
        <w:t>主要原因是</w:t>
      </w:r>
      <w:r>
        <w:rPr>
          <w:rFonts w:ascii="CHSf0Q3c+FangSong_GB2312" w:hAnsi="CHSf0Q3c+FangSong_GB2312" w:eastAsia="CHSf0Q3c+FangSong_GB2312"/>
          <w:color w:val="000000"/>
          <w:sz w:val="32"/>
        </w:rPr>
        <w:t>2023</w:t>
      </w:r>
      <w:r>
        <w:rPr>
          <w:rFonts w:ascii="bs5IVuhn+FangSong_GB2312" w:hAnsi="bs5IVuhn+FangSong_GB2312" w:eastAsia="bs5IVuhn+FangSong_GB2312"/>
          <w:color w:val="000000"/>
          <w:sz w:val="32"/>
        </w:rPr>
        <w:t>年收、支多的原因是</w:t>
      </w:r>
      <w:r>
        <w:rPr>
          <w:rFonts w:ascii="CHSf0Q3c+FangSong_GB2312" w:hAnsi="CHSf0Q3c+FangSong_GB2312" w:eastAsia="CHSf0Q3c+FangSong_GB2312"/>
          <w:color w:val="000000"/>
          <w:sz w:val="32"/>
        </w:rPr>
        <w:t>2022</w:t>
      </w:r>
      <w:r>
        <w:rPr>
          <w:rFonts w:ascii="bs5IVuhn+FangSong_GB2312" w:hAnsi="bs5IVuhn+FangSong_GB2312" w:eastAsia="bs5IVuhn+FangSong_GB2312"/>
          <w:color w:val="000000"/>
          <w:sz w:val="32"/>
        </w:rPr>
        <w:t>年因为疫情原因考</w:t>
      </w:r>
      <w:r>
        <w:rPr>
          <w:rFonts w:ascii="bs5IVuhn+FangSong_GB2312" w:hAnsi="bs5IVuhn+FangSong_GB2312" w:eastAsia="bs5IVuhn+FangSong_GB2312"/>
          <w:color w:val="000000"/>
          <w:sz w:val="32"/>
        </w:rPr>
        <w:t>试考务费推迟发放，</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年恢复了正常收、支。。</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五、一般公共预算财政拨款支出决算情况说明</w:t>
      </w:r>
      <w:r>
        <w:br/>
      </w:r>
      <w:r>
        <w:tab/>
      </w:r>
      <w:r>
        <w:rPr>
          <w:rFonts w:ascii="AB5v0dox+KaiTi_GB2312" w:hAnsi="AB5v0dox+KaiTi_GB2312" w:eastAsia="AB5v0dox+KaiTi_GB2312"/>
          <w:b/>
          <w:color w:val="000000"/>
          <w:sz w:val="32"/>
        </w:rPr>
        <w:t>（一）总体情况</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年度一般公共预算财政拨款支出</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万元，占支出</w:t>
      </w:r>
      <w:r>
        <w:rPr>
          <w:rFonts w:ascii="bs5IVuhn+FangSong_GB2312" w:hAnsi="bs5IVuhn+FangSong_GB2312" w:eastAsia="bs5IVuhn+FangSong_GB2312"/>
          <w:color w:val="000000"/>
          <w:sz w:val="32"/>
        </w:rPr>
        <w:t>合计的</w:t>
      </w:r>
      <w:r>
        <w:rPr>
          <w:rFonts w:ascii="CHSf0Q3c+FangSong_GB2312" w:hAnsi="CHSf0Q3c+FangSong_GB2312" w:eastAsia="CHSf0Q3c+FangSong_GB2312"/>
          <w:color w:val="000000"/>
          <w:sz w:val="32"/>
        </w:rPr>
        <w:t>100.00%</w:t>
      </w:r>
      <w:r>
        <w:rPr>
          <w:rFonts w:ascii="bs5IVuhn+FangSong_GB2312" w:hAnsi="bs5IVuhn+FangSong_GB2312" w:eastAsia="bs5IVuhn+FangSong_GB2312"/>
          <w:color w:val="000000"/>
          <w:sz w:val="32"/>
        </w:rPr>
        <w:t>。与上年度相比，一般公共预算财政拨款支出减</w:t>
      </w:r>
      <w:r>
        <w:rPr>
          <w:rFonts w:ascii="bs5IVuhn+FangSong_GB2312" w:hAnsi="bs5IVuhn+FangSong_GB2312" w:eastAsia="bs5IVuhn+FangSong_GB2312"/>
          <w:color w:val="000000"/>
          <w:sz w:val="32"/>
        </w:rPr>
        <w:t>少</w:t>
      </w:r>
      <w:r>
        <w:rPr>
          <w:rFonts w:ascii="CHSf0Q3c+FangSong_GB2312" w:hAnsi="CHSf0Q3c+FangSong_GB2312" w:eastAsia="CHSf0Q3c+FangSong_GB2312"/>
          <w:color w:val="000000"/>
          <w:sz w:val="32"/>
        </w:rPr>
        <w:t>110.84</w:t>
      </w:r>
      <w:r>
        <w:rPr>
          <w:rFonts w:ascii="bs5IVuhn+FangSong_GB2312" w:hAnsi="bs5IVuhn+FangSong_GB2312" w:eastAsia="bs5IVuhn+FangSong_GB2312"/>
          <w:color w:val="000000"/>
          <w:sz w:val="32"/>
        </w:rPr>
        <w:t>万元，下降</w:t>
      </w:r>
      <w:r>
        <w:rPr>
          <w:rFonts w:ascii="CHSf0Q3c+FangSong_GB2312" w:hAnsi="CHSf0Q3c+FangSong_GB2312" w:eastAsia="CHSf0Q3c+FangSong_GB2312"/>
          <w:color w:val="000000"/>
          <w:sz w:val="32"/>
        </w:rPr>
        <w:t>19.04%</w:t>
      </w:r>
      <w:r>
        <w:rPr>
          <w:rFonts w:ascii="bs5IVuhn+FangSong_GB2312" w:hAnsi="bs5IVuhn+FangSong_GB2312" w:eastAsia="bs5IVuhn+FangSong_GB2312"/>
          <w:color w:val="000000"/>
          <w:sz w:val="32"/>
        </w:rPr>
        <w:t>，主要原因是</w:t>
      </w:r>
      <w:r>
        <w:rPr>
          <w:rFonts w:ascii="CHSf0Q3c+FangSong_GB2312" w:hAnsi="CHSf0Q3c+FangSong_GB2312" w:eastAsia="CHSf0Q3c+FangSong_GB2312"/>
          <w:color w:val="000000"/>
          <w:sz w:val="32"/>
        </w:rPr>
        <w:t>2023</w:t>
      </w:r>
      <w:r>
        <w:rPr>
          <w:rFonts w:ascii="bs5IVuhn+FangSong_GB2312" w:hAnsi="bs5IVuhn+FangSong_GB2312" w:eastAsia="bs5IVuhn+FangSong_GB2312"/>
          <w:color w:val="000000"/>
          <w:sz w:val="32"/>
        </w:rPr>
        <w:t>年收、支多的</w:t>
      </w:r>
      <w:r>
        <w:rPr>
          <w:rFonts w:ascii="bs5IVuhn+FangSong_GB2312" w:hAnsi="bs5IVuhn+FangSong_GB2312" w:eastAsia="bs5IVuhn+FangSong_GB2312"/>
          <w:color w:val="000000"/>
          <w:sz w:val="32"/>
        </w:rPr>
        <w:t>原因是</w:t>
      </w:r>
      <w:r>
        <w:rPr>
          <w:rFonts w:ascii="CHSf0Q3c+FangSong_GB2312" w:hAnsi="CHSf0Q3c+FangSong_GB2312" w:eastAsia="CHSf0Q3c+FangSong_GB2312"/>
          <w:color w:val="000000"/>
          <w:sz w:val="32"/>
        </w:rPr>
        <w:t>2022</w:t>
      </w:r>
      <w:r>
        <w:rPr>
          <w:rFonts w:ascii="bs5IVuhn+FangSong_GB2312" w:hAnsi="bs5IVuhn+FangSong_GB2312" w:eastAsia="bs5IVuhn+FangSong_GB2312"/>
          <w:color w:val="000000"/>
          <w:sz w:val="32"/>
        </w:rPr>
        <w:t>年因为疫情原因考试考务费推迟发放，</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年恢复</w:t>
      </w:r>
      <w:r>
        <w:rPr>
          <w:rFonts w:ascii="bs5IVuhn+FangSong_GB2312" w:hAnsi="bs5IVuhn+FangSong_GB2312" w:eastAsia="bs5IVuhn+FangSong_GB2312"/>
          <w:color w:val="000000"/>
          <w:sz w:val="32"/>
        </w:rPr>
        <w:t>了正常收、支。</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- 19 -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46" w:lineRule="exact" w:before="0" w:after="0"/>
        <w:ind w:left="146" w:right="0" w:firstLine="0"/>
        <w:jc w:val="left"/>
      </w:pPr>
      <w:r>
        <w:tab/>
      </w:r>
      <w:r>
        <w:rPr>
          <w:rFonts w:ascii="AB5v0dox+KaiTi_GB2312" w:hAnsi="AB5v0dox+KaiTi_GB2312" w:eastAsia="AB5v0dox+KaiTi_GB2312"/>
          <w:b/>
          <w:color w:val="000000"/>
          <w:sz w:val="32"/>
        </w:rPr>
        <w:t>（二）结构情况</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年度一般公共预算财政拨款支出</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万元，主要用</w:t>
      </w:r>
      <w:r>
        <w:rPr>
          <w:rFonts w:ascii="bs5IVuhn+FangSong_GB2312" w:hAnsi="bs5IVuhn+FangSong_GB2312" w:eastAsia="bs5IVuhn+FangSong_GB2312"/>
          <w:color w:val="000000"/>
          <w:sz w:val="32"/>
        </w:rPr>
        <w:t>于以下方面：一般公共服务（类）支出</w:t>
      </w:r>
      <w:r>
        <w:rPr>
          <w:rFonts w:ascii="CHSf0Q3c+FangSong_GB2312" w:hAnsi="CHSf0Q3c+FangSong_GB2312" w:eastAsia="CHSf0Q3c+FangSong_GB2312"/>
          <w:color w:val="000000"/>
          <w:sz w:val="32"/>
        </w:rPr>
        <w:t>0.79</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0.17%;</w:t>
      </w:r>
      <w:r>
        <w:rPr>
          <w:rFonts w:ascii="bs5IVuhn+FangSong_GB2312" w:hAnsi="bs5IVuhn+FangSong_GB2312" w:eastAsia="bs5IVuhn+FangSong_GB2312"/>
          <w:color w:val="000000"/>
          <w:sz w:val="32"/>
        </w:rPr>
        <w:t>科</w:t>
      </w:r>
      <w:r>
        <w:rPr>
          <w:rFonts w:ascii="bs5IVuhn+FangSong_GB2312" w:hAnsi="bs5IVuhn+FangSong_GB2312" w:eastAsia="bs5IVuhn+FangSong_GB2312"/>
          <w:color w:val="000000"/>
          <w:sz w:val="32"/>
        </w:rPr>
        <w:t>学技术（类）支出</w:t>
      </w:r>
      <w:r>
        <w:rPr>
          <w:rFonts w:ascii="CHSf0Q3c+FangSong_GB2312" w:hAnsi="CHSf0Q3c+FangSong_GB2312" w:eastAsia="CHSf0Q3c+FangSong_GB2312"/>
          <w:color w:val="000000"/>
          <w:sz w:val="32"/>
        </w:rPr>
        <w:t>13.06</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2.77%;</w:t>
      </w:r>
      <w:r>
        <w:rPr>
          <w:rFonts w:ascii="bs5IVuhn+FangSong_GB2312" w:hAnsi="bs5IVuhn+FangSong_GB2312" w:eastAsia="bs5IVuhn+FangSong_GB2312"/>
          <w:color w:val="000000"/>
          <w:sz w:val="32"/>
        </w:rPr>
        <w:t>社会保障和就业（类）</w:t>
      </w:r>
      <w:r>
        <w:rPr>
          <w:rFonts w:ascii="bs5IVuhn+FangSong_GB2312" w:hAnsi="bs5IVuhn+FangSong_GB2312" w:eastAsia="bs5IVuhn+FangSong_GB2312"/>
          <w:color w:val="000000"/>
          <w:sz w:val="32"/>
        </w:rPr>
        <w:t>支出</w:t>
      </w:r>
      <w:r>
        <w:rPr>
          <w:rFonts w:ascii="CHSf0Q3c+FangSong_GB2312" w:hAnsi="CHSf0Q3c+FangSong_GB2312" w:eastAsia="CHSf0Q3c+FangSong_GB2312"/>
          <w:color w:val="000000"/>
          <w:sz w:val="32"/>
        </w:rPr>
        <w:t>427.16</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90.61%;</w:t>
      </w:r>
      <w:r>
        <w:rPr>
          <w:rFonts w:ascii="bs5IVuhn+FangSong_GB2312" w:hAnsi="bs5IVuhn+FangSong_GB2312" w:eastAsia="bs5IVuhn+FangSong_GB2312"/>
          <w:color w:val="000000"/>
          <w:sz w:val="32"/>
        </w:rPr>
        <w:t>卫生健康（类）支出</w:t>
      </w:r>
      <w:r>
        <w:rPr>
          <w:rFonts w:ascii="CHSf0Q3c+FangSong_GB2312" w:hAnsi="CHSf0Q3c+FangSong_GB2312" w:eastAsia="CHSf0Q3c+FangSong_GB2312"/>
          <w:color w:val="000000"/>
          <w:sz w:val="32"/>
        </w:rPr>
        <w:t>12.58</w:t>
      </w:r>
      <w:r>
        <w:rPr>
          <w:rFonts w:ascii="bs5IVuhn+FangSong_GB2312" w:hAnsi="bs5IVuhn+FangSong_GB2312" w:eastAsia="bs5IVuhn+FangSong_GB2312"/>
          <w:color w:val="000000"/>
          <w:sz w:val="32"/>
        </w:rPr>
        <w:t>万元，</w:t>
      </w:r>
      <w:r>
        <w:rPr>
          <w:rFonts w:ascii="bs5IVuhn+FangSong_GB2312" w:hAnsi="bs5IVuhn+FangSong_GB2312" w:eastAsia="bs5IVuhn+FangSong_GB2312"/>
          <w:color w:val="000000"/>
          <w:sz w:val="32"/>
        </w:rPr>
        <w:t>占</w:t>
      </w:r>
      <w:r>
        <w:rPr>
          <w:rFonts w:ascii="CHSf0Q3c+FangSong_GB2312" w:hAnsi="CHSf0Q3c+FangSong_GB2312" w:eastAsia="CHSf0Q3c+FangSong_GB2312"/>
          <w:color w:val="000000"/>
          <w:sz w:val="32"/>
        </w:rPr>
        <w:t>2.67%;</w:t>
      </w:r>
      <w:r>
        <w:rPr>
          <w:rFonts w:ascii="bs5IVuhn+FangSong_GB2312" w:hAnsi="bs5IVuhn+FangSong_GB2312" w:eastAsia="bs5IVuhn+FangSong_GB2312"/>
          <w:color w:val="000000"/>
          <w:sz w:val="32"/>
        </w:rPr>
        <w:t>住房保障（类）支出</w:t>
      </w:r>
      <w:r>
        <w:rPr>
          <w:rFonts w:ascii="CHSf0Q3c+FangSong_GB2312" w:hAnsi="CHSf0Q3c+FangSong_GB2312" w:eastAsia="CHSf0Q3c+FangSong_GB2312"/>
          <w:color w:val="000000"/>
          <w:sz w:val="32"/>
        </w:rPr>
        <w:t>17.82</w:t>
      </w:r>
      <w:r>
        <w:rPr>
          <w:rFonts w:ascii="bs5IVuhn+FangSong_GB2312" w:hAnsi="bs5IVuhn+FangSong_GB2312" w:eastAsia="bs5IVuhn+FangSong_GB2312"/>
          <w:color w:val="000000"/>
          <w:sz w:val="32"/>
        </w:rPr>
        <w:t>万元，占</w:t>
      </w:r>
      <w:r>
        <w:rPr>
          <w:rFonts w:ascii="CHSf0Q3c+FangSong_GB2312" w:hAnsi="CHSf0Q3c+FangSong_GB2312" w:eastAsia="CHSf0Q3c+FangSong_GB2312"/>
          <w:color w:val="000000"/>
          <w:sz w:val="32"/>
        </w:rPr>
        <w:t>3.78%</w:t>
      </w:r>
      <w:r>
        <w:rPr>
          <w:rFonts w:ascii="bs5IVuhn+FangSong_GB2312" w:hAnsi="bs5IVuhn+FangSong_GB2312" w:eastAsia="bs5IVuhn+FangSong_GB2312"/>
          <w:color w:val="000000"/>
          <w:sz w:val="32"/>
        </w:rPr>
        <w:t>。</w:t>
      </w:r>
    </w:p>
    <w:p>
      <w:pPr>
        <w:autoSpaceDN w:val="0"/>
        <w:tabs>
          <w:tab w:pos="786" w:val="left"/>
        </w:tabs>
        <w:autoSpaceDE w:val="0"/>
        <w:widowControl/>
        <w:spacing w:line="590" w:lineRule="exact" w:before="0" w:after="0"/>
        <w:ind w:left="146" w:right="0" w:firstLine="0"/>
        <w:jc w:val="left"/>
      </w:pPr>
      <w:r>
        <w:tab/>
      </w:r>
      <w:r>
        <w:rPr>
          <w:rFonts w:ascii="AB5v0dox+KaiTi_GB2312" w:hAnsi="AB5v0dox+KaiTi_GB2312" w:eastAsia="AB5v0dox+KaiTi_GB2312"/>
          <w:b/>
          <w:color w:val="000000"/>
          <w:sz w:val="32"/>
        </w:rPr>
        <w:t>（三）具体情况</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年度一般公共预算财政拨款支出年初预算为</w:t>
      </w:r>
      <w:r>
        <w:rPr>
          <w:rFonts w:ascii="CHSf0Q3c+FangSong_GB2312" w:hAnsi="CHSf0Q3c+FangSong_GB2312" w:eastAsia="CHSf0Q3c+FangSong_GB2312"/>
          <w:color w:val="000000"/>
          <w:sz w:val="32"/>
        </w:rPr>
        <w:t>462.54</w:t>
      </w:r>
      <w:r>
        <w:rPr>
          <w:rFonts w:ascii="bs5IVuhn+FangSong_GB2312" w:hAnsi="bs5IVuhn+FangSong_GB2312" w:eastAsia="bs5IVuhn+FangSong_GB2312"/>
          <w:color w:val="000000"/>
          <w:sz w:val="32"/>
        </w:rPr>
        <w:t>万</w:t>
      </w:r>
      <w:r>
        <w:rPr>
          <w:rFonts w:ascii="bs5IVuhn+FangSong_GB2312" w:hAnsi="bs5IVuhn+FangSong_GB2312" w:eastAsia="bs5IVuhn+FangSong_GB2312"/>
          <w:color w:val="000000"/>
          <w:sz w:val="32"/>
        </w:rPr>
        <w:t>元，支出决算为</w:t>
      </w:r>
      <w:r>
        <w:rPr>
          <w:rFonts w:ascii="CHSf0Q3c+FangSong_GB2312" w:hAnsi="CHSf0Q3c+FangSong_GB2312" w:eastAsia="CHSf0Q3c+FangSong_GB2312"/>
          <w:color w:val="000000"/>
          <w:sz w:val="32"/>
        </w:rPr>
        <w:t>471.41</w:t>
      </w:r>
      <w:r>
        <w:rPr>
          <w:rFonts w:ascii="bs5IVuhn+FangSong_GB2312" w:hAnsi="bs5IVuhn+FangSong_GB2312" w:eastAsia="bs5IVuhn+FangSong_GB2312"/>
          <w:color w:val="000000"/>
          <w:sz w:val="32"/>
        </w:rPr>
        <w:t>万元，完成年初预算的</w:t>
      </w:r>
      <w:r>
        <w:rPr>
          <w:rFonts w:ascii="CHSf0Q3c+FangSong_GB2312" w:hAnsi="CHSf0Q3c+FangSong_GB2312" w:eastAsia="CHSf0Q3c+FangSong_GB2312"/>
          <w:color w:val="000000"/>
          <w:sz w:val="32"/>
        </w:rPr>
        <w:t>101.92%</w:t>
      </w:r>
      <w:r>
        <w:rPr>
          <w:rFonts w:ascii="bs5IVuhn+FangSong_GB2312" w:hAnsi="bs5IVuhn+FangSong_GB2312" w:eastAsia="bs5IVuhn+FangSong_GB2312"/>
          <w:color w:val="000000"/>
          <w:sz w:val="32"/>
        </w:rPr>
        <w:t>。其中：</w:t>
      </w:r>
      <w:r>
        <w:tab/>
      </w:r>
      <w:r>
        <w:rPr>
          <w:rFonts w:ascii="JMF7coLC+FangSong" w:hAnsi="JMF7coLC+FangSong" w:eastAsia="JMF7coLC+FangSong"/>
          <w:color w:val="000000"/>
          <w:sz w:val="32"/>
        </w:rPr>
        <w:t>1.</w:t>
      </w:r>
      <w:r>
        <w:rPr>
          <w:rFonts w:ascii="ScLDow9O+FangSong" w:hAnsi="ScLDow9O+FangSong" w:eastAsia="ScLDow9O+FangSong"/>
          <w:b/>
          <w:color w:val="000000"/>
          <w:sz w:val="32"/>
        </w:rPr>
        <w:t>一般公共服务支出（类）群众团体事务（款）工会事务</w:t>
      </w:r>
      <w:r>
        <w:rPr>
          <w:rFonts w:ascii="ScLDow9O+FangSong" w:hAnsi="ScLDow9O+FangSong" w:eastAsia="ScLDow9O+FangSong"/>
          <w:b/>
          <w:color w:val="000000"/>
          <w:sz w:val="32"/>
        </w:rPr>
        <w:t>（项）</w:t>
      </w:r>
      <w:r>
        <w:rPr>
          <w:rFonts w:ascii="Vvxjkz98+FangSong" w:hAnsi="Vvxjkz98+FangSong" w:eastAsia="Vvxjkz98+FangSong"/>
          <w:color w:val="000000"/>
          <w:sz w:val="32"/>
        </w:rPr>
        <w:t>。年初预算为</w:t>
      </w:r>
      <w:r>
        <w:rPr>
          <w:rFonts w:ascii="JMF7coLC+FangSong" w:hAnsi="JMF7coLC+FangSong" w:eastAsia="JMF7coLC+FangSong"/>
          <w:color w:val="000000"/>
          <w:sz w:val="32"/>
        </w:rPr>
        <w:t>0.79</w:t>
      </w:r>
      <w:r>
        <w:rPr>
          <w:rFonts w:ascii="Vvxjkz98+FangSong" w:hAnsi="Vvxjkz98+FangSong" w:eastAsia="Vvxjkz98+FangSong"/>
          <w:color w:val="000000"/>
          <w:sz w:val="32"/>
        </w:rPr>
        <w:t>万元，支出决算为</w:t>
      </w:r>
      <w:r>
        <w:rPr>
          <w:rFonts w:ascii="JMF7coLC+FangSong" w:hAnsi="JMF7coLC+FangSong" w:eastAsia="JMF7coLC+FangSong"/>
          <w:color w:val="000000"/>
          <w:sz w:val="32"/>
        </w:rPr>
        <w:t>0.79</w:t>
      </w:r>
      <w:r>
        <w:rPr>
          <w:rFonts w:ascii="Vvxjkz98+FangSong" w:hAnsi="Vvxjkz98+FangSong" w:eastAsia="Vvxjkz98+FangSong"/>
          <w:color w:val="000000"/>
          <w:sz w:val="32"/>
        </w:rPr>
        <w:t>万元，完成</w:t>
      </w:r>
      <w:r>
        <w:rPr>
          <w:rFonts w:ascii="Vvxjkz98+FangSong" w:hAnsi="Vvxjkz98+FangSong" w:eastAsia="Vvxjkz98+FangSong"/>
          <w:color w:val="000000"/>
          <w:sz w:val="32"/>
        </w:rPr>
        <w:t>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。决算数与年初预算数不存在差异。</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2.</w:t>
      </w:r>
      <w:r>
        <w:rPr>
          <w:rFonts w:ascii="ScLDow9O+FangSong" w:hAnsi="ScLDow9O+FangSong" w:eastAsia="ScLDow9O+FangSong"/>
          <w:b/>
          <w:color w:val="000000"/>
          <w:sz w:val="32"/>
        </w:rPr>
        <w:t>一般公共服务支出（类）其他一般公共服务支出（款）</w:t>
      </w:r>
      <w:r>
        <w:rPr>
          <w:rFonts w:ascii="ScLDow9O+FangSong" w:hAnsi="ScLDow9O+FangSong" w:eastAsia="ScLDow9O+FangSong"/>
          <w:b/>
          <w:color w:val="000000"/>
          <w:sz w:val="32"/>
        </w:rPr>
        <w:t>其他一般公共服务支出（项）</w:t>
      </w:r>
      <w:r>
        <w:rPr>
          <w:rFonts w:ascii="Vvxjkz98+FangSong" w:hAnsi="Vvxjkz98+FangSong" w:eastAsia="Vvxjkz98+FangSong"/>
          <w:color w:val="000000"/>
          <w:sz w:val="32"/>
        </w:rPr>
        <w:t>。年初预算为万元，支出决算为</w:t>
      </w:r>
      <w:r>
        <w:rPr>
          <w:rFonts w:ascii="JMF7coLC+FangSong" w:hAnsi="JMF7coLC+FangSong" w:eastAsia="JMF7coLC+FangSong"/>
          <w:color w:val="000000"/>
          <w:sz w:val="32"/>
        </w:rPr>
        <w:t>0.00</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。决算数与年初预算数不</w:t>
      </w:r>
      <w:r>
        <w:rPr>
          <w:rFonts w:ascii="Vvxjkz98+FangSong" w:hAnsi="Vvxjkz98+FangSong" w:eastAsia="Vvxjkz98+FangSong"/>
          <w:color w:val="000000"/>
          <w:sz w:val="32"/>
        </w:rPr>
        <w:t>存在差异。</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3.</w:t>
      </w:r>
      <w:r>
        <w:rPr>
          <w:rFonts w:ascii="ScLDow9O+FangSong" w:hAnsi="ScLDow9O+FangSong" w:eastAsia="ScLDow9O+FangSong"/>
          <w:b/>
          <w:color w:val="000000"/>
          <w:sz w:val="32"/>
        </w:rPr>
        <w:t>科学技术支出（类）其他科学技术支出（款）其他科学</w:t>
      </w:r>
      <w:r>
        <w:rPr>
          <w:rFonts w:ascii="ScLDow9O+FangSong" w:hAnsi="ScLDow9O+FangSong" w:eastAsia="ScLDow9O+FangSong"/>
          <w:b/>
          <w:color w:val="000000"/>
          <w:sz w:val="32"/>
        </w:rPr>
        <w:t>技术支出（项）</w:t>
      </w:r>
      <w:r>
        <w:rPr>
          <w:rFonts w:ascii="Vvxjkz98+FangSong" w:hAnsi="Vvxjkz98+FangSong" w:eastAsia="Vvxjkz98+FangSong"/>
          <w:color w:val="000000"/>
          <w:sz w:val="32"/>
        </w:rPr>
        <w:t>。年初预算为万元，支出决算为</w:t>
      </w:r>
      <w:r>
        <w:rPr>
          <w:rFonts w:ascii="JMF7coLC+FangSong" w:hAnsi="JMF7coLC+FangSong" w:eastAsia="JMF7coLC+FangSong"/>
          <w:color w:val="000000"/>
          <w:sz w:val="32"/>
        </w:rPr>
        <w:t>13.06</w:t>
      </w:r>
      <w:r>
        <w:rPr>
          <w:rFonts w:ascii="Vvxjkz98+FangSong" w:hAnsi="Vvxjkz98+FangSong" w:eastAsia="Vvxjkz98+FangSong"/>
          <w:color w:val="000000"/>
          <w:sz w:val="32"/>
        </w:rPr>
        <w:t>万元，</w:t>
      </w:r>
      <w:r>
        <w:rPr>
          <w:rFonts w:ascii="Vvxjkz98+FangSong" w:hAnsi="Vvxjkz98+FangSong" w:eastAsia="Vvxjkz98+FangSong"/>
          <w:color w:val="000000"/>
          <w:sz w:val="32"/>
        </w:rPr>
        <w:t>完成年初预算的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。决算数与年初预算数存在差异的主要</w:t>
      </w:r>
      <w:r>
        <w:rPr>
          <w:rFonts w:ascii="Vvxjkz98+FangSong" w:hAnsi="Vvxjkz98+FangSong" w:eastAsia="Vvxjkz98+FangSong"/>
          <w:color w:val="000000"/>
          <w:sz w:val="32"/>
        </w:rPr>
        <w:t>原因是：。</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4.</w:t>
      </w:r>
      <w:r>
        <w:rPr>
          <w:rFonts w:ascii="ScLDow9O+FangSong" w:hAnsi="ScLDow9O+FangSong" w:eastAsia="ScLDow9O+FangSong"/>
          <w:b/>
          <w:color w:val="000000"/>
          <w:sz w:val="32"/>
        </w:rPr>
        <w:t>社会保障和就业支出（类）人力资源和社会保障管理事</w:t>
      </w:r>
      <w:r>
        <w:rPr>
          <w:rFonts w:ascii="ScLDow9O+FangSong" w:hAnsi="ScLDow9O+FangSong" w:eastAsia="ScLDow9O+FangSong"/>
          <w:b/>
          <w:color w:val="000000"/>
          <w:sz w:val="32"/>
        </w:rPr>
        <w:t>务（款）行政运行（项）</w:t>
      </w:r>
      <w:r>
        <w:rPr>
          <w:rFonts w:ascii="Vvxjkz98+FangSong" w:hAnsi="Vvxjkz98+FangSong" w:eastAsia="Vvxjkz98+FangSong"/>
          <w:color w:val="000000"/>
          <w:sz w:val="32"/>
        </w:rPr>
        <w:t>。年初预算为</w:t>
      </w:r>
      <w:r>
        <w:rPr>
          <w:rFonts w:ascii="JMF7coLC+FangSong" w:hAnsi="JMF7coLC+FangSong" w:eastAsia="JMF7coLC+FangSong"/>
          <w:color w:val="000000"/>
          <w:sz w:val="32"/>
        </w:rPr>
        <w:t>136.41</w:t>
      </w:r>
      <w:r>
        <w:rPr>
          <w:rFonts w:ascii="Vvxjkz98+FangSong" w:hAnsi="Vvxjkz98+FangSong" w:eastAsia="Vvxjkz98+FangSong"/>
          <w:color w:val="000000"/>
          <w:sz w:val="32"/>
        </w:rPr>
        <w:t>万元，支出决算</w:t>
      </w:r>
      <w:r>
        <w:rPr>
          <w:rFonts w:ascii="Vvxjkz98+FangSong" w:hAnsi="Vvxjkz98+FangSong" w:eastAsia="Vvxjkz98+FangSong"/>
          <w:color w:val="000000"/>
          <w:sz w:val="32"/>
        </w:rPr>
        <w:t>为</w:t>
      </w:r>
      <w:r>
        <w:rPr>
          <w:rFonts w:ascii="JMF7coLC+FangSong" w:hAnsi="JMF7coLC+FangSong" w:eastAsia="JMF7coLC+FangSong"/>
          <w:color w:val="000000"/>
          <w:sz w:val="32"/>
        </w:rPr>
        <w:t>170.62</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125.08%</w:t>
      </w:r>
      <w:r>
        <w:rPr>
          <w:rFonts w:ascii="Vvxjkz98+FangSong" w:hAnsi="Vvxjkz98+FangSong" w:eastAsia="Vvxjkz98+FangSong"/>
          <w:color w:val="000000"/>
          <w:sz w:val="32"/>
        </w:rPr>
        <w:t>。决算数与年初预算</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- 20 -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autoSpaceDE w:val="0"/>
        <w:widowControl/>
        <w:spacing w:line="456" w:lineRule="exact" w:before="0" w:after="0"/>
        <w:ind w:left="146" w:right="144" w:firstLine="0"/>
        <w:jc w:val="left"/>
      </w:pPr>
      <w:r>
        <w:rPr>
          <w:rFonts w:ascii="Vvxjkz98+FangSong" w:hAnsi="Vvxjkz98+FangSong" w:eastAsia="Vvxjkz98+FangSong"/>
          <w:color w:val="000000"/>
          <w:sz w:val="32"/>
        </w:rPr>
        <w:t>数存在差异的主要原因是：</w:t>
      </w:r>
      <w:r>
        <w:rPr>
          <w:rFonts w:ascii="JMF7coLC+FangSong" w:hAnsi="JMF7coLC+FangSong" w:eastAsia="JMF7coLC+FangSong"/>
          <w:color w:val="000000"/>
          <w:sz w:val="32"/>
        </w:rPr>
        <w:t>2024</w:t>
      </w:r>
      <w:r>
        <w:rPr>
          <w:rFonts w:ascii="Vvxjkz98+FangSong" w:hAnsi="Vvxjkz98+FangSong" w:eastAsia="Vvxjkz98+FangSong"/>
          <w:color w:val="000000"/>
          <w:sz w:val="32"/>
        </w:rPr>
        <w:t>年调入</w:t>
      </w:r>
      <w:r>
        <w:rPr>
          <w:rFonts w:ascii="JMF7coLC+FangSong" w:hAnsi="JMF7coLC+FangSong" w:eastAsia="JMF7coLC+FangSong"/>
          <w:color w:val="000000"/>
          <w:sz w:val="32"/>
        </w:rPr>
        <w:t>4</w:t>
      </w:r>
      <w:r>
        <w:rPr>
          <w:rFonts w:ascii="Vvxjkz98+FangSong" w:hAnsi="Vvxjkz98+FangSong" w:eastAsia="Vvxjkz98+FangSong"/>
          <w:color w:val="000000"/>
          <w:sz w:val="32"/>
        </w:rPr>
        <w:t>名在编人员，人员经</w:t>
      </w:r>
      <w:r>
        <w:rPr>
          <w:rFonts w:ascii="Vvxjkz98+FangSong" w:hAnsi="Vvxjkz98+FangSong" w:eastAsia="Vvxjkz98+FangSong"/>
          <w:color w:val="000000"/>
          <w:sz w:val="32"/>
        </w:rPr>
        <w:t>费和公用经费都有所增长。。</w:t>
      </w:r>
    </w:p>
    <w:p>
      <w:pPr>
        <w:autoSpaceDN w:val="0"/>
        <w:autoSpaceDE w:val="0"/>
        <w:widowControl/>
        <w:spacing w:line="590" w:lineRule="exact" w:before="2" w:after="0"/>
        <w:ind w:left="146" w:right="144" w:firstLine="640"/>
        <w:jc w:val="left"/>
      </w:pPr>
      <w:r>
        <w:rPr>
          <w:rFonts w:ascii="JMF7coLC+FangSong" w:hAnsi="JMF7coLC+FangSong" w:eastAsia="JMF7coLC+FangSong"/>
          <w:color w:val="000000"/>
          <w:sz w:val="32"/>
        </w:rPr>
        <w:t>5.</w:t>
      </w:r>
      <w:r>
        <w:rPr>
          <w:rFonts w:ascii="ScLDow9O+FangSong" w:hAnsi="ScLDow9O+FangSong" w:eastAsia="ScLDow9O+FangSong"/>
          <w:b/>
          <w:color w:val="000000"/>
          <w:sz w:val="32"/>
        </w:rPr>
        <w:t>社会保障和就业支出（类）人力资源和社会保障管理事</w:t>
      </w:r>
      <w:r>
        <w:rPr>
          <w:rFonts w:ascii="ScLDow9O+FangSong" w:hAnsi="ScLDow9O+FangSong" w:eastAsia="ScLDow9O+FangSong"/>
          <w:b/>
          <w:color w:val="000000"/>
          <w:sz w:val="32"/>
        </w:rPr>
        <w:t>务（款）一般行政管理事务（项）</w:t>
      </w:r>
      <w:r>
        <w:rPr>
          <w:rFonts w:ascii="Vvxjkz98+FangSong" w:hAnsi="Vvxjkz98+FangSong" w:eastAsia="Vvxjkz98+FangSong"/>
          <w:color w:val="000000"/>
          <w:sz w:val="32"/>
        </w:rPr>
        <w:t>。年初预算为</w:t>
      </w:r>
      <w:r>
        <w:rPr>
          <w:rFonts w:ascii="JMF7coLC+FangSong" w:hAnsi="JMF7coLC+FangSong" w:eastAsia="JMF7coLC+FangSong"/>
          <w:color w:val="000000"/>
          <w:sz w:val="32"/>
        </w:rPr>
        <w:t>199.41</w:t>
      </w:r>
      <w:r>
        <w:rPr>
          <w:rFonts w:ascii="Vvxjkz98+FangSong" w:hAnsi="Vvxjkz98+FangSong" w:eastAsia="Vvxjkz98+FangSong"/>
          <w:color w:val="000000"/>
          <w:sz w:val="32"/>
        </w:rPr>
        <w:t>万元，</w:t>
      </w:r>
      <w:r>
        <w:rPr>
          <w:rFonts w:ascii="Vvxjkz98+FangSong" w:hAnsi="Vvxjkz98+FangSong" w:eastAsia="Vvxjkz98+FangSong"/>
          <w:color w:val="000000"/>
          <w:sz w:val="32"/>
        </w:rPr>
        <w:t>支出决算为</w:t>
      </w:r>
      <w:r>
        <w:rPr>
          <w:rFonts w:ascii="JMF7coLC+FangSong" w:hAnsi="JMF7coLC+FangSong" w:eastAsia="JMF7coLC+FangSong"/>
          <w:color w:val="000000"/>
          <w:sz w:val="32"/>
        </w:rPr>
        <w:t>115.43</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57.89%</w:t>
      </w:r>
      <w:r>
        <w:rPr>
          <w:rFonts w:ascii="Vvxjkz98+FangSong" w:hAnsi="Vvxjkz98+FangSong" w:eastAsia="Vvxjkz98+FangSong"/>
          <w:color w:val="000000"/>
          <w:sz w:val="32"/>
        </w:rPr>
        <w:t>。决算数与年</w:t>
      </w:r>
      <w:r>
        <w:rPr>
          <w:rFonts w:ascii="Vvxjkz98+FangSong" w:hAnsi="Vvxjkz98+FangSong" w:eastAsia="Vvxjkz98+FangSong"/>
          <w:color w:val="000000"/>
          <w:sz w:val="32"/>
        </w:rPr>
        <w:t>初预算数存在差异的主要原因是：</w:t>
      </w:r>
      <w:r>
        <w:rPr>
          <w:rFonts w:ascii="JMF7coLC+FangSong" w:hAnsi="JMF7coLC+FangSong" w:eastAsia="JMF7coLC+FangSong"/>
          <w:color w:val="000000"/>
          <w:sz w:val="32"/>
        </w:rPr>
        <w:t>2024</w:t>
      </w:r>
      <w:r>
        <w:rPr>
          <w:rFonts w:ascii="Vvxjkz98+FangSong" w:hAnsi="Vvxjkz98+FangSong" w:eastAsia="Vvxjkz98+FangSong"/>
          <w:color w:val="000000"/>
          <w:sz w:val="32"/>
        </w:rPr>
        <w:t>年度部分项目由于财政</w:t>
      </w:r>
      <w:r>
        <w:rPr>
          <w:rFonts w:ascii="Vvxjkz98+FangSong" w:hAnsi="Vvxjkz98+FangSong" w:eastAsia="Vvxjkz98+FangSong"/>
          <w:color w:val="000000"/>
          <w:sz w:val="32"/>
        </w:rPr>
        <w:t>资金紧张，推迟到</w:t>
      </w:r>
      <w:r>
        <w:rPr>
          <w:rFonts w:ascii="JMF7coLC+FangSong" w:hAnsi="JMF7coLC+FangSong" w:eastAsia="JMF7coLC+FangSong"/>
          <w:color w:val="000000"/>
          <w:sz w:val="32"/>
        </w:rPr>
        <w:t>2025</w:t>
      </w:r>
      <w:r>
        <w:rPr>
          <w:rFonts w:ascii="Vvxjkz98+FangSong" w:hAnsi="Vvxjkz98+FangSong" w:eastAsia="Vvxjkz98+FangSong"/>
          <w:color w:val="000000"/>
          <w:sz w:val="32"/>
        </w:rPr>
        <w:t>年度支出。。</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6.</w:t>
      </w:r>
      <w:r>
        <w:rPr>
          <w:rFonts w:ascii="ScLDow9O+FangSong" w:hAnsi="ScLDow9O+FangSong" w:eastAsia="ScLDow9O+FangSong"/>
          <w:b/>
          <w:color w:val="000000"/>
          <w:sz w:val="32"/>
        </w:rPr>
        <w:t>社会保障和就业支出（类）人力资源和社会保障管理事</w:t>
      </w:r>
      <w:r>
        <w:rPr>
          <w:rFonts w:ascii="ScLDow9O+FangSong" w:hAnsi="ScLDow9O+FangSong" w:eastAsia="ScLDow9O+FangSong"/>
          <w:b/>
          <w:color w:val="000000"/>
          <w:sz w:val="32"/>
        </w:rPr>
        <w:t>务（款）公共就业服务和职业技能鉴定机构（项）</w:t>
      </w:r>
      <w:r>
        <w:rPr>
          <w:rFonts w:ascii="Vvxjkz98+FangSong" w:hAnsi="Vvxjkz98+FangSong" w:eastAsia="Vvxjkz98+FangSong"/>
          <w:color w:val="000000"/>
          <w:sz w:val="32"/>
        </w:rPr>
        <w:t>。年初预算</w:t>
      </w:r>
      <w:r>
        <w:rPr>
          <w:rFonts w:ascii="Vvxjkz98+FangSong" w:hAnsi="Vvxjkz98+FangSong" w:eastAsia="Vvxjkz98+FangSong"/>
          <w:color w:val="000000"/>
          <w:sz w:val="32"/>
        </w:rPr>
        <w:t>为万元，支出决算为</w:t>
      </w:r>
      <w:r>
        <w:rPr>
          <w:rFonts w:ascii="JMF7coLC+FangSong" w:hAnsi="JMF7coLC+FangSong" w:eastAsia="JMF7coLC+FangSong"/>
          <w:color w:val="000000"/>
          <w:sz w:val="32"/>
        </w:rPr>
        <w:t>4.46</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w:t>
      </w:r>
      <w:r>
        <w:rPr>
          <w:rFonts w:ascii="Vvxjkz98+FangSong" w:hAnsi="Vvxjkz98+FangSong" w:eastAsia="Vvxjkz98+FangSong"/>
          <w:color w:val="000000"/>
          <w:sz w:val="32"/>
        </w:rPr>
        <w:t>算数与年初预算数存在差异的主要原因是：。</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7.</w:t>
      </w:r>
      <w:r>
        <w:rPr>
          <w:rFonts w:ascii="ScLDow9O+FangSong" w:hAnsi="ScLDow9O+FangSong" w:eastAsia="ScLDow9O+FangSong"/>
          <w:b/>
          <w:color w:val="000000"/>
          <w:sz w:val="32"/>
        </w:rPr>
        <w:t>社会保障和就业支出（类）人力资源和社会保障管理事</w:t>
      </w:r>
      <w:r>
        <w:rPr>
          <w:rFonts w:ascii="ScLDow9O+FangSong" w:hAnsi="ScLDow9O+FangSong" w:eastAsia="ScLDow9O+FangSong"/>
          <w:b/>
          <w:color w:val="000000"/>
          <w:sz w:val="32"/>
        </w:rPr>
        <w:t>务（款）事业运行（项）</w:t>
      </w:r>
      <w:r>
        <w:rPr>
          <w:rFonts w:ascii="Vvxjkz98+FangSong" w:hAnsi="Vvxjkz98+FangSong" w:eastAsia="Vvxjkz98+FangSong"/>
          <w:color w:val="000000"/>
          <w:sz w:val="32"/>
        </w:rPr>
        <w:t>。年初预算为万元，支出决算为</w:t>
      </w:r>
      <w:r>
        <w:rPr>
          <w:rFonts w:ascii="JMF7coLC+FangSong" w:hAnsi="JMF7coLC+FangSong" w:eastAsia="JMF7coLC+FangSong"/>
          <w:color w:val="000000"/>
          <w:sz w:val="32"/>
        </w:rPr>
        <w:t>0.00</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。决算数与年初预算数不存在差</w:t>
      </w:r>
      <w:r>
        <w:rPr>
          <w:rFonts w:ascii="Vvxjkz98+FangSong" w:hAnsi="Vvxjkz98+FangSong" w:eastAsia="Vvxjkz98+FangSong"/>
          <w:color w:val="000000"/>
          <w:sz w:val="32"/>
        </w:rPr>
        <w:t>异。</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8.</w:t>
      </w:r>
      <w:r>
        <w:rPr>
          <w:rFonts w:ascii="ScLDow9O+FangSong" w:hAnsi="ScLDow9O+FangSong" w:eastAsia="ScLDow9O+FangSong"/>
          <w:b/>
          <w:color w:val="000000"/>
          <w:sz w:val="32"/>
        </w:rPr>
        <w:t>社会保障和就业支出（类）人力资源和社会保障管理事</w:t>
      </w:r>
      <w:r>
        <w:rPr>
          <w:rFonts w:ascii="ScLDow9O+FangSong" w:hAnsi="ScLDow9O+FangSong" w:eastAsia="ScLDow9O+FangSong"/>
          <w:b/>
          <w:color w:val="000000"/>
          <w:sz w:val="32"/>
        </w:rPr>
        <w:t>务（款）其他人力资源和社会保障管理事务支出（项）</w:t>
      </w:r>
      <w:r>
        <w:rPr>
          <w:rFonts w:ascii="Vvxjkz98+FangSong" w:hAnsi="Vvxjkz98+FangSong" w:eastAsia="Vvxjkz98+FangSong"/>
          <w:color w:val="000000"/>
          <w:sz w:val="32"/>
        </w:rPr>
        <w:t>。年初</w:t>
      </w:r>
      <w:r>
        <w:rPr>
          <w:rFonts w:ascii="Vvxjkz98+FangSong" w:hAnsi="Vvxjkz98+FangSong" w:eastAsia="Vvxjkz98+FangSong"/>
          <w:color w:val="000000"/>
          <w:sz w:val="32"/>
        </w:rPr>
        <w:t>预算为</w:t>
      </w:r>
      <w:r>
        <w:rPr>
          <w:rFonts w:ascii="JMF7coLC+FangSong" w:hAnsi="JMF7coLC+FangSong" w:eastAsia="JMF7coLC+FangSong"/>
          <w:color w:val="000000"/>
          <w:sz w:val="32"/>
        </w:rPr>
        <w:t>88.73</w:t>
      </w:r>
      <w:r>
        <w:rPr>
          <w:rFonts w:ascii="Vvxjkz98+FangSong" w:hAnsi="Vvxjkz98+FangSong" w:eastAsia="Vvxjkz98+FangSong"/>
          <w:color w:val="000000"/>
          <w:sz w:val="32"/>
        </w:rPr>
        <w:t>万元，支出决算为</w:t>
      </w:r>
      <w:r>
        <w:rPr>
          <w:rFonts w:ascii="JMF7coLC+FangSong" w:hAnsi="JMF7coLC+FangSong" w:eastAsia="JMF7coLC+FangSong"/>
          <w:color w:val="000000"/>
          <w:sz w:val="32"/>
        </w:rPr>
        <w:t>123.51</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139.19%</w:t>
      </w:r>
      <w:r>
        <w:rPr>
          <w:rFonts w:ascii="Vvxjkz98+FangSong" w:hAnsi="Vvxjkz98+FangSong" w:eastAsia="Vvxjkz98+FangSong"/>
          <w:color w:val="000000"/>
          <w:sz w:val="32"/>
        </w:rPr>
        <w:t>。决算数与年初预算数存在差异的主要原因是：</w:t>
      </w:r>
      <w:r>
        <w:rPr>
          <w:rFonts w:ascii="JMF7coLC+FangSong" w:hAnsi="JMF7coLC+FangSong" w:eastAsia="JMF7coLC+FangSong"/>
          <w:color w:val="000000"/>
          <w:sz w:val="32"/>
        </w:rPr>
        <w:t>2024</w:t>
      </w:r>
      <w:r>
        <w:rPr>
          <w:rFonts w:ascii="Vvxjkz98+FangSong" w:hAnsi="Vvxjkz98+FangSong" w:eastAsia="Vvxjkz98+FangSong"/>
          <w:color w:val="000000"/>
          <w:sz w:val="32"/>
        </w:rPr>
        <w:t>年</w:t>
      </w:r>
      <w:r>
        <w:rPr>
          <w:rFonts w:ascii="Vvxjkz98+FangSong" w:hAnsi="Vvxjkz98+FangSong" w:eastAsia="Vvxjkz98+FangSong"/>
          <w:color w:val="000000"/>
          <w:sz w:val="32"/>
        </w:rPr>
        <w:t>度支出包含</w:t>
      </w:r>
      <w:r>
        <w:rPr>
          <w:rFonts w:ascii="JMF7coLC+FangSong" w:hAnsi="JMF7coLC+FangSong" w:eastAsia="JMF7coLC+FangSong"/>
          <w:color w:val="000000"/>
          <w:sz w:val="32"/>
        </w:rPr>
        <w:t>2023</w:t>
      </w:r>
      <w:r>
        <w:rPr>
          <w:rFonts w:ascii="Vvxjkz98+FangSong" w:hAnsi="Vvxjkz98+FangSong" w:eastAsia="Vvxjkz98+FangSong"/>
          <w:color w:val="000000"/>
          <w:sz w:val="32"/>
        </w:rPr>
        <w:t>年结余省拨考试考务费及</w:t>
      </w:r>
      <w:r>
        <w:rPr>
          <w:rFonts w:ascii="JMF7coLC+FangSong" w:hAnsi="JMF7coLC+FangSong" w:eastAsia="JMF7coLC+FangSong"/>
          <w:color w:val="000000"/>
          <w:sz w:val="32"/>
        </w:rPr>
        <w:t>2024</w:t>
      </w:r>
      <w:r>
        <w:rPr>
          <w:rFonts w:ascii="Vvxjkz98+FangSong" w:hAnsi="Vvxjkz98+FangSong" w:eastAsia="Vvxjkz98+FangSong"/>
          <w:color w:val="000000"/>
          <w:sz w:val="32"/>
        </w:rPr>
        <w:t>年拨付的省级</w:t>
      </w:r>
      <w:r>
        <w:rPr>
          <w:rFonts w:ascii="Vvxjkz98+FangSong" w:hAnsi="Vvxjkz98+FangSong" w:eastAsia="Vvxjkz98+FangSong"/>
          <w:color w:val="000000"/>
          <w:sz w:val="32"/>
        </w:rPr>
        <w:t>考试考务费。。</w:t>
      </w:r>
    </w:p>
    <w:p>
      <w:pPr>
        <w:autoSpaceDN w:val="0"/>
        <w:tabs>
          <w:tab w:pos="786" w:val="left"/>
        </w:tabs>
        <w:autoSpaceDE w:val="0"/>
        <w:widowControl/>
        <w:spacing w:line="590" w:lineRule="exact" w:before="0" w:after="0"/>
        <w:ind w:left="146" w:right="0" w:firstLine="0"/>
        <w:jc w:val="left"/>
      </w:pPr>
      <w:r>
        <w:tab/>
      </w:r>
      <w:r>
        <w:rPr>
          <w:rFonts w:ascii="JMF7coLC+FangSong" w:hAnsi="JMF7coLC+FangSong" w:eastAsia="JMF7coLC+FangSong"/>
          <w:color w:val="000000"/>
          <w:sz w:val="32"/>
        </w:rPr>
        <w:t>9.</w:t>
      </w:r>
      <w:r>
        <w:rPr>
          <w:rFonts w:ascii="ScLDow9O+FangSong" w:hAnsi="ScLDow9O+FangSong" w:eastAsia="ScLDow9O+FangSong"/>
          <w:b/>
          <w:color w:val="000000"/>
          <w:sz w:val="32"/>
        </w:rPr>
        <w:t>社会保障和就业支出（类）行政事业单位养老支出（款）</w:t>
      </w:r>
      <w:r>
        <w:rPr>
          <w:rFonts w:ascii="ScLDow9O+FangSong" w:hAnsi="ScLDow9O+FangSong" w:eastAsia="ScLDow9O+FangSong"/>
          <w:b/>
          <w:color w:val="000000"/>
          <w:sz w:val="32"/>
        </w:rPr>
        <w:t>机关事业单位基本养老保险缴费支出（项）</w:t>
      </w:r>
      <w:r>
        <w:rPr>
          <w:rFonts w:ascii="Vvxjkz98+FangSong" w:hAnsi="Vvxjkz98+FangSong" w:eastAsia="Vvxjkz98+FangSong"/>
          <w:color w:val="000000"/>
          <w:sz w:val="32"/>
        </w:rPr>
        <w:t>。年初预算为</w:t>
      </w:r>
      <w:r>
        <w:rPr>
          <w:rFonts w:ascii="JMF7coLC+FangSong" w:hAnsi="JMF7coLC+FangSong" w:eastAsia="JMF7coLC+FangSong"/>
          <w:color w:val="000000"/>
          <w:sz w:val="32"/>
        </w:rPr>
        <w:t>13.06</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- 21 -</w:t>
      </w:r>
    </w:p>
    <w:p>
      <w:pPr>
        <w:sectPr>
          <w:pgSz w:w="11906" w:h="17238"/>
          <w:pgMar w:top="818" w:right="1352" w:bottom="496" w:left="1440" w:header="720" w:footer="720" w:gutter="0"/>
          <w:cols w:num="1" w:equalWidth="0" w:space="720">
            <w:col w:w="9114" w:space="0"/>
          </w:cols>
          <w:docGrid w:linePitch="360"/>
        </w:sectPr>
      </w:pPr>
    </w:p>
    <w:p>
      <w:pPr>
        <w:autoSpaceDN w:val="0"/>
        <w:autoSpaceDE w:val="0"/>
        <w:widowControl/>
        <w:spacing w:line="220" w:lineRule="exact" w:before="598" w:after="0"/>
        <w:ind w:left="0" w:right="0"/>
      </w:pPr>
    </w:p>
    <w:p>
      <w:pPr>
        <w:autoSpaceDN w:val="0"/>
        <w:autoSpaceDE w:val="0"/>
        <w:widowControl/>
        <w:spacing w:line="500" w:lineRule="exact" w:before="0" w:after="0"/>
        <w:ind w:left="146" w:right="178" w:firstLine="0"/>
        <w:jc w:val="both"/>
      </w:pPr>
      <w:r>
        <w:rPr>
          <w:rFonts w:ascii="Vvxjkz98+FangSong" w:hAnsi="Vvxjkz98+FangSong" w:eastAsia="Vvxjkz98+FangSong"/>
          <w:color w:val="000000"/>
          <w:sz w:val="32"/>
        </w:rPr>
        <w:t>万元，支出决算为</w:t>
      </w:r>
      <w:r>
        <w:rPr>
          <w:rFonts w:ascii="JMF7coLC+FangSong" w:hAnsi="JMF7coLC+FangSong" w:eastAsia="JMF7coLC+FangSong"/>
          <w:color w:val="000000"/>
          <w:sz w:val="32"/>
        </w:rPr>
        <w:t>3.27</w:t>
      </w:r>
      <w:r>
        <w:rPr>
          <w:rFonts w:ascii="Vvxjkz98+FangSong" w:hAnsi="Vvxjkz98+FangSong" w:eastAsia="Vvxjkz98+FangSong"/>
          <w:color w:val="000000"/>
          <w:sz w:val="32"/>
        </w:rPr>
        <w:t>万元，完成年初预算的</w:t>
      </w:r>
      <w:r>
        <w:rPr>
          <w:rFonts w:ascii="JMF7coLC+FangSong" w:hAnsi="JMF7coLC+FangSong" w:eastAsia="JMF7coLC+FangSong"/>
          <w:color w:val="000000"/>
          <w:sz w:val="32"/>
        </w:rPr>
        <w:t>25.05%</w:t>
      </w:r>
      <w:r>
        <w:rPr>
          <w:rFonts w:ascii="Vvxjkz98+FangSong" w:hAnsi="Vvxjkz98+FangSong" w:eastAsia="Vvxjkz98+FangSong"/>
          <w:color w:val="000000"/>
          <w:sz w:val="32"/>
        </w:rPr>
        <w:t>。决算数</w:t>
      </w:r>
      <w:r>
        <w:rPr>
          <w:rFonts w:ascii="Vvxjkz98+FangSong" w:hAnsi="Vvxjkz98+FangSong" w:eastAsia="Vvxjkz98+FangSong"/>
          <w:color w:val="000000"/>
          <w:sz w:val="32"/>
        </w:rPr>
        <w:t>与年初预算数存在差异的主要原因是：根据工作需要调整相关</w:t>
      </w:r>
      <w:r>
        <w:rPr>
          <w:rFonts w:ascii="Vvxjkz98+FangSong" w:hAnsi="Vvxjkz98+FangSong" w:eastAsia="Vvxjkz98+FangSong"/>
          <w:color w:val="000000"/>
          <w:sz w:val="32"/>
        </w:rPr>
        <w:t>科目。</w:t>
      </w:r>
    </w:p>
    <w:p>
      <w:pPr>
        <w:autoSpaceDN w:val="0"/>
        <w:autoSpaceDE w:val="0"/>
        <w:widowControl/>
        <w:spacing w:line="590" w:lineRule="exact" w:before="0" w:after="0"/>
        <w:ind w:left="146" w:right="180" w:firstLine="640"/>
        <w:jc w:val="both"/>
      </w:pPr>
      <w:r>
        <w:rPr>
          <w:rFonts w:ascii="JMF7coLC+FangSong" w:hAnsi="JMF7coLC+FangSong" w:eastAsia="JMF7coLC+FangSong"/>
          <w:color w:val="000000"/>
          <w:sz w:val="32"/>
        </w:rPr>
        <w:t>10.</w:t>
      </w:r>
      <w:r>
        <w:rPr>
          <w:rFonts w:ascii="ScLDow9O+FangSong" w:hAnsi="ScLDow9O+FangSong" w:eastAsia="ScLDow9O+FangSong"/>
          <w:b/>
          <w:color w:val="000000"/>
          <w:sz w:val="32"/>
        </w:rPr>
        <w:t>社会保障和就业支出（类）就业补助（款）公益性岗位</w:t>
      </w:r>
      <w:r>
        <w:rPr>
          <w:rFonts w:ascii="ScLDow9O+FangSong" w:hAnsi="ScLDow9O+FangSong" w:eastAsia="ScLDow9O+FangSong"/>
          <w:b/>
          <w:color w:val="000000"/>
          <w:sz w:val="32"/>
        </w:rPr>
        <w:t>补贴（项）</w:t>
      </w:r>
      <w:r>
        <w:rPr>
          <w:rFonts w:ascii="Vvxjkz98+FangSong" w:hAnsi="Vvxjkz98+FangSong" w:eastAsia="Vvxjkz98+FangSong"/>
          <w:color w:val="000000"/>
          <w:sz w:val="32"/>
        </w:rPr>
        <w:t>。年初预算为万元，支出决算为</w:t>
      </w:r>
      <w:r>
        <w:rPr>
          <w:rFonts w:ascii="JMF7coLC+FangSong" w:hAnsi="JMF7coLC+FangSong" w:eastAsia="JMF7coLC+FangSong"/>
          <w:color w:val="000000"/>
          <w:sz w:val="32"/>
        </w:rPr>
        <w:t>9.87</w:t>
      </w:r>
      <w:r>
        <w:rPr>
          <w:rFonts w:ascii="Vvxjkz98+FangSong" w:hAnsi="Vvxjkz98+FangSong" w:eastAsia="Vvxjkz98+FangSong"/>
          <w:color w:val="000000"/>
          <w:sz w:val="32"/>
        </w:rPr>
        <w:t>万元，完成年</w:t>
      </w:r>
      <w:r>
        <w:rPr>
          <w:rFonts w:ascii="Vvxjkz98+FangSong" w:hAnsi="Vvxjkz98+FangSong" w:eastAsia="Vvxjkz98+FangSong"/>
          <w:color w:val="000000"/>
          <w:sz w:val="32"/>
        </w:rPr>
        <w:t>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。决算数与年初预算数存在差异的主要原因</w:t>
      </w:r>
      <w:r>
        <w:rPr>
          <w:rFonts w:ascii="Vvxjkz98+FangSong" w:hAnsi="Vvxjkz98+FangSong" w:eastAsia="Vvxjkz98+FangSong"/>
          <w:color w:val="000000"/>
          <w:sz w:val="32"/>
        </w:rPr>
        <w:t>是：。</w:t>
      </w:r>
    </w:p>
    <w:p>
      <w:pPr>
        <w:autoSpaceDN w:val="0"/>
        <w:autoSpaceDE w:val="0"/>
        <w:widowControl/>
        <w:spacing w:line="590" w:lineRule="exact" w:before="0" w:after="0"/>
        <w:ind w:left="146" w:right="180" w:firstLine="640"/>
        <w:jc w:val="both"/>
      </w:pPr>
      <w:r>
        <w:rPr>
          <w:rFonts w:ascii="JMF7coLC+FangSong" w:hAnsi="JMF7coLC+FangSong" w:eastAsia="JMF7coLC+FangSong"/>
          <w:color w:val="000000"/>
          <w:sz w:val="32"/>
        </w:rPr>
        <w:t>11.</w:t>
      </w:r>
      <w:r>
        <w:rPr>
          <w:rFonts w:ascii="ScLDow9O+FangSong" w:hAnsi="ScLDow9O+FangSong" w:eastAsia="ScLDow9O+FangSong"/>
          <w:b/>
          <w:color w:val="000000"/>
          <w:sz w:val="32"/>
        </w:rPr>
        <w:t>社会保障和就业支出（类）就业补助（款）其他就业补</w:t>
      </w:r>
      <w:r>
        <w:rPr>
          <w:rFonts w:ascii="ScLDow9O+FangSong" w:hAnsi="ScLDow9O+FangSong" w:eastAsia="ScLDow9O+FangSong"/>
          <w:b/>
          <w:color w:val="000000"/>
          <w:sz w:val="32"/>
        </w:rPr>
        <w:t>助支出（项）</w:t>
      </w:r>
      <w:r>
        <w:rPr>
          <w:rFonts w:ascii="Vvxjkz98+FangSong" w:hAnsi="Vvxjkz98+FangSong" w:eastAsia="Vvxjkz98+FangSong"/>
          <w:color w:val="000000"/>
          <w:sz w:val="32"/>
        </w:rPr>
        <w:t>。年初预算为万元，支出决算为</w:t>
      </w:r>
      <w:r>
        <w:rPr>
          <w:rFonts w:ascii="JMF7coLC+FangSong" w:hAnsi="JMF7coLC+FangSong" w:eastAsia="JMF7coLC+FangSong"/>
          <w:color w:val="000000"/>
          <w:sz w:val="32"/>
        </w:rPr>
        <w:t>0.00</w:t>
      </w:r>
      <w:r>
        <w:rPr>
          <w:rFonts w:ascii="Vvxjkz98+FangSong" w:hAnsi="Vvxjkz98+FangSong" w:eastAsia="Vvxjkz98+FangSong"/>
          <w:color w:val="000000"/>
          <w:sz w:val="32"/>
        </w:rPr>
        <w:t>万元，完成</w:t>
      </w:r>
      <w:r>
        <w:rPr>
          <w:rFonts w:ascii="Vvxjkz98+FangSong" w:hAnsi="Vvxjkz98+FangSong" w:eastAsia="Vvxjkz98+FangSong"/>
          <w:color w:val="000000"/>
          <w:sz w:val="32"/>
        </w:rPr>
        <w:t>年初预算的</w:t>
      </w:r>
      <w:r>
        <w:rPr>
          <w:rFonts w:ascii="JMF7coLC+FangSong" w:hAnsi="JMF7coLC+FangSong" w:eastAsia="JMF7coLC+FangSong"/>
          <w:color w:val="000000"/>
          <w:sz w:val="32"/>
        </w:rPr>
        <w:t>100.00%</w:t>
      </w:r>
      <w:r>
        <w:rPr>
          <w:rFonts w:ascii="Vvxjkz98+FangSong" w:hAnsi="Vvxjkz98+FangSong" w:eastAsia="Vvxjkz98+FangSong"/>
          <w:color w:val="000000"/>
          <w:sz w:val="32"/>
        </w:rPr>
        <w:t>。决算数与年初预算数不存在差异。</w:t>
      </w:r>
    </w:p>
    <w:p>
      <w:pPr>
        <w:autoSpaceDN w:val="0"/>
        <w:autoSpaceDE w:val="0"/>
        <w:widowControl/>
        <w:spacing w:line="590" w:lineRule="exact" w:before="0" w:after="0"/>
        <w:ind w:left="146" w:right="180" w:firstLine="640"/>
        <w:jc w:val="both"/>
      </w:pPr>
      <w:r>
        <w:rPr>
          <w:rFonts w:ascii="JMF7coLC+FangSong" w:hAnsi="JMF7coLC+FangSong" w:eastAsia="JMF7coLC+FangSong"/>
          <w:color w:val="000000"/>
          <w:sz w:val="32"/>
        </w:rPr>
        <w:t>12.</w:t>
      </w:r>
      <w:r>
        <w:rPr>
          <w:rFonts w:ascii="ScLDow9O+FangSong" w:hAnsi="ScLDow9O+FangSong" w:eastAsia="ScLDow9O+FangSong"/>
          <w:b/>
          <w:color w:val="000000"/>
          <w:sz w:val="32"/>
        </w:rPr>
        <w:t>卫生健康支出（类）行政事业单位医疗（款）行政单位</w:t>
      </w:r>
      <w:r>
        <w:rPr>
          <w:rFonts w:ascii="ScLDow9O+FangSong" w:hAnsi="ScLDow9O+FangSong" w:eastAsia="ScLDow9O+FangSong"/>
          <w:b/>
          <w:color w:val="000000"/>
          <w:sz w:val="32"/>
        </w:rPr>
        <w:t>医疗（项）</w:t>
      </w:r>
      <w:r>
        <w:rPr>
          <w:rFonts w:ascii="Vvxjkz98+FangSong" w:hAnsi="Vvxjkz98+FangSong" w:eastAsia="Vvxjkz98+FangSong"/>
          <w:color w:val="000000"/>
          <w:sz w:val="32"/>
        </w:rPr>
        <w:t>。年初预算为</w:t>
      </w:r>
      <w:r>
        <w:rPr>
          <w:rFonts w:ascii="JMF7coLC+FangSong" w:hAnsi="JMF7coLC+FangSong" w:eastAsia="JMF7coLC+FangSong"/>
          <w:color w:val="000000"/>
          <w:sz w:val="32"/>
        </w:rPr>
        <w:t>4.83</w:t>
      </w:r>
      <w:r>
        <w:rPr>
          <w:rFonts w:ascii="Vvxjkz98+FangSong" w:hAnsi="Vvxjkz98+FangSong" w:eastAsia="Vvxjkz98+FangSong"/>
          <w:color w:val="000000"/>
          <w:sz w:val="32"/>
        </w:rPr>
        <w:t>万元，支出决算为</w:t>
      </w:r>
      <w:r>
        <w:rPr>
          <w:rFonts w:ascii="JMF7coLC+FangSong" w:hAnsi="JMF7coLC+FangSong" w:eastAsia="JMF7coLC+FangSong"/>
          <w:color w:val="000000"/>
          <w:sz w:val="32"/>
        </w:rPr>
        <w:t>6.05</w:t>
      </w:r>
      <w:r>
        <w:rPr>
          <w:rFonts w:ascii="Vvxjkz98+FangSong" w:hAnsi="Vvxjkz98+FangSong" w:eastAsia="Vvxjkz98+FangSong"/>
          <w:color w:val="000000"/>
          <w:sz w:val="32"/>
        </w:rPr>
        <w:t>万元，</w:t>
      </w:r>
      <w:r>
        <w:rPr>
          <w:rFonts w:ascii="Vvxjkz98+FangSong" w:hAnsi="Vvxjkz98+FangSong" w:eastAsia="Vvxjkz98+FangSong"/>
          <w:color w:val="000000"/>
          <w:sz w:val="32"/>
        </w:rPr>
        <w:t>完成年初预算的</w:t>
      </w:r>
      <w:r>
        <w:rPr>
          <w:rFonts w:ascii="JMF7coLC+FangSong" w:hAnsi="JMF7coLC+FangSong" w:eastAsia="JMF7coLC+FangSong"/>
          <w:color w:val="000000"/>
          <w:sz w:val="32"/>
        </w:rPr>
        <w:t>125.22%</w:t>
      </w:r>
      <w:r>
        <w:rPr>
          <w:rFonts w:ascii="Vvxjkz98+FangSong" w:hAnsi="Vvxjkz98+FangSong" w:eastAsia="Vvxjkz98+FangSong"/>
          <w:color w:val="000000"/>
          <w:sz w:val="32"/>
        </w:rPr>
        <w:t>。决算数与年初预算数存在差异的主要</w:t>
      </w:r>
      <w:r>
        <w:rPr>
          <w:rFonts w:ascii="Vvxjkz98+FangSong" w:hAnsi="Vvxjkz98+FangSong" w:eastAsia="Vvxjkz98+FangSong"/>
          <w:color w:val="000000"/>
          <w:sz w:val="32"/>
        </w:rPr>
        <w:t>原因是：</w:t>
      </w:r>
      <w:r>
        <w:rPr>
          <w:rFonts w:ascii="JMF7coLC+FangSong" w:hAnsi="JMF7coLC+FangSong" w:eastAsia="JMF7coLC+FangSong"/>
          <w:color w:val="000000"/>
          <w:sz w:val="32"/>
        </w:rPr>
        <w:t>2024</w:t>
      </w:r>
      <w:r>
        <w:rPr>
          <w:rFonts w:ascii="Vvxjkz98+FangSong" w:hAnsi="Vvxjkz98+FangSong" w:eastAsia="Vvxjkz98+FangSong"/>
          <w:color w:val="000000"/>
          <w:sz w:val="32"/>
        </w:rPr>
        <w:t>年调入</w:t>
      </w:r>
      <w:r>
        <w:rPr>
          <w:rFonts w:ascii="JMF7coLC+FangSong" w:hAnsi="JMF7coLC+FangSong" w:eastAsia="JMF7coLC+FangSong"/>
          <w:color w:val="000000"/>
          <w:sz w:val="32"/>
        </w:rPr>
        <w:t>4</w:t>
      </w:r>
      <w:r>
        <w:rPr>
          <w:rFonts w:ascii="Vvxjkz98+FangSong" w:hAnsi="Vvxjkz98+FangSong" w:eastAsia="Vvxjkz98+FangSong"/>
          <w:color w:val="000000"/>
          <w:sz w:val="32"/>
        </w:rPr>
        <w:t>名在编人员，与年中申请医疗保险。。</w:t>
      </w:r>
    </w:p>
    <w:p>
      <w:pPr>
        <w:autoSpaceDN w:val="0"/>
        <w:autoSpaceDE w:val="0"/>
        <w:widowControl/>
        <w:spacing w:line="590" w:lineRule="exact" w:before="0" w:after="0"/>
        <w:ind w:left="146" w:right="0" w:firstLine="640"/>
        <w:jc w:val="left"/>
      </w:pPr>
      <w:r>
        <w:rPr>
          <w:rFonts w:ascii="JMF7coLC+FangSong" w:hAnsi="JMF7coLC+FangSong" w:eastAsia="JMF7coLC+FangSong"/>
          <w:color w:val="000000"/>
          <w:sz w:val="32"/>
        </w:rPr>
        <w:t>13.</w:t>
      </w:r>
      <w:r>
        <w:rPr>
          <w:rFonts w:ascii="ScLDow9O+FangSong" w:hAnsi="ScLDow9O+FangSong" w:eastAsia="ScLDow9O+FangSong"/>
          <w:b/>
          <w:color w:val="000000"/>
          <w:sz w:val="32"/>
        </w:rPr>
        <w:t>卫生健康支出（类）行政事业单位医疗（款）公务员医</w:t>
      </w:r>
      <w:r>
        <w:rPr>
          <w:rFonts w:ascii="ScLDow9O+FangSong" w:hAnsi="ScLDow9O+FangSong" w:eastAsia="ScLDow9O+FangSong"/>
          <w:b/>
          <w:color w:val="000000"/>
          <w:sz w:val="32"/>
        </w:rPr>
        <w:t>疗补助（项）</w:t>
      </w:r>
      <w:r>
        <w:rPr>
          <w:rFonts w:ascii="Vvxjkz98+FangSong" w:hAnsi="Vvxjkz98+FangSong" w:eastAsia="Vvxjkz98+FangSong"/>
          <w:color w:val="000000"/>
          <w:sz w:val="32"/>
        </w:rPr>
        <w:t>。年初预算为</w:t>
      </w:r>
      <w:r>
        <w:rPr>
          <w:rFonts w:ascii="JMF7coLC+FangSong" w:hAnsi="JMF7coLC+FangSong" w:eastAsia="JMF7coLC+FangSong"/>
          <w:color w:val="000000"/>
          <w:sz w:val="32"/>
        </w:rPr>
        <w:t>5.37</w:t>
      </w:r>
      <w:r>
        <w:rPr>
          <w:rFonts w:ascii="Vvxjkz98+FangSong" w:hAnsi="Vvxjkz98+FangSong" w:eastAsia="Vvxjkz98+FangSong"/>
          <w:color w:val="000000"/>
          <w:sz w:val="32"/>
        </w:rPr>
        <w:t>万元，支出决算为</w:t>
      </w:r>
      <w:r>
        <w:rPr>
          <w:rFonts w:ascii="JMF7coLC+FangSong" w:hAnsi="JMF7coLC+FangSong" w:eastAsia="JMF7coLC+FangSong"/>
          <w:color w:val="000000"/>
          <w:sz w:val="32"/>
        </w:rPr>
        <w:t>6.53</w:t>
      </w:r>
      <w:r>
        <w:rPr>
          <w:rFonts w:ascii="Vvxjkz98+FangSong" w:hAnsi="Vvxjkz98+FangSong" w:eastAsia="Vvxjkz98+FangSong"/>
          <w:color w:val="000000"/>
          <w:sz w:val="32"/>
        </w:rPr>
        <w:t>万元，</w:t>
      </w:r>
      <w:r>
        <w:rPr>
          <w:rFonts w:ascii="Vvxjkz98+FangSong" w:hAnsi="Vvxjkz98+FangSong" w:eastAsia="Vvxjkz98+FangSong"/>
          <w:color w:val="000000"/>
          <w:sz w:val="32"/>
        </w:rPr>
        <w:t>完成年初预算的</w:t>
      </w:r>
      <w:r>
        <w:rPr>
          <w:rFonts w:ascii="JMF7coLC+FangSong" w:hAnsi="JMF7coLC+FangSong" w:eastAsia="JMF7coLC+FangSong"/>
          <w:color w:val="000000"/>
          <w:sz w:val="32"/>
        </w:rPr>
        <w:t>121.62%</w:t>
      </w:r>
      <w:r>
        <w:rPr>
          <w:rFonts w:ascii="Vvxjkz98+FangSong" w:hAnsi="Vvxjkz98+FangSong" w:eastAsia="Vvxjkz98+FangSong"/>
          <w:color w:val="000000"/>
          <w:sz w:val="32"/>
        </w:rPr>
        <w:t>。决算数与年初预算数存在差异的主要</w:t>
      </w:r>
      <w:r>
        <w:rPr>
          <w:rFonts w:ascii="Vvxjkz98+FangSong" w:hAnsi="Vvxjkz98+FangSong" w:eastAsia="Vvxjkz98+FangSong"/>
          <w:color w:val="000000"/>
          <w:sz w:val="32"/>
        </w:rPr>
        <w:t>原因是：</w:t>
      </w:r>
      <w:r>
        <w:rPr>
          <w:rFonts w:ascii="JMF7coLC+FangSong" w:hAnsi="JMF7coLC+FangSong" w:eastAsia="JMF7coLC+FangSong"/>
          <w:color w:val="000000"/>
          <w:sz w:val="32"/>
        </w:rPr>
        <w:t>2024</w:t>
      </w:r>
      <w:r>
        <w:rPr>
          <w:rFonts w:ascii="Vvxjkz98+FangSong" w:hAnsi="Vvxjkz98+FangSong" w:eastAsia="Vvxjkz98+FangSong"/>
          <w:color w:val="000000"/>
          <w:sz w:val="32"/>
        </w:rPr>
        <w:t>年调入</w:t>
      </w:r>
      <w:r>
        <w:rPr>
          <w:rFonts w:ascii="JMF7coLC+FangSong" w:hAnsi="JMF7coLC+FangSong" w:eastAsia="JMF7coLC+FangSong"/>
          <w:color w:val="000000"/>
          <w:sz w:val="32"/>
        </w:rPr>
        <w:t>4</w:t>
      </w:r>
      <w:r>
        <w:rPr>
          <w:rFonts w:ascii="Vvxjkz98+FangSong" w:hAnsi="Vvxjkz98+FangSong" w:eastAsia="Vvxjkz98+FangSong"/>
          <w:color w:val="000000"/>
          <w:sz w:val="32"/>
        </w:rPr>
        <w:t>名在编人员，与年中申请公务员医疗补</w:t>
      </w:r>
      <w:r>
        <w:rPr>
          <w:rFonts w:ascii="Vvxjkz98+FangSong" w:hAnsi="Vvxjkz98+FangSong" w:eastAsia="Vvxjkz98+FangSong"/>
          <w:color w:val="000000"/>
          <w:sz w:val="32"/>
        </w:rPr>
        <w:t>助。。</w:t>
      </w:r>
    </w:p>
    <w:p>
      <w:pPr>
        <w:autoSpaceDN w:val="0"/>
        <w:autoSpaceDE w:val="0"/>
        <w:widowControl/>
        <w:spacing w:line="590" w:lineRule="exact" w:before="0" w:after="0"/>
        <w:ind w:left="146" w:right="144" w:firstLine="640"/>
        <w:jc w:val="left"/>
      </w:pPr>
      <w:r>
        <w:rPr>
          <w:rFonts w:ascii="JMF7coLC+FangSong" w:hAnsi="JMF7coLC+FangSong" w:eastAsia="JMF7coLC+FangSong"/>
          <w:color w:val="000000"/>
          <w:sz w:val="32"/>
        </w:rPr>
        <w:t>14.</w:t>
      </w:r>
      <w:r>
        <w:rPr>
          <w:rFonts w:ascii="ScLDow9O+FangSong" w:hAnsi="ScLDow9O+FangSong" w:eastAsia="ScLDow9O+FangSong"/>
          <w:b/>
          <w:color w:val="000000"/>
          <w:sz w:val="32"/>
        </w:rPr>
        <w:t>住房保障支出（类）住房改革支出（款）住房公积金</w:t>
      </w:r>
      <w:r>
        <w:rPr>
          <w:rFonts w:ascii="ScLDow9O+FangSong" w:hAnsi="ScLDow9O+FangSong" w:eastAsia="ScLDow9O+FangSong"/>
          <w:b/>
          <w:color w:val="000000"/>
          <w:sz w:val="32"/>
        </w:rPr>
        <w:t>（项）</w:t>
      </w:r>
      <w:r>
        <w:rPr>
          <w:rFonts w:ascii="Vvxjkz98+FangSong" w:hAnsi="Vvxjkz98+FangSong" w:eastAsia="Vvxjkz98+FangSong"/>
          <w:color w:val="000000"/>
          <w:sz w:val="32"/>
        </w:rPr>
        <w:t>。年初预算为</w:t>
      </w:r>
      <w:r>
        <w:rPr>
          <w:rFonts w:ascii="JMF7coLC+FangSong" w:hAnsi="JMF7coLC+FangSong" w:eastAsia="JMF7coLC+FangSong"/>
          <w:color w:val="000000"/>
          <w:sz w:val="32"/>
        </w:rPr>
        <w:t>13.95</w:t>
      </w:r>
      <w:r>
        <w:rPr>
          <w:rFonts w:ascii="Vvxjkz98+FangSong" w:hAnsi="Vvxjkz98+FangSong" w:eastAsia="Vvxjkz98+FangSong"/>
          <w:color w:val="000000"/>
          <w:sz w:val="32"/>
        </w:rPr>
        <w:t>万元，支出决算为</w:t>
      </w:r>
      <w:r>
        <w:rPr>
          <w:rFonts w:ascii="JMF7coLC+FangSong" w:hAnsi="JMF7coLC+FangSong" w:eastAsia="JMF7coLC+FangSong"/>
          <w:color w:val="000000"/>
          <w:sz w:val="32"/>
        </w:rPr>
        <w:t>17.82</w:t>
      </w:r>
      <w:r>
        <w:rPr>
          <w:rFonts w:ascii="Vvxjkz98+FangSong" w:hAnsi="Vvxjkz98+FangSong" w:eastAsia="Vvxjkz98+FangSong"/>
          <w:color w:val="000000"/>
          <w:sz w:val="32"/>
        </w:rPr>
        <w:t>万元，完</w:t>
      </w:r>
      <w:r>
        <w:rPr>
          <w:rFonts w:ascii="Vvxjkz98+FangSong" w:hAnsi="Vvxjkz98+FangSong" w:eastAsia="Vvxjkz98+FangSong"/>
          <w:color w:val="000000"/>
          <w:sz w:val="32"/>
        </w:rPr>
        <w:t>成年初预算的</w:t>
      </w:r>
      <w:r>
        <w:rPr>
          <w:rFonts w:ascii="JMF7coLC+FangSong" w:hAnsi="JMF7coLC+FangSong" w:eastAsia="JMF7coLC+FangSong"/>
          <w:color w:val="000000"/>
          <w:sz w:val="32"/>
        </w:rPr>
        <w:t>127.78%</w:t>
      </w:r>
      <w:r>
        <w:rPr>
          <w:rFonts w:ascii="Vvxjkz98+FangSong" w:hAnsi="Vvxjkz98+FangSong" w:eastAsia="Vvxjkz98+FangSong"/>
          <w:color w:val="000000"/>
          <w:sz w:val="32"/>
        </w:rPr>
        <w:t>。决算数与年初预算数存在差异的主要原</w:t>
      </w:r>
      <w:r>
        <w:rPr>
          <w:rFonts w:ascii="Vvxjkz98+FangSong" w:hAnsi="Vvxjkz98+FangSong" w:eastAsia="Vvxjkz98+FangSong"/>
          <w:color w:val="000000"/>
          <w:sz w:val="32"/>
        </w:rPr>
        <w:t>因是：</w:t>
      </w:r>
      <w:r>
        <w:rPr>
          <w:rFonts w:ascii="JMF7coLC+FangSong" w:hAnsi="JMF7coLC+FangSong" w:eastAsia="JMF7coLC+FangSong"/>
          <w:color w:val="000000"/>
          <w:sz w:val="32"/>
        </w:rPr>
        <w:t>2024</w:t>
      </w:r>
      <w:r>
        <w:rPr>
          <w:rFonts w:ascii="Vvxjkz98+FangSong" w:hAnsi="Vvxjkz98+FangSong" w:eastAsia="Vvxjkz98+FangSong"/>
          <w:color w:val="000000"/>
          <w:sz w:val="32"/>
        </w:rPr>
        <w:t>年调入</w:t>
      </w:r>
      <w:r>
        <w:rPr>
          <w:rFonts w:ascii="JMF7coLC+FangSong" w:hAnsi="JMF7coLC+FangSong" w:eastAsia="JMF7coLC+FangSong"/>
          <w:color w:val="000000"/>
          <w:sz w:val="32"/>
        </w:rPr>
        <w:t>4</w:t>
      </w:r>
      <w:r>
        <w:rPr>
          <w:rFonts w:ascii="Vvxjkz98+FangSong" w:hAnsi="Vvxjkz98+FangSong" w:eastAsia="Vvxjkz98+FangSong"/>
          <w:color w:val="000000"/>
          <w:sz w:val="32"/>
        </w:rPr>
        <w:t>名在编人员，与年中申请住房公积金。。</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- 22 -</w:t>
      </w:r>
    </w:p>
    <w:p>
      <w:pPr>
        <w:sectPr>
          <w:pgSz w:w="11906" w:h="17238"/>
          <w:pgMar w:top="818" w:right="1352" w:bottom="496" w:left="1440" w:header="720" w:footer="720" w:gutter="0"/>
          <w:cols w:num="1" w:equalWidth="0" w:space="720">
            <w:col w:w="9114"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56" w:lineRule="exact" w:before="0" w:after="0"/>
        <w:ind w:left="146" w:right="0" w:firstLine="0"/>
        <w:jc w:val="left"/>
      </w:pPr>
      <w:r>
        <w:tab/>
      </w:r>
      <w:r>
        <w:rPr>
          <w:rFonts w:ascii="36YvJHM7+SimHei" w:hAnsi="36YvJHM7+SimHei" w:eastAsia="36YvJHM7+SimHei"/>
          <w:color w:val="000000"/>
          <w:sz w:val="32"/>
        </w:rPr>
        <w:t>六、一般公共预算财政拨款基本支出决算情况说明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年度一般公共预算财政拨款基本支出</w:t>
      </w:r>
      <w:r>
        <w:rPr>
          <w:rFonts w:ascii="CHSf0Q3c+FangSong_GB2312" w:hAnsi="CHSf0Q3c+FangSong_GB2312" w:eastAsia="CHSf0Q3c+FangSong_GB2312"/>
          <w:color w:val="000000"/>
          <w:sz w:val="32"/>
        </w:rPr>
        <w:t>218.14</w:t>
      </w:r>
      <w:r>
        <w:rPr>
          <w:rFonts w:ascii="bs5IVuhn+FangSong_GB2312" w:hAnsi="bs5IVuhn+FangSong_GB2312" w:eastAsia="bs5IVuhn+FangSong_GB2312"/>
          <w:color w:val="000000"/>
          <w:sz w:val="32"/>
        </w:rPr>
        <w:t>万元。其</w:t>
      </w:r>
      <w:r>
        <w:rPr>
          <w:rFonts w:ascii="bs5IVuhn+FangSong_GB2312" w:hAnsi="bs5IVuhn+FangSong_GB2312" w:eastAsia="bs5IVuhn+FangSong_GB2312"/>
          <w:color w:val="000000"/>
          <w:sz w:val="32"/>
        </w:rPr>
        <w:t>中：人员经费</w:t>
      </w:r>
      <w:r>
        <w:rPr>
          <w:rFonts w:ascii="CHSf0Q3c+FangSong_GB2312" w:hAnsi="CHSf0Q3c+FangSong_GB2312" w:eastAsia="CHSf0Q3c+FangSong_GB2312"/>
          <w:color w:val="000000"/>
          <w:sz w:val="32"/>
        </w:rPr>
        <w:t>192.51</w:t>
      </w:r>
      <w:r>
        <w:rPr>
          <w:rFonts w:ascii="bs5IVuhn+FangSong_GB2312" w:hAnsi="bs5IVuhn+FangSong_GB2312" w:eastAsia="bs5IVuhn+FangSong_GB2312"/>
          <w:color w:val="000000"/>
          <w:sz w:val="32"/>
        </w:rPr>
        <w:t>万元，主要包括：基本工资、奖金、津贴</w:t>
      </w:r>
      <w:r>
        <w:rPr>
          <w:rFonts w:ascii="bs5IVuhn+FangSong_GB2312" w:hAnsi="bs5IVuhn+FangSong_GB2312" w:eastAsia="bs5IVuhn+FangSong_GB2312"/>
          <w:color w:val="000000"/>
          <w:sz w:val="32"/>
        </w:rPr>
        <w:t>补贴、机关事业单位基本养老保险缴费、职工基本医疗保险缴</w:t>
      </w:r>
      <w:r>
        <w:rPr>
          <w:rFonts w:ascii="bs5IVuhn+FangSong_GB2312" w:hAnsi="bs5IVuhn+FangSong_GB2312" w:eastAsia="bs5IVuhn+FangSong_GB2312"/>
          <w:color w:val="000000"/>
          <w:sz w:val="32"/>
        </w:rPr>
        <w:t>费、公务员医疗补助缴费、其他社会保障缴费、住房公积金、</w:t>
      </w:r>
      <w:r>
        <w:rPr>
          <w:rFonts w:ascii="bs5IVuhn+FangSong_GB2312" w:hAnsi="bs5IVuhn+FangSong_GB2312" w:eastAsia="bs5IVuhn+FangSong_GB2312"/>
          <w:color w:val="000000"/>
          <w:sz w:val="32"/>
        </w:rPr>
        <w:t>生活补助；公用经费</w:t>
      </w:r>
      <w:r>
        <w:rPr>
          <w:rFonts w:ascii="CHSf0Q3c+FangSong_GB2312" w:hAnsi="CHSf0Q3c+FangSong_GB2312" w:eastAsia="CHSf0Q3c+FangSong_GB2312"/>
          <w:color w:val="000000"/>
          <w:sz w:val="32"/>
        </w:rPr>
        <w:t>25.63</w:t>
      </w:r>
      <w:r>
        <w:rPr>
          <w:rFonts w:ascii="bs5IVuhn+FangSong_GB2312" w:hAnsi="bs5IVuhn+FangSong_GB2312" w:eastAsia="bs5IVuhn+FangSong_GB2312"/>
          <w:color w:val="000000"/>
          <w:sz w:val="32"/>
        </w:rPr>
        <w:t>万元，主要包括：办公费、邮电费、</w:t>
      </w:r>
      <w:r>
        <w:rPr>
          <w:rFonts w:ascii="bs5IVuhn+FangSong_GB2312" w:hAnsi="bs5IVuhn+FangSong_GB2312" w:eastAsia="bs5IVuhn+FangSong_GB2312"/>
          <w:color w:val="000000"/>
          <w:sz w:val="32"/>
        </w:rPr>
        <w:t>差旅费、公务接待费、工会经费、福利费、其他交通费用、办</w:t>
      </w:r>
      <w:r>
        <w:rPr>
          <w:rFonts w:ascii="bs5IVuhn+FangSong_GB2312" w:hAnsi="bs5IVuhn+FangSong_GB2312" w:eastAsia="bs5IVuhn+FangSong_GB2312"/>
          <w:color w:val="000000"/>
          <w:sz w:val="32"/>
        </w:rPr>
        <w:t>公设备购置。</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七、政府性基金预算财政拨款支出决算情况说明</w:t>
      </w:r>
      <w:r>
        <w:br/>
      </w:r>
      <w:r>
        <w:tab/>
      </w:r>
      <w:r>
        <w:rPr>
          <w:rFonts w:ascii="bs5IVuhn+FangSong_GB2312" w:hAnsi="bs5IVuhn+FangSong_GB2312" w:eastAsia="bs5IVuhn+FangSong_GB2312"/>
          <w:color w:val="000000"/>
          <w:sz w:val="32"/>
        </w:rPr>
        <w:t>我部门（单位）</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年没有使用政府性基金预算财政拨款</w:t>
      </w:r>
      <w:r>
        <w:rPr>
          <w:rFonts w:ascii="bs5IVuhn+FangSong_GB2312" w:hAnsi="bs5IVuhn+FangSong_GB2312" w:eastAsia="bs5IVuhn+FangSong_GB2312"/>
          <w:color w:val="000000"/>
          <w:sz w:val="32"/>
        </w:rPr>
        <w:t>安排的支出。</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八、国有资本经营预算财政拨款支出决算情况说明</w:t>
      </w:r>
      <w:r>
        <w:br/>
      </w:r>
      <w:r>
        <w:tab/>
      </w:r>
      <w:r>
        <w:rPr>
          <w:rFonts w:ascii="bs5IVuhn+FangSong_GB2312" w:hAnsi="bs5IVuhn+FangSong_GB2312" w:eastAsia="bs5IVuhn+FangSong_GB2312"/>
          <w:color w:val="000000"/>
          <w:sz w:val="32"/>
        </w:rPr>
        <w:t>我部门（单位）</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年没有使用国有资本经营预算财政拨</w:t>
      </w:r>
      <w:r>
        <w:rPr>
          <w:rFonts w:ascii="bs5IVuhn+FangSong_GB2312" w:hAnsi="bs5IVuhn+FangSong_GB2312" w:eastAsia="bs5IVuhn+FangSong_GB2312"/>
          <w:color w:val="000000"/>
          <w:sz w:val="32"/>
        </w:rPr>
        <w:t>款安排的支出。</w:t>
      </w:r>
    </w:p>
    <w:p>
      <w:pPr>
        <w:autoSpaceDN w:val="0"/>
        <w:tabs>
          <w:tab w:pos="786" w:val="left"/>
        </w:tabs>
        <w:autoSpaceDE w:val="0"/>
        <w:widowControl/>
        <w:spacing w:line="590" w:lineRule="exact" w:before="0" w:after="0"/>
        <w:ind w:left="146" w:right="0" w:firstLine="0"/>
        <w:jc w:val="left"/>
      </w:pPr>
      <w:r>
        <w:tab/>
      </w:r>
      <w:r>
        <w:rPr>
          <w:rFonts w:ascii="36YvJHM7+SimHei" w:hAnsi="36YvJHM7+SimHei" w:eastAsia="36YvJHM7+SimHei"/>
          <w:color w:val="000000"/>
          <w:sz w:val="32"/>
        </w:rPr>
        <w:t>九、一般公共预算财政拨款</w:t>
      </w:r>
      <w:r>
        <w:rPr>
          <w:rFonts w:ascii="X9K8VEFC+SimHei" w:hAnsi="X9K8VEFC+SimHei" w:eastAsia="X9K8VEFC+SimHei"/>
          <w:color w:val="000000"/>
          <w:sz w:val="32"/>
        </w:rPr>
        <w:t>“</w:t>
      </w:r>
      <w:r>
        <w:rPr>
          <w:rFonts w:ascii="36YvJHM7+SimHei" w:hAnsi="36YvJHM7+SimHei" w:eastAsia="36YvJHM7+SimHei"/>
          <w:color w:val="000000"/>
          <w:sz w:val="32"/>
        </w:rPr>
        <w:t>三公</w:t>
      </w:r>
      <w:r>
        <w:rPr>
          <w:rFonts w:ascii="X9K8VEFC+SimHei" w:hAnsi="X9K8VEFC+SimHei" w:eastAsia="X9K8VEFC+SimHei"/>
          <w:color w:val="000000"/>
          <w:sz w:val="32"/>
        </w:rPr>
        <w:t>”</w:t>
      </w:r>
      <w:r>
        <w:rPr>
          <w:rFonts w:ascii="36YvJHM7+SimHei" w:hAnsi="36YvJHM7+SimHei" w:eastAsia="36YvJHM7+SimHei"/>
          <w:color w:val="000000"/>
          <w:sz w:val="32"/>
        </w:rPr>
        <w:t>经费支出决算情况说</w:t>
      </w:r>
      <w:r>
        <w:rPr>
          <w:rFonts w:ascii="36YvJHM7+SimHei" w:hAnsi="36YvJHM7+SimHei" w:eastAsia="36YvJHM7+SimHei"/>
          <w:color w:val="000000"/>
          <w:sz w:val="32"/>
        </w:rPr>
        <w:t>明</w:t>
      </w:r>
      <w:r>
        <w:br/>
      </w:r>
      <w:r>
        <w:tab/>
      </w:r>
      <w:r>
        <w:rPr>
          <w:rFonts w:ascii="AB5v0dox+KaiTi_GB2312" w:hAnsi="AB5v0dox+KaiTi_GB2312" w:eastAsia="AB5v0dox+KaiTi_GB2312"/>
          <w:b/>
          <w:color w:val="000000"/>
          <w:sz w:val="32"/>
        </w:rPr>
        <w:t>（一）一般公共预算财政拨款</w:t>
      </w:r>
      <w:r>
        <w:rPr>
          <w:rFonts w:ascii="riNl6dNf+KaiTi_GB2312" w:hAnsi="riNl6dNf+KaiTi_GB2312" w:eastAsia="riNl6dNf+KaiTi_GB2312"/>
          <w:b/>
          <w:color w:val="000000"/>
          <w:sz w:val="32"/>
        </w:rPr>
        <w:t>“</w:t>
      </w:r>
      <w:r>
        <w:rPr>
          <w:rFonts w:ascii="AB5v0dox+KaiTi_GB2312" w:hAnsi="AB5v0dox+KaiTi_GB2312" w:eastAsia="AB5v0dox+KaiTi_GB2312"/>
          <w:b/>
          <w:color w:val="000000"/>
          <w:sz w:val="32"/>
        </w:rPr>
        <w:t>三公</w:t>
      </w:r>
      <w:r>
        <w:rPr>
          <w:rFonts w:ascii="riNl6dNf+KaiTi_GB2312" w:hAnsi="riNl6dNf+KaiTi_GB2312" w:eastAsia="riNl6dNf+KaiTi_GB2312"/>
          <w:b/>
          <w:color w:val="000000"/>
          <w:sz w:val="32"/>
        </w:rPr>
        <w:t>”</w:t>
      </w:r>
      <w:r>
        <w:rPr>
          <w:rFonts w:ascii="AB5v0dox+KaiTi_GB2312" w:hAnsi="AB5v0dox+KaiTi_GB2312" w:eastAsia="AB5v0dox+KaiTi_GB2312"/>
          <w:b/>
          <w:color w:val="000000"/>
          <w:sz w:val="32"/>
        </w:rPr>
        <w:t>经费支出决算总体</w:t>
      </w:r>
      <w:r>
        <w:rPr>
          <w:rFonts w:ascii="AB5v0dox+KaiTi_GB2312" w:hAnsi="AB5v0dox+KaiTi_GB2312" w:eastAsia="AB5v0dox+KaiTi_GB2312"/>
          <w:b/>
          <w:color w:val="000000"/>
          <w:sz w:val="32"/>
        </w:rPr>
        <w:t>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年度一般公共预算财政拨款“三公”经费支出预算为</w:t>
      </w:r>
      <w:r>
        <w:rPr>
          <w:rFonts w:ascii="CHSf0Q3c+FangSong_GB2312" w:hAnsi="CHSf0Q3c+FangSong_GB2312" w:eastAsia="CHSf0Q3c+FangSong_GB2312"/>
          <w:color w:val="000000"/>
          <w:sz w:val="32"/>
        </w:rPr>
        <w:t>0.50</w:t>
      </w:r>
      <w:r>
        <w:rPr>
          <w:rFonts w:ascii="bs5IVuhn+FangSong_GB2312" w:hAnsi="bs5IVuhn+FangSong_GB2312" w:eastAsia="bs5IVuhn+FangSong_GB2312"/>
          <w:color w:val="000000"/>
          <w:sz w:val="32"/>
        </w:rPr>
        <w:t>万元，支出决算为</w:t>
      </w:r>
      <w:r>
        <w:rPr>
          <w:rFonts w:ascii="CHSf0Q3c+FangSong_GB2312" w:hAnsi="CHSf0Q3c+FangSong_GB2312" w:eastAsia="CHSf0Q3c+FangSong_GB2312"/>
          <w:color w:val="000000"/>
          <w:sz w:val="32"/>
        </w:rPr>
        <w:t>0.44</w:t>
      </w:r>
      <w:r>
        <w:rPr>
          <w:rFonts w:ascii="bs5IVuhn+FangSong_GB2312" w:hAnsi="bs5IVuhn+FangSong_GB2312" w:eastAsia="bs5IVuhn+FangSong_GB2312"/>
          <w:color w:val="000000"/>
          <w:sz w:val="32"/>
        </w:rPr>
        <w:t>万元，完成预算的</w:t>
      </w:r>
      <w:r>
        <w:rPr>
          <w:rFonts w:ascii="CHSf0Q3c+FangSong_GB2312" w:hAnsi="CHSf0Q3c+FangSong_GB2312" w:eastAsia="CHSf0Q3c+FangSong_GB2312"/>
          <w:color w:val="000000"/>
          <w:sz w:val="32"/>
        </w:rPr>
        <w:t>87.74%</w:t>
      </w:r>
      <w:r>
        <w:rPr>
          <w:rFonts w:ascii="bs5IVuhn+FangSong_GB2312" w:hAnsi="bs5IVuhn+FangSong_GB2312" w:eastAsia="bs5IVuhn+FangSong_GB2312"/>
          <w:color w:val="000000"/>
          <w:sz w:val="32"/>
        </w:rPr>
        <w:t>。</w:t>
      </w:r>
      <w:r>
        <w:rPr>
          <w:rFonts w:ascii="JMF7coLC+FangSong" w:hAnsi="JMF7coLC+FangSong" w:eastAsia="JMF7coLC+FangSong"/>
          <w:color w:val="000000"/>
          <w:sz w:val="32"/>
        </w:rPr>
        <w:t>2024</w:t>
      </w:r>
      <w:r>
        <w:rPr>
          <w:rFonts w:ascii="Vvxjkz98+FangSong" w:hAnsi="Vvxjkz98+FangSong" w:eastAsia="Vvxjkz98+FangSong"/>
          <w:color w:val="000000"/>
          <w:sz w:val="32"/>
        </w:rPr>
        <w:t>年度一般公共预算财政拨款</w:t>
      </w:r>
      <w:r>
        <w:rPr>
          <w:rFonts w:ascii="JMF7coLC+FangSong" w:hAnsi="JMF7coLC+FangSong" w:eastAsia="JMF7coLC+FangSong"/>
          <w:color w:val="000000"/>
          <w:sz w:val="32"/>
        </w:rPr>
        <w:t>“</w:t>
      </w:r>
      <w:r>
        <w:rPr>
          <w:rFonts w:ascii="Vvxjkz98+FangSong" w:hAnsi="Vvxjkz98+FangSong" w:eastAsia="Vvxjkz98+FangSong"/>
          <w:color w:val="000000"/>
          <w:sz w:val="32"/>
        </w:rPr>
        <w:t>三公</w:t>
      </w:r>
      <w:r>
        <w:rPr>
          <w:rFonts w:ascii="JMF7coLC+FangSong" w:hAnsi="JMF7coLC+FangSong" w:eastAsia="JMF7coLC+FangSong"/>
          <w:color w:val="000000"/>
          <w:sz w:val="32"/>
        </w:rPr>
        <w:t>”</w:t>
      </w:r>
      <w:r>
        <w:rPr>
          <w:rFonts w:ascii="Vvxjkz98+FangSong" w:hAnsi="Vvxjkz98+FangSong" w:eastAsia="Vvxjkz98+FangSong"/>
          <w:color w:val="000000"/>
          <w:sz w:val="32"/>
        </w:rPr>
        <w:t>经费支出决算数与预算数</w:t>
      </w:r>
      <w:r>
        <w:rPr>
          <w:rFonts w:ascii="Vvxjkz98+FangSong" w:hAnsi="Vvxjkz98+FangSong" w:eastAsia="Vvxjkz98+FangSong"/>
          <w:color w:val="000000"/>
          <w:sz w:val="32"/>
        </w:rPr>
        <w:t>存在差异的主要原因是厉行节约，减少不必要的公务接待支出。</w:t>
      </w:r>
    </w:p>
    <w:p>
      <w:pPr>
        <w:autoSpaceDN w:val="0"/>
        <w:autoSpaceDE w:val="0"/>
        <w:widowControl/>
        <w:spacing w:line="200" w:lineRule="exact" w:before="1300" w:after="0"/>
        <w:ind w:left="0" w:right="0" w:firstLine="0"/>
        <w:jc w:val="center"/>
      </w:pPr>
      <w:r>
        <w:rPr>
          <w:rFonts w:ascii="Ap9kiCzR+TimesNewRomanPSMT" w:hAnsi="Ap9kiCzR+TimesNewRomanPSMT" w:eastAsia="Ap9kiCzR+TimesNewRomanPSMT"/>
          <w:color w:val="000000"/>
          <w:sz w:val="18"/>
        </w:rPr>
        <w:t>- 23 -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64" w:lineRule="exact" w:before="0" w:after="0"/>
        <w:ind w:left="146" w:right="0" w:firstLine="0"/>
        <w:jc w:val="left"/>
      </w:pPr>
      <w:r>
        <w:tab/>
      </w:r>
      <w:r>
        <w:rPr>
          <w:rFonts w:ascii="AB5v0dox+KaiTi_GB2312" w:hAnsi="AB5v0dox+KaiTi_GB2312" w:eastAsia="AB5v0dox+KaiTi_GB2312"/>
          <w:b/>
          <w:color w:val="000000"/>
          <w:sz w:val="32"/>
        </w:rPr>
        <w:t>（二）一般公共预算财政拨款</w:t>
      </w:r>
      <w:r>
        <w:rPr>
          <w:rFonts w:ascii="riNl6dNf+KaiTi_GB2312" w:hAnsi="riNl6dNf+KaiTi_GB2312" w:eastAsia="riNl6dNf+KaiTi_GB2312"/>
          <w:b/>
          <w:color w:val="000000"/>
          <w:sz w:val="32"/>
        </w:rPr>
        <w:t>“</w:t>
      </w:r>
      <w:r>
        <w:rPr>
          <w:rFonts w:ascii="AB5v0dox+KaiTi_GB2312" w:hAnsi="AB5v0dox+KaiTi_GB2312" w:eastAsia="AB5v0dox+KaiTi_GB2312"/>
          <w:b/>
          <w:color w:val="000000"/>
          <w:sz w:val="32"/>
        </w:rPr>
        <w:t>三公</w:t>
      </w:r>
      <w:r>
        <w:rPr>
          <w:rFonts w:ascii="riNl6dNf+KaiTi_GB2312" w:hAnsi="riNl6dNf+KaiTi_GB2312" w:eastAsia="riNl6dNf+KaiTi_GB2312"/>
          <w:b/>
          <w:color w:val="000000"/>
          <w:sz w:val="32"/>
        </w:rPr>
        <w:t>”</w:t>
      </w:r>
      <w:r>
        <w:rPr>
          <w:rFonts w:ascii="AB5v0dox+KaiTi_GB2312" w:hAnsi="AB5v0dox+KaiTi_GB2312" w:eastAsia="AB5v0dox+KaiTi_GB2312"/>
          <w:b/>
          <w:color w:val="000000"/>
          <w:sz w:val="32"/>
        </w:rPr>
        <w:t>经费支出决算具体</w:t>
      </w:r>
      <w:r>
        <w:rPr>
          <w:rFonts w:ascii="AB5v0dox+KaiTi_GB2312" w:hAnsi="AB5v0dox+KaiTi_GB2312" w:eastAsia="AB5v0dox+KaiTi_GB2312"/>
          <w:b/>
          <w:color w:val="000000"/>
          <w:sz w:val="32"/>
        </w:rPr>
        <w:t>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年度一般公共预算财政拨款“三公”经费支出决算中，</w:t>
      </w:r>
      <w:r>
        <w:rPr>
          <w:rFonts w:ascii="bs5IVuhn+FangSong_GB2312" w:hAnsi="bs5IVuhn+FangSong_GB2312" w:eastAsia="bs5IVuhn+FangSong_GB2312"/>
          <w:color w:val="000000"/>
          <w:sz w:val="32"/>
        </w:rPr>
        <w:t>因公出国（境）费支出决算</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万元，完成预算的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，占</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；公务用车购置及运行费支出决算</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万元，完成预算</w:t>
      </w:r>
      <w:r>
        <w:rPr>
          <w:rFonts w:ascii="bs5IVuhn+FangSong_GB2312" w:hAnsi="bs5IVuhn+FangSong_GB2312" w:eastAsia="bs5IVuhn+FangSong_GB2312"/>
          <w:color w:val="000000"/>
          <w:sz w:val="32"/>
        </w:rPr>
        <w:t>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，占</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；公务接待费支出决算</w:t>
      </w:r>
      <w:r>
        <w:rPr>
          <w:rFonts w:ascii="CHSf0Q3c+FangSong_GB2312" w:hAnsi="CHSf0Q3c+FangSong_GB2312" w:eastAsia="CHSf0Q3c+FangSong_GB2312"/>
          <w:color w:val="000000"/>
          <w:sz w:val="32"/>
        </w:rPr>
        <w:t>0.44</w:t>
      </w:r>
      <w:r>
        <w:rPr>
          <w:rFonts w:ascii="bs5IVuhn+FangSong_GB2312" w:hAnsi="bs5IVuhn+FangSong_GB2312" w:eastAsia="bs5IVuhn+FangSong_GB2312"/>
          <w:color w:val="000000"/>
          <w:sz w:val="32"/>
        </w:rPr>
        <w:t>万元，完成预</w:t>
      </w:r>
      <w:r>
        <w:rPr>
          <w:rFonts w:ascii="bs5IVuhn+FangSong_GB2312" w:hAnsi="bs5IVuhn+FangSong_GB2312" w:eastAsia="bs5IVuhn+FangSong_GB2312"/>
          <w:color w:val="000000"/>
          <w:sz w:val="32"/>
        </w:rPr>
        <w:t>算的</w:t>
      </w:r>
      <w:r>
        <w:rPr>
          <w:rFonts w:ascii="CHSf0Q3c+FangSong_GB2312" w:hAnsi="CHSf0Q3c+FangSong_GB2312" w:eastAsia="CHSf0Q3c+FangSong_GB2312"/>
          <w:color w:val="000000"/>
          <w:sz w:val="32"/>
        </w:rPr>
        <w:t>87.74%</w:t>
      </w:r>
      <w:r>
        <w:rPr>
          <w:rFonts w:ascii="bs5IVuhn+FangSong_GB2312" w:hAnsi="bs5IVuhn+FangSong_GB2312" w:eastAsia="bs5IVuhn+FangSong_GB2312"/>
          <w:color w:val="000000"/>
          <w:sz w:val="32"/>
        </w:rPr>
        <w:t>，占</w:t>
      </w:r>
      <w:r>
        <w:rPr>
          <w:rFonts w:ascii="CHSf0Q3c+FangSong_GB2312" w:hAnsi="CHSf0Q3c+FangSong_GB2312" w:eastAsia="CHSf0Q3c+FangSong_GB2312"/>
          <w:color w:val="000000"/>
          <w:sz w:val="32"/>
        </w:rPr>
        <w:t>100.00%</w:t>
      </w:r>
      <w:r>
        <w:rPr>
          <w:rFonts w:ascii="bs5IVuhn+FangSong_GB2312" w:hAnsi="bs5IVuhn+FangSong_GB2312" w:eastAsia="bs5IVuhn+FangSong_GB2312"/>
          <w:color w:val="000000"/>
          <w:sz w:val="32"/>
        </w:rPr>
        <w:t>。具体情况如下：</w:t>
      </w:r>
      <w:r>
        <w:br/>
      </w:r>
      <w:r>
        <w:tab/>
      </w:r>
      <w:r>
        <w:rPr>
          <w:rFonts w:ascii="DBdkV5Ts+FangSong_GB2312" w:hAnsi="DBdkV5Ts+FangSong_GB2312" w:eastAsia="DBdkV5Ts+FangSong_GB2312"/>
          <w:b/>
          <w:color w:val="000000"/>
          <w:sz w:val="32"/>
        </w:rPr>
        <w:t>1</w:t>
      </w:r>
      <w:r>
        <w:rPr>
          <w:rFonts w:ascii="tjEbrkLy+FangSong_GB2312" w:hAnsi="tjEbrkLy+FangSong_GB2312" w:eastAsia="tjEbrkLy+FangSong_GB2312"/>
          <w:b/>
          <w:color w:val="000000"/>
          <w:sz w:val="32"/>
        </w:rPr>
        <w:t>．因公出国（境）费</w:t>
      </w:r>
      <w:r>
        <w:rPr>
          <w:rFonts w:ascii="bs5IVuhn+FangSong_GB2312" w:hAnsi="bs5IVuhn+FangSong_GB2312" w:eastAsia="bs5IVuhn+FangSong_GB2312"/>
          <w:color w:val="000000"/>
          <w:sz w:val="32"/>
        </w:rPr>
        <w:t>预算为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万元，支出决算为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万元，完成预算的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。决算数与预算数无差异。全年因公出</w:t>
      </w:r>
      <w:r>
        <w:rPr>
          <w:rFonts w:ascii="bs5IVuhn+FangSong_GB2312" w:hAnsi="bs5IVuhn+FangSong_GB2312" w:eastAsia="bs5IVuhn+FangSong_GB2312"/>
          <w:color w:val="000000"/>
          <w:sz w:val="32"/>
        </w:rPr>
        <w:t>国（境）团组</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个，累计</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人次。</w:t>
      </w:r>
    </w:p>
    <w:p>
      <w:pPr>
        <w:autoSpaceDN w:val="0"/>
        <w:tabs>
          <w:tab w:pos="786" w:val="left"/>
        </w:tabs>
        <w:autoSpaceDE w:val="0"/>
        <w:widowControl/>
        <w:spacing w:line="590" w:lineRule="exact" w:before="0" w:after="0"/>
        <w:ind w:left="146" w:right="0" w:firstLine="0"/>
        <w:jc w:val="left"/>
      </w:pPr>
      <w:r>
        <w:tab/>
      </w:r>
      <w:r>
        <w:rPr>
          <w:rFonts w:ascii="DBdkV5Ts+FangSong_GB2312" w:hAnsi="DBdkV5Ts+FangSong_GB2312" w:eastAsia="DBdkV5Ts+FangSong_GB2312"/>
          <w:b/>
          <w:color w:val="000000"/>
          <w:sz w:val="32"/>
        </w:rPr>
        <w:t>2</w:t>
      </w:r>
      <w:r>
        <w:rPr>
          <w:rFonts w:ascii="tjEbrkLy+FangSong_GB2312" w:hAnsi="tjEbrkLy+FangSong_GB2312" w:eastAsia="tjEbrkLy+FangSong_GB2312"/>
          <w:b/>
          <w:color w:val="000000"/>
          <w:sz w:val="32"/>
        </w:rPr>
        <w:t>．公务用车购置及运行费</w:t>
      </w:r>
      <w:r>
        <w:rPr>
          <w:rFonts w:ascii="bs5IVuhn+FangSong_GB2312" w:hAnsi="bs5IVuhn+FangSong_GB2312" w:eastAsia="bs5IVuhn+FangSong_GB2312"/>
          <w:color w:val="000000"/>
          <w:sz w:val="32"/>
        </w:rPr>
        <w:t>预算为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万元，支出决算为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万元，完成预算的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。决算数与预算数无差异。其中：</w:t>
      </w:r>
      <w:r>
        <w:tab/>
      </w:r>
      <w:r>
        <w:rPr>
          <w:rFonts w:ascii="tjEbrkLy+FangSong_GB2312" w:hAnsi="tjEbrkLy+FangSong_GB2312" w:eastAsia="tjEbrkLy+FangSong_GB2312"/>
          <w:b/>
          <w:color w:val="000000"/>
          <w:sz w:val="32"/>
        </w:rPr>
        <w:t>公务用车购置</w:t>
      </w:r>
      <w:r>
        <w:rPr>
          <w:rFonts w:ascii="bs5IVuhn+FangSong_GB2312" w:hAnsi="bs5IVuhn+FangSong_GB2312" w:eastAsia="bs5IVuhn+FangSong_GB2312"/>
          <w:color w:val="000000"/>
          <w:sz w:val="32"/>
        </w:rPr>
        <w:t>支出为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万元，购置车辆</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台。</w:t>
      </w:r>
    </w:p>
    <w:p>
      <w:pPr>
        <w:autoSpaceDN w:val="0"/>
        <w:tabs>
          <w:tab w:pos="786" w:val="left"/>
        </w:tabs>
        <w:autoSpaceDE w:val="0"/>
        <w:widowControl/>
        <w:spacing w:line="590" w:lineRule="exact" w:before="0" w:after="0"/>
        <w:ind w:left="146" w:right="144" w:firstLine="0"/>
        <w:jc w:val="left"/>
      </w:pPr>
      <w:r>
        <w:tab/>
      </w:r>
      <w:r>
        <w:rPr>
          <w:rFonts w:ascii="tjEbrkLy+FangSong_GB2312" w:hAnsi="tjEbrkLy+FangSong_GB2312" w:eastAsia="tjEbrkLy+FangSong_GB2312"/>
          <w:b/>
          <w:color w:val="000000"/>
          <w:sz w:val="32"/>
        </w:rPr>
        <w:t>公务用车运行维护支出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年期末，单位开支</w:t>
      </w:r>
      <w:r>
        <w:rPr>
          <w:rFonts w:ascii="bs5IVuhn+FangSong_GB2312" w:hAnsi="bs5IVuhn+FangSong_GB2312" w:eastAsia="bs5IVuhn+FangSong_GB2312"/>
          <w:color w:val="000000"/>
          <w:sz w:val="32"/>
        </w:rPr>
        <w:t>财政拨款的公务用车保有量为</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辆。</w:t>
      </w:r>
    </w:p>
    <w:p>
      <w:pPr>
        <w:autoSpaceDN w:val="0"/>
        <w:tabs>
          <w:tab w:pos="786" w:val="left"/>
        </w:tabs>
        <w:autoSpaceDE w:val="0"/>
        <w:widowControl/>
        <w:spacing w:line="590" w:lineRule="exact" w:before="0" w:after="0"/>
        <w:ind w:left="146" w:right="144" w:firstLine="0"/>
        <w:jc w:val="left"/>
      </w:pPr>
      <w:r>
        <w:tab/>
      </w:r>
      <w:r>
        <w:rPr>
          <w:rFonts w:ascii="DBdkV5Ts+FangSong_GB2312" w:hAnsi="DBdkV5Ts+FangSong_GB2312" w:eastAsia="DBdkV5Ts+FangSong_GB2312"/>
          <w:b/>
          <w:color w:val="000000"/>
          <w:sz w:val="32"/>
        </w:rPr>
        <w:t>3.</w:t>
      </w:r>
      <w:r>
        <w:rPr>
          <w:rFonts w:ascii="tjEbrkLy+FangSong_GB2312" w:hAnsi="tjEbrkLy+FangSong_GB2312" w:eastAsia="tjEbrkLy+FangSong_GB2312"/>
          <w:b/>
          <w:color w:val="000000"/>
          <w:sz w:val="32"/>
        </w:rPr>
        <w:t>公务接待费</w:t>
      </w:r>
      <w:r>
        <w:rPr>
          <w:rFonts w:ascii="bs5IVuhn+FangSong_GB2312" w:hAnsi="bs5IVuhn+FangSong_GB2312" w:eastAsia="bs5IVuhn+FangSong_GB2312"/>
          <w:color w:val="000000"/>
          <w:sz w:val="32"/>
        </w:rPr>
        <w:t>预算为</w:t>
      </w:r>
      <w:r>
        <w:rPr>
          <w:rFonts w:ascii="CHSf0Q3c+FangSong_GB2312" w:hAnsi="CHSf0Q3c+FangSong_GB2312" w:eastAsia="CHSf0Q3c+FangSong_GB2312"/>
          <w:color w:val="000000"/>
          <w:sz w:val="32"/>
        </w:rPr>
        <w:t>0.50</w:t>
      </w:r>
      <w:r>
        <w:rPr>
          <w:rFonts w:ascii="bs5IVuhn+FangSong_GB2312" w:hAnsi="bs5IVuhn+FangSong_GB2312" w:eastAsia="bs5IVuhn+FangSong_GB2312"/>
          <w:color w:val="000000"/>
          <w:sz w:val="32"/>
        </w:rPr>
        <w:t>万元，支出决算为</w:t>
      </w:r>
      <w:r>
        <w:rPr>
          <w:rFonts w:ascii="CHSf0Q3c+FangSong_GB2312" w:hAnsi="CHSf0Q3c+FangSong_GB2312" w:eastAsia="CHSf0Q3c+FangSong_GB2312"/>
          <w:color w:val="000000"/>
          <w:sz w:val="32"/>
        </w:rPr>
        <w:t>0.44</w:t>
      </w:r>
      <w:r>
        <w:rPr>
          <w:rFonts w:ascii="bs5IVuhn+FangSong_GB2312" w:hAnsi="bs5IVuhn+FangSong_GB2312" w:eastAsia="bs5IVuhn+FangSong_GB2312"/>
          <w:color w:val="000000"/>
          <w:sz w:val="32"/>
        </w:rPr>
        <w:t>万元，</w:t>
      </w:r>
      <w:r>
        <w:rPr>
          <w:rFonts w:ascii="bs5IVuhn+FangSong_GB2312" w:hAnsi="bs5IVuhn+FangSong_GB2312" w:eastAsia="bs5IVuhn+FangSong_GB2312"/>
          <w:color w:val="000000"/>
          <w:sz w:val="32"/>
        </w:rPr>
        <w:t>完成预算的</w:t>
      </w:r>
      <w:r>
        <w:rPr>
          <w:rFonts w:ascii="CHSf0Q3c+FangSong_GB2312" w:hAnsi="CHSf0Q3c+FangSong_GB2312" w:eastAsia="CHSf0Q3c+FangSong_GB2312"/>
          <w:color w:val="000000"/>
          <w:sz w:val="32"/>
        </w:rPr>
        <w:t>87.74%</w:t>
      </w:r>
      <w:r>
        <w:rPr>
          <w:rFonts w:ascii="bs5IVuhn+FangSong_GB2312" w:hAnsi="bs5IVuhn+FangSong_GB2312" w:eastAsia="bs5IVuhn+FangSong_GB2312"/>
          <w:color w:val="000000"/>
          <w:sz w:val="32"/>
        </w:rPr>
        <w:t>。决算数与预算数存在差异的主要原因是厉</w:t>
      </w:r>
      <w:r>
        <w:rPr>
          <w:rFonts w:ascii="bs5IVuhn+FangSong_GB2312" w:hAnsi="bs5IVuhn+FangSong_GB2312" w:eastAsia="bs5IVuhn+FangSong_GB2312"/>
          <w:color w:val="000000"/>
          <w:sz w:val="32"/>
        </w:rPr>
        <w:t>行节约，减少不必要的公务接待支出。其中：</w:t>
      </w:r>
      <w:r>
        <w:br/>
      </w:r>
      <w:r>
        <w:tab/>
      </w:r>
      <w:r>
        <w:rPr>
          <w:rFonts w:ascii="tjEbrkLy+FangSong_GB2312" w:hAnsi="tjEbrkLy+FangSong_GB2312" w:eastAsia="tjEbrkLy+FangSong_GB2312"/>
          <w:b/>
          <w:color w:val="000000"/>
          <w:sz w:val="32"/>
        </w:rPr>
        <w:t>外宾接待支出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年共接待国（境）外来访团</w:t>
      </w:r>
      <w:r>
        <w:rPr>
          <w:rFonts w:ascii="bs5IVuhn+FangSong_GB2312" w:hAnsi="bs5IVuhn+FangSong_GB2312" w:eastAsia="bs5IVuhn+FangSong_GB2312"/>
          <w:color w:val="000000"/>
          <w:sz w:val="32"/>
        </w:rPr>
        <w:t>组</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个、来访外宾</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人次（不包含陪同人员）。</w:t>
      </w:r>
    </w:p>
    <w:p>
      <w:pPr>
        <w:autoSpaceDN w:val="0"/>
        <w:autoSpaceDE w:val="0"/>
        <w:widowControl/>
        <w:spacing w:line="590" w:lineRule="exact" w:before="0" w:after="0"/>
        <w:ind w:left="146" w:right="182" w:firstLine="640"/>
        <w:jc w:val="both"/>
      </w:pPr>
      <w:r>
        <w:rPr>
          <w:rFonts w:ascii="tjEbrkLy+FangSong_GB2312" w:hAnsi="tjEbrkLy+FangSong_GB2312" w:eastAsia="tjEbrkLy+FangSong_GB2312"/>
          <w:b/>
          <w:color w:val="000000"/>
          <w:sz w:val="32"/>
        </w:rPr>
        <w:t>其他国内公务接待支出</w:t>
      </w:r>
      <w:r>
        <w:rPr>
          <w:rFonts w:ascii="CHSf0Q3c+FangSong_GB2312" w:hAnsi="CHSf0Q3c+FangSong_GB2312" w:eastAsia="CHSf0Q3c+FangSong_GB2312"/>
          <w:color w:val="000000"/>
          <w:sz w:val="32"/>
        </w:rPr>
        <w:t>0.44</w:t>
      </w:r>
      <w:r>
        <w:rPr>
          <w:rFonts w:ascii="bs5IVuhn+FangSong_GB2312" w:hAnsi="bs5IVuhn+FangSong_GB2312" w:eastAsia="bs5IVuhn+FangSong_GB2312"/>
          <w:color w:val="000000"/>
          <w:sz w:val="32"/>
        </w:rPr>
        <w:t>万元。主要用于接待省人事考</w:t>
      </w:r>
      <w:r>
        <w:rPr>
          <w:rFonts w:ascii="bs5IVuhn+FangSong_GB2312" w:hAnsi="bs5IVuhn+FangSong_GB2312" w:eastAsia="bs5IVuhn+FangSong_GB2312"/>
          <w:color w:val="000000"/>
          <w:sz w:val="32"/>
        </w:rPr>
        <w:t>试中心安排的巡考人员。。</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年共接待国内来访团组</w:t>
      </w:r>
      <w:r>
        <w:rPr>
          <w:rFonts w:ascii="CHSf0Q3c+FangSong_GB2312" w:hAnsi="CHSf0Q3c+FangSong_GB2312" w:eastAsia="CHSf0Q3c+FangSong_GB2312"/>
          <w:color w:val="000000"/>
          <w:sz w:val="32"/>
        </w:rPr>
        <w:t>5</w:t>
      </w:r>
      <w:r>
        <w:rPr>
          <w:rFonts w:ascii="bs5IVuhn+FangSong_GB2312" w:hAnsi="bs5IVuhn+FangSong_GB2312" w:eastAsia="bs5IVuhn+FangSong_GB2312"/>
          <w:color w:val="000000"/>
          <w:sz w:val="32"/>
        </w:rPr>
        <w:t>个、</w:t>
      </w:r>
      <w:r>
        <w:rPr>
          <w:rFonts w:ascii="bs5IVuhn+FangSong_GB2312" w:hAnsi="bs5IVuhn+FangSong_GB2312" w:eastAsia="bs5IVuhn+FangSong_GB2312"/>
          <w:color w:val="000000"/>
          <w:sz w:val="32"/>
        </w:rPr>
        <w:t>来宾</w:t>
      </w:r>
      <w:r>
        <w:rPr>
          <w:rFonts w:ascii="CHSf0Q3c+FangSong_GB2312" w:hAnsi="CHSf0Q3c+FangSong_GB2312" w:eastAsia="CHSf0Q3c+FangSong_GB2312"/>
          <w:color w:val="000000"/>
          <w:sz w:val="32"/>
        </w:rPr>
        <w:t>28</w:t>
      </w:r>
      <w:r>
        <w:rPr>
          <w:rFonts w:ascii="bs5IVuhn+FangSong_GB2312" w:hAnsi="bs5IVuhn+FangSong_GB2312" w:eastAsia="bs5IVuhn+FangSong_GB2312"/>
          <w:color w:val="000000"/>
          <w:sz w:val="32"/>
        </w:rPr>
        <w:t>人次（不包括陪同人员）。</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- 24 -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24" w:lineRule="exact" w:before="0" w:after="0"/>
        <w:ind w:left="146" w:right="0" w:firstLine="0"/>
        <w:jc w:val="left"/>
      </w:pPr>
      <w:r>
        <w:tab/>
      </w:r>
      <w:r>
        <w:rPr>
          <w:rFonts w:ascii="36YvJHM7+SimHei" w:hAnsi="36YvJHM7+SimHei" w:eastAsia="36YvJHM7+SimHei"/>
          <w:color w:val="000000"/>
          <w:sz w:val="32"/>
        </w:rPr>
        <w:t>十、机关运行经费支出情况说明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年度机关运行经费支出</w:t>
      </w:r>
      <w:r>
        <w:rPr>
          <w:rFonts w:ascii="CHSf0Q3c+FangSong_GB2312" w:hAnsi="CHSf0Q3c+FangSong_GB2312" w:eastAsia="CHSf0Q3c+FangSong_GB2312"/>
          <w:color w:val="000000"/>
          <w:sz w:val="32"/>
        </w:rPr>
        <w:t>25.63</w:t>
      </w:r>
      <w:r>
        <w:rPr>
          <w:rFonts w:ascii="bs5IVuhn+FangSong_GB2312" w:hAnsi="bs5IVuhn+FangSong_GB2312" w:eastAsia="bs5IVuhn+FangSong_GB2312"/>
          <w:color w:val="000000"/>
          <w:sz w:val="32"/>
        </w:rPr>
        <w:t>万元，</w:t>
      </w:r>
      <w:r>
        <w:rPr>
          <w:rFonts w:ascii="Ap9kiCzR+TimesNewRomanPSMT" w:hAnsi="Ap9kiCzR+TimesNewRomanPSMT" w:eastAsia="Ap9kiCzR+TimesNewRomanPSMT"/>
          <w:color w:val="000000"/>
          <w:sz w:val="21"/>
        </w:rPr>
        <w:t xml:space="preserve"> </w:t>
      </w:r>
      <w:r>
        <w:rPr>
          <w:rFonts w:ascii="bs5IVuhn+FangSong_GB2312" w:hAnsi="bs5IVuhn+FangSong_GB2312" w:eastAsia="bs5IVuhn+FangSong_GB2312"/>
          <w:color w:val="000000"/>
          <w:sz w:val="32"/>
        </w:rPr>
        <w:t>比</w:t>
      </w:r>
      <w:r>
        <w:rPr>
          <w:rFonts w:ascii="CHSf0Q3c+FangSong_GB2312" w:hAnsi="CHSf0Q3c+FangSong_GB2312" w:eastAsia="CHSf0Q3c+FangSong_GB2312"/>
          <w:color w:val="000000"/>
          <w:sz w:val="32"/>
        </w:rPr>
        <w:t>2023</w:t>
      </w:r>
      <w:r>
        <w:rPr>
          <w:rFonts w:ascii="bs5IVuhn+FangSong_GB2312" w:hAnsi="bs5IVuhn+FangSong_GB2312" w:eastAsia="bs5IVuhn+FangSong_GB2312"/>
          <w:color w:val="000000"/>
          <w:sz w:val="32"/>
        </w:rPr>
        <w:t>年增加</w:t>
      </w:r>
      <w:r>
        <w:rPr>
          <w:rFonts w:ascii="CHSf0Q3c+FangSong_GB2312" w:hAnsi="CHSf0Q3c+FangSong_GB2312" w:eastAsia="CHSf0Q3c+FangSong_GB2312"/>
          <w:color w:val="000000"/>
          <w:sz w:val="32"/>
        </w:rPr>
        <w:t>7.89</w:t>
      </w:r>
      <w:r>
        <w:rPr>
          <w:rFonts w:ascii="bs5IVuhn+FangSong_GB2312" w:hAnsi="bs5IVuhn+FangSong_GB2312" w:eastAsia="bs5IVuhn+FangSong_GB2312"/>
          <w:color w:val="000000"/>
          <w:sz w:val="32"/>
        </w:rPr>
        <w:t>万元，增长</w:t>
      </w:r>
      <w:r>
        <w:rPr>
          <w:rFonts w:ascii="CHSf0Q3c+FangSong_GB2312" w:hAnsi="CHSf0Q3c+FangSong_GB2312" w:eastAsia="CHSf0Q3c+FangSong_GB2312"/>
          <w:color w:val="000000"/>
          <w:sz w:val="32"/>
        </w:rPr>
        <w:t>44.51%</w:t>
      </w:r>
      <w:r>
        <w:rPr>
          <w:rFonts w:ascii="bs5IVuhn+FangSong_GB2312" w:hAnsi="bs5IVuhn+FangSong_GB2312" w:eastAsia="bs5IVuhn+FangSong_GB2312"/>
          <w:color w:val="000000"/>
          <w:sz w:val="32"/>
        </w:rPr>
        <w:t>。主要原因是一是</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年度调入</w:t>
      </w:r>
      <w:r>
        <w:rPr>
          <w:rFonts w:ascii="CHSf0Q3c+FangSong_GB2312" w:hAnsi="CHSf0Q3c+FangSong_GB2312" w:eastAsia="CHSf0Q3c+FangSong_GB2312"/>
          <w:color w:val="000000"/>
          <w:sz w:val="32"/>
        </w:rPr>
        <w:t>4</w:t>
      </w:r>
      <w:r>
        <w:rPr>
          <w:rFonts w:ascii="bs5IVuhn+FangSong_GB2312" w:hAnsi="bs5IVuhn+FangSong_GB2312" w:eastAsia="bs5IVuhn+FangSong_GB2312"/>
          <w:color w:val="000000"/>
          <w:sz w:val="32"/>
        </w:rPr>
        <w:t>名</w:t>
      </w:r>
      <w:r>
        <w:rPr>
          <w:rFonts w:ascii="bs5IVuhn+FangSong_GB2312" w:hAnsi="bs5IVuhn+FangSong_GB2312" w:eastAsia="bs5IVuhn+FangSong_GB2312"/>
          <w:color w:val="000000"/>
          <w:sz w:val="32"/>
        </w:rPr>
        <w:t>在编人员；二是中心办公需求增加支出。</w:t>
      </w:r>
    </w:p>
    <w:p>
      <w:pPr>
        <w:autoSpaceDN w:val="0"/>
        <w:tabs>
          <w:tab w:pos="786" w:val="left"/>
        </w:tabs>
        <w:autoSpaceDE w:val="0"/>
        <w:widowControl/>
        <w:spacing w:line="590" w:lineRule="exact" w:before="0" w:after="0"/>
        <w:ind w:left="146" w:right="0" w:firstLine="0"/>
        <w:jc w:val="left"/>
      </w:pPr>
      <w:r>
        <w:tab/>
      </w:r>
      <w:r>
        <w:rPr>
          <w:rFonts w:ascii="36YvJHM7+SimHei" w:hAnsi="36YvJHM7+SimHei" w:eastAsia="36YvJHM7+SimHei"/>
          <w:color w:val="000000"/>
          <w:sz w:val="32"/>
        </w:rPr>
        <w:t>十一、政府采购支出情况说明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年度政府采购支出总额</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万元，其中：政府采购货</w:t>
      </w:r>
      <w:r>
        <w:rPr>
          <w:rFonts w:ascii="bs5IVuhn+FangSong_GB2312" w:hAnsi="bs5IVuhn+FangSong_GB2312" w:eastAsia="bs5IVuhn+FangSong_GB2312"/>
          <w:color w:val="000000"/>
          <w:sz w:val="32"/>
        </w:rPr>
        <w:t>物支出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万元、政府采购工程支出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万元、政府采购服</w:t>
      </w:r>
      <w:r>
        <w:rPr>
          <w:rFonts w:ascii="bs5IVuhn+FangSong_GB2312" w:hAnsi="bs5IVuhn+FangSong_GB2312" w:eastAsia="bs5IVuhn+FangSong_GB2312"/>
          <w:color w:val="000000"/>
          <w:sz w:val="32"/>
        </w:rPr>
        <w:t>务支出</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万元。授予中小企业合同金额</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万元，占政府</w:t>
      </w:r>
      <w:r>
        <w:rPr>
          <w:rFonts w:ascii="bs5IVuhn+FangSong_GB2312" w:hAnsi="bs5IVuhn+FangSong_GB2312" w:eastAsia="bs5IVuhn+FangSong_GB2312"/>
          <w:color w:val="000000"/>
          <w:sz w:val="32"/>
        </w:rPr>
        <w:t>采购支出总额的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，其中：授予小微企业合同金额</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万</w:t>
      </w:r>
      <w:r>
        <w:rPr>
          <w:rFonts w:ascii="bs5IVuhn+FangSong_GB2312" w:hAnsi="bs5IVuhn+FangSong_GB2312" w:eastAsia="bs5IVuhn+FangSong_GB2312"/>
          <w:color w:val="000000"/>
          <w:sz w:val="32"/>
        </w:rPr>
        <w:t>元，占授予中小企业合同金额的</w:t>
      </w:r>
      <w:r>
        <w:rPr>
          <w:rFonts w:ascii="CHSf0Q3c+FangSong_GB2312" w:hAnsi="CHSf0Q3c+FangSong_GB2312" w:eastAsia="CHSf0Q3c+FangSong_GB2312"/>
          <w:color w:val="000000"/>
          <w:sz w:val="32"/>
        </w:rPr>
        <w:t>0.00%</w:t>
      </w:r>
      <w:r>
        <w:rPr>
          <w:rFonts w:ascii="bs5IVuhn+FangSong_GB2312" w:hAnsi="bs5IVuhn+FangSong_GB2312" w:eastAsia="bs5IVuhn+FangSong_GB2312"/>
          <w:color w:val="000000"/>
          <w:sz w:val="32"/>
        </w:rPr>
        <w:t>。</w:t>
      </w:r>
    </w:p>
    <w:p>
      <w:pPr>
        <w:autoSpaceDN w:val="0"/>
        <w:tabs>
          <w:tab w:pos="786" w:val="left"/>
        </w:tabs>
        <w:autoSpaceDE w:val="0"/>
        <w:widowControl/>
        <w:spacing w:line="590" w:lineRule="exact" w:before="0" w:after="0"/>
        <w:ind w:left="146" w:right="144" w:firstLine="0"/>
        <w:jc w:val="left"/>
      </w:pPr>
      <w:r>
        <w:tab/>
      </w:r>
      <w:r>
        <w:rPr>
          <w:rFonts w:ascii="36YvJHM7+SimHei" w:hAnsi="36YvJHM7+SimHei" w:eastAsia="36YvJHM7+SimHei"/>
          <w:color w:val="000000"/>
          <w:sz w:val="32"/>
        </w:rPr>
        <w:t>十二、国有资产占用情况说明</w:t>
      </w:r>
      <w:r>
        <w:br/>
      </w:r>
      <w:r>
        <w:tab/>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年期末，我单位（部门）共有车辆</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辆；单位价值</w:t>
      </w:r>
      <w:r>
        <w:rPr>
          <w:rFonts w:ascii="CHSf0Q3c+FangSong_GB2312" w:hAnsi="CHSf0Q3c+FangSong_GB2312" w:eastAsia="CHSf0Q3c+FangSong_GB2312"/>
          <w:color w:val="000000"/>
          <w:sz w:val="32"/>
        </w:rPr>
        <w:t>100</w:t>
      </w:r>
      <w:r>
        <w:rPr>
          <w:rFonts w:ascii="bs5IVuhn+FangSong_GB2312" w:hAnsi="bs5IVuhn+FangSong_GB2312" w:eastAsia="bs5IVuhn+FangSong_GB2312"/>
          <w:color w:val="000000"/>
          <w:sz w:val="32"/>
        </w:rPr>
        <w:t>万元（含）以上设备</w:t>
      </w:r>
      <w:r>
        <w:rPr>
          <w:rFonts w:ascii="CHSf0Q3c+FangSong_GB2312" w:hAnsi="CHSf0Q3c+FangSong_GB2312" w:eastAsia="CHSf0Q3c+FangSong_GB2312"/>
          <w:color w:val="000000"/>
          <w:sz w:val="32"/>
        </w:rPr>
        <w:t>0</w:t>
      </w:r>
      <w:r>
        <w:rPr>
          <w:rFonts w:ascii="bs5IVuhn+FangSong_GB2312" w:hAnsi="bs5IVuhn+FangSong_GB2312" w:eastAsia="bs5IVuhn+FangSong_GB2312"/>
          <w:color w:val="000000"/>
          <w:sz w:val="32"/>
        </w:rPr>
        <w:t>台（套）。</w:t>
      </w:r>
    </w:p>
    <w:p>
      <w:pPr>
        <w:autoSpaceDN w:val="0"/>
        <w:autoSpaceDE w:val="0"/>
        <w:widowControl/>
        <w:spacing w:line="320" w:lineRule="exact" w:before="270" w:after="0"/>
        <w:ind w:left="786" w:right="0" w:firstLine="0"/>
        <w:jc w:val="left"/>
      </w:pPr>
      <w:r>
        <w:rPr>
          <w:rFonts w:ascii="36YvJHM7+SimHei" w:hAnsi="36YvJHM7+SimHei" w:eastAsia="36YvJHM7+SimHei"/>
          <w:color w:val="000000"/>
          <w:sz w:val="32"/>
        </w:rPr>
        <w:t>十三、预算绩效评价情况说明</w:t>
      </w:r>
    </w:p>
    <w:p>
      <w:pPr>
        <w:autoSpaceDN w:val="0"/>
        <w:autoSpaceDE w:val="0"/>
        <w:widowControl/>
        <w:spacing w:line="320" w:lineRule="exact" w:before="270" w:after="0"/>
        <w:ind w:left="786" w:right="0" w:firstLine="0"/>
        <w:jc w:val="left"/>
      </w:pPr>
      <w:r>
        <w:rPr>
          <w:rFonts w:ascii="AB5v0dox+KaiTi_GB2312" w:hAnsi="AB5v0dox+KaiTi_GB2312" w:eastAsia="AB5v0dox+KaiTi_GB2312"/>
          <w:b/>
          <w:color w:val="000000"/>
          <w:sz w:val="32"/>
        </w:rPr>
        <w:t>（一）绩效评价工作开展情况。</w:t>
      </w:r>
    </w:p>
    <w:p>
      <w:pPr>
        <w:autoSpaceDN w:val="0"/>
        <w:autoSpaceDE w:val="0"/>
        <w:widowControl/>
        <w:spacing w:line="590" w:lineRule="exact" w:before="0" w:after="0"/>
        <w:ind w:left="146" w:right="0" w:firstLine="640"/>
        <w:jc w:val="left"/>
      </w:pPr>
      <w:r>
        <w:rPr>
          <w:rFonts w:ascii="bs5IVuhn+FangSong_GB2312" w:hAnsi="bs5IVuhn+FangSong_GB2312" w:eastAsia="bs5IVuhn+FangSong_GB2312"/>
          <w:color w:val="000000"/>
          <w:sz w:val="32"/>
        </w:rPr>
        <w:t>根据预算绩效管理要求，本部门（单位）对</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年度预算</w:t>
      </w:r>
      <w:r>
        <w:rPr>
          <w:rFonts w:ascii="bs5IVuhn+FangSong_GB2312" w:hAnsi="bs5IVuhn+FangSong_GB2312" w:eastAsia="bs5IVuhn+FangSong_GB2312"/>
          <w:color w:val="000000"/>
          <w:sz w:val="32"/>
        </w:rPr>
        <w:t>项目支出全面开展绩效自评，涉及项目</w:t>
      </w:r>
      <w:r>
        <w:rPr>
          <w:rFonts w:ascii="CHSf0Q3c+FangSong_GB2312" w:hAnsi="CHSf0Q3c+FangSong_GB2312" w:eastAsia="CHSf0Q3c+FangSong_GB2312"/>
          <w:color w:val="000000"/>
          <w:sz w:val="32"/>
        </w:rPr>
        <w:t>3</w:t>
      </w:r>
      <w:r>
        <w:rPr>
          <w:rFonts w:ascii="bs5IVuhn+FangSong_GB2312" w:hAnsi="bs5IVuhn+FangSong_GB2312" w:eastAsia="bs5IVuhn+FangSong_GB2312"/>
          <w:color w:val="000000"/>
          <w:sz w:val="32"/>
        </w:rPr>
        <w:t>个，项目金额</w:t>
      </w:r>
      <w:r>
        <w:rPr>
          <w:rFonts w:ascii="CHSf0Q3c+FangSong_GB2312" w:hAnsi="CHSf0Q3c+FangSong_GB2312" w:eastAsia="CHSf0Q3c+FangSong_GB2312"/>
          <w:color w:val="000000"/>
          <w:sz w:val="32"/>
        </w:rPr>
        <w:t>189.41</w:t>
      </w:r>
      <w:r>
        <w:rPr>
          <w:rFonts w:ascii="bs5IVuhn+FangSong_GB2312" w:hAnsi="bs5IVuhn+FangSong_GB2312" w:eastAsia="bs5IVuhn+FangSong_GB2312"/>
          <w:color w:val="000000"/>
          <w:sz w:val="32"/>
        </w:rPr>
        <w:t>万元。组织对</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年工勤技能等级考试相关工作经费等</w:t>
      </w:r>
      <w:r>
        <w:rPr>
          <w:rFonts w:ascii="CHSf0Q3c+FangSong_GB2312" w:hAnsi="CHSf0Q3c+FangSong_GB2312" w:eastAsia="CHSf0Q3c+FangSong_GB2312"/>
          <w:color w:val="000000"/>
          <w:sz w:val="32"/>
        </w:rPr>
        <w:t>3</w:t>
      </w:r>
      <w:r>
        <w:rPr>
          <w:rFonts w:ascii="bs5IVuhn+FangSong_GB2312" w:hAnsi="bs5IVuhn+FangSong_GB2312" w:eastAsia="bs5IVuhn+FangSong_GB2312"/>
          <w:color w:val="000000"/>
          <w:sz w:val="32"/>
        </w:rPr>
        <w:t>个项</w:t>
      </w:r>
      <w:r>
        <w:rPr>
          <w:rFonts w:ascii="bs5IVuhn+FangSong_GB2312" w:hAnsi="bs5IVuhn+FangSong_GB2312" w:eastAsia="bs5IVuhn+FangSong_GB2312"/>
          <w:color w:val="000000"/>
          <w:sz w:val="32"/>
        </w:rPr>
        <w:t>目开展了评价，涉及预算支出</w:t>
      </w:r>
      <w:r>
        <w:rPr>
          <w:rFonts w:ascii="CHSf0Q3c+FangSong_GB2312" w:hAnsi="CHSf0Q3c+FangSong_GB2312" w:eastAsia="CHSf0Q3c+FangSong_GB2312"/>
          <w:color w:val="000000"/>
          <w:sz w:val="32"/>
        </w:rPr>
        <w:t>189.41</w:t>
      </w:r>
      <w:r>
        <w:rPr>
          <w:rFonts w:ascii="bs5IVuhn+FangSong_GB2312" w:hAnsi="bs5IVuhn+FangSong_GB2312" w:eastAsia="bs5IVuhn+FangSong_GB2312"/>
          <w:color w:val="000000"/>
          <w:sz w:val="32"/>
        </w:rPr>
        <w:t>万元。从评价情况来看，</w:t>
      </w:r>
      <w:r>
        <w:rPr>
          <w:rFonts w:ascii="bs5IVuhn+FangSong_GB2312" w:hAnsi="bs5IVuhn+FangSong_GB2312" w:eastAsia="bs5IVuhn+FangSong_GB2312"/>
          <w:color w:val="000000"/>
          <w:sz w:val="32"/>
        </w:rPr>
        <w:t>我单位根据财政预算管理要求，绩效目标设置合理，严格按各</w:t>
      </w:r>
      <w:r>
        <w:rPr>
          <w:rFonts w:ascii="bs5IVuhn+FangSong_GB2312" w:hAnsi="bs5IVuhn+FangSong_GB2312" w:eastAsia="bs5IVuhn+FangSong_GB2312"/>
          <w:color w:val="000000"/>
          <w:sz w:val="32"/>
        </w:rPr>
        <w:t>项管理制度执行，年初设定的各项工作目标完成情况较好。</w:t>
      </w:r>
    </w:p>
    <w:p>
      <w:pPr>
        <w:autoSpaceDN w:val="0"/>
        <w:tabs>
          <w:tab w:pos="786" w:val="left"/>
        </w:tabs>
        <w:autoSpaceDE w:val="0"/>
        <w:widowControl/>
        <w:spacing w:line="590" w:lineRule="exact" w:before="0" w:after="0"/>
        <w:ind w:left="146" w:right="0" w:firstLine="0"/>
        <w:jc w:val="left"/>
      </w:pPr>
      <w:r>
        <w:tab/>
      </w:r>
      <w:r>
        <w:rPr>
          <w:rFonts w:ascii="AB5v0dox+KaiTi_GB2312" w:hAnsi="AB5v0dox+KaiTi_GB2312" w:eastAsia="AB5v0dox+KaiTi_GB2312"/>
          <w:b/>
          <w:color w:val="000000"/>
          <w:sz w:val="32"/>
        </w:rPr>
        <w:t>（二）项目绩效自评结果。</w:t>
      </w:r>
      <w:r>
        <w:rPr>
          <w:rFonts w:ascii="bs5IVuhn+FangSong_GB2312" w:hAnsi="bs5IVuhn+FangSong_GB2312" w:eastAsia="bs5IVuhn+FangSong_GB2312"/>
          <w:color w:val="000000"/>
          <w:sz w:val="32"/>
        </w:rPr>
        <w:t>结合工作实际，我部门在</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年度部门决算中反映</w:t>
      </w:r>
      <w:r>
        <w:rPr>
          <w:rFonts w:ascii="CHSf0Q3c+FangSong_GB2312" w:hAnsi="CHSf0Q3c+FangSong_GB2312" w:eastAsia="CHSf0Q3c+FangSong_GB2312"/>
          <w:color w:val="000000"/>
          <w:sz w:val="32"/>
        </w:rPr>
        <w:t>2024</w:t>
      </w:r>
      <w:r>
        <w:rPr>
          <w:rFonts w:ascii="bs5IVuhn+FangSong_GB2312" w:hAnsi="bs5IVuhn+FangSong_GB2312" w:eastAsia="bs5IVuhn+FangSong_GB2312"/>
          <w:color w:val="000000"/>
          <w:sz w:val="32"/>
        </w:rPr>
        <w:t>年工勤技能等级考试相关工作经费等</w:t>
      </w:r>
    </w:p>
    <w:p>
      <w:pPr>
        <w:autoSpaceDN w:val="0"/>
        <w:autoSpaceDE w:val="0"/>
        <w:widowControl/>
        <w:spacing w:line="200" w:lineRule="exact" w:before="710" w:after="0"/>
        <w:ind w:left="0" w:right="0" w:firstLine="0"/>
        <w:jc w:val="center"/>
      </w:pPr>
      <w:r>
        <w:rPr>
          <w:rFonts w:ascii="Ap9kiCzR+TimesNewRomanPSMT" w:hAnsi="Ap9kiCzR+TimesNewRomanPSMT" w:eastAsia="Ap9kiCzR+TimesNewRomanPSMT"/>
          <w:color w:val="000000"/>
          <w:sz w:val="18"/>
        </w:rPr>
        <w:t>- 25 -</w:t>
      </w:r>
    </w:p>
    <w:p>
      <w:pPr>
        <w:sectPr>
          <w:pgSz w:w="11906" w:h="17238"/>
          <w:pgMar w:top="818" w:right="1440" w:bottom="496" w:left="1440" w:header="720" w:footer="720" w:gutter="0"/>
          <w:cols w:num="1" w:equalWidth="0" w:space="720">
            <w:col w:w="9026" w:space="0"/>
          </w:cols>
          <w:docGrid w:linePitch="360"/>
        </w:sectPr>
      </w:pPr>
    </w:p>
    <w:p>
      <w:pPr>
        <w:autoSpaceDN w:val="0"/>
        <w:autoSpaceDE w:val="0"/>
        <w:widowControl/>
        <w:spacing w:line="220" w:lineRule="exact" w:before="598" w:after="0"/>
        <w:ind w:left="0" w:right="0"/>
      </w:pPr>
    </w:p>
    <w:p>
      <w:pPr>
        <w:autoSpaceDN w:val="0"/>
        <w:autoSpaceDE w:val="0"/>
        <w:widowControl/>
        <w:spacing w:line="500" w:lineRule="exact" w:before="0" w:after="0"/>
        <w:ind w:left="146" w:right="90" w:firstLine="0"/>
        <w:jc w:val="both"/>
      </w:pPr>
      <w:r>
        <w:rPr>
          <w:rFonts w:ascii="CHSf0Q3c+FangSong_GB2312" w:hAnsi="CHSf0Q3c+FangSong_GB2312" w:eastAsia="CHSf0Q3c+FangSong_GB2312"/>
          <w:color w:val="000000"/>
          <w:sz w:val="32"/>
        </w:rPr>
        <w:t>3</w:t>
      </w:r>
      <w:r>
        <w:rPr>
          <w:rFonts w:ascii="bs5IVuhn+FangSong_GB2312" w:hAnsi="bs5IVuhn+FangSong_GB2312" w:eastAsia="bs5IVuhn+FangSong_GB2312"/>
          <w:color w:val="000000"/>
          <w:sz w:val="32"/>
        </w:rPr>
        <w:t>个项目的绩效自评结果。从单位整体自评情况来看，我单位根</w:t>
      </w:r>
      <w:r>
        <w:rPr>
          <w:rFonts w:ascii="bs5IVuhn+FangSong_GB2312" w:hAnsi="bs5IVuhn+FangSong_GB2312" w:eastAsia="bs5IVuhn+FangSong_GB2312"/>
          <w:color w:val="000000"/>
          <w:sz w:val="32"/>
        </w:rPr>
        <w:t>据财政预算管理要求，绩效目标设置合理，严格按各项管理制</w:t>
      </w:r>
      <w:r>
        <w:rPr>
          <w:rFonts w:ascii="bs5IVuhn+FangSong_GB2312" w:hAnsi="bs5IVuhn+FangSong_GB2312" w:eastAsia="bs5IVuhn+FangSong_GB2312"/>
          <w:color w:val="000000"/>
          <w:sz w:val="32"/>
        </w:rPr>
        <w:t>度执行，年初设定的各项工作目标完成情况较好。</w:t>
      </w:r>
    </w:p>
    <w:p>
      <w:pPr>
        <w:autoSpaceDN w:val="0"/>
        <w:autoSpaceDE w:val="0"/>
        <w:widowControl/>
        <w:spacing w:line="320" w:lineRule="exact" w:before="270" w:after="0"/>
        <w:ind w:left="786" w:right="0" w:firstLine="0"/>
        <w:jc w:val="left"/>
      </w:pPr>
      <w:r>
        <w:rPr>
          <w:rFonts w:ascii="AB5v0dox+KaiTi_GB2312" w:hAnsi="AB5v0dox+KaiTi_GB2312" w:eastAsia="AB5v0dox+KaiTi_GB2312"/>
          <w:b/>
          <w:color w:val="000000"/>
          <w:sz w:val="32"/>
        </w:rPr>
        <w:t>（三）单位评价结果。</w:t>
      </w:r>
    </w:p>
    <w:p>
      <w:pPr>
        <w:autoSpaceDN w:val="0"/>
        <w:autoSpaceDE w:val="0"/>
        <w:widowControl/>
        <w:spacing w:line="320" w:lineRule="exact" w:before="270" w:after="0"/>
        <w:ind w:left="786" w:right="0" w:firstLine="0"/>
        <w:jc w:val="left"/>
      </w:pPr>
      <w:r>
        <w:rPr>
          <w:rFonts w:ascii="bs5IVuhn+FangSong_GB2312" w:hAnsi="bs5IVuhn+FangSong_GB2312" w:eastAsia="bs5IVuhn+FangSong_GB2312"/>
          <w:color w:val="000000"/>
          <w:sz w:val="32"/>
        </w:rPr>
        <w:t>《项目绩效评价报告》等见附件。</w:t>
      </w:r>
    </w:p>
    <w:p>
      <w:pPr>
        <w:autoSpaceDN w:val="0"/>
        <w:autoSpaceDE w:val="0"/>
        <w:widowControl/>
        <w:spacing w:line="480" w:lineRule="exact" w:before="5814" w:after="0"/>
        <w:ind w:left="0" w:right="0" w:firstLine="0"/>
        <w:jc w:val="center"/>
      </w:pPr>
      <w:r>
        <w:rPr>
          <w:rFonts w:ascii="36YvJHM7+SimHei" w:hAnsi="36YvJHM7+SimHei" w:eastAsia="36YvJHM7+SimHei"/>
          <w:color w:val="000000"/>
          <w:sz w:val="48"/>
        </w:rPr>
        <w:t>第四部分</w:t>
      </w:r>
      <w:r>
        <w:rPr>
          <w:rFonts w:ascii="X9K8VEFC+SimHei" w:hAnsi="X9K8VEFC+SimHei" w:eastAsia="X9K8VEFC+SimHei"/>
          <w:color w:val="000000"/>
          <w:sz w:val="48"/>
        </w:rPr>
        <w:t xml:space="preserve">  </w:t>
      </w:r>
      <w:r>
        <w:rPr>
          <w:rFonts w:ascii="36YvJHM7+SimHei" w:hAnsi="36YvJHM7+SimHei" w:eastAsia="36YvJHM7+SimHei"/>
          <w:color w:val="000000"/>
          <w:sz w:val="48"/>
        </w:rPr>
        <w:t>名词解释</w:t>
      </w:r>
    </w:p>
    <w:p>
      <w:pPr>
        <w:autoSpaceDN w:val="0"/>
        <w:autoSpaceDE w:val="0"/>
        <w:widowControl/>
        <w:spacing w:line="200" w:lineRule="exact" w:before="5034" w:after="0"/>
        <w:ind w:left="0" w:right="0" w:firstLine="0"/>
        <w:jc w:val="center"/>
      </w:pPr>
      <w:r>
        <w:rPr>
          <w:rFonts w:ascii="Ap9kiCzR+TimesNewRomanPSMT" w:hAnsi="Ap9kiCzR+TimesNewRomanPSMT" w:eastAsia="Ap9kiCzR+TimesNewRomanPSMT"/>
          <w:color w:val="000000"/>
          <w:sz w:val="18"/>
        </w:rPr>
        <w:t>- 26 -</w:t>
      </w:r>
    </w:p>
    <w:p>
      <w:pPr>
        <w:sectPr>
          <w:pgSz w:w="11906" w:h="17238"/>
          <w:pgMar w:top="818" w:right="1440" w:bottom="496" w:left="1440" w:header="720" w:footer="720" w:gutter="0"/>
          <w:cols w:num="1" w:equalWidth="0" w:space="720">
            <w:col w:w="9026" w:space="0"/>
          </w:cols>
          <w:docGrid w:linePitch="360"/>
        </w:sectPr>
      </w:pPr>
    </w:p>
    <w:p>
      <w:pPr>
        <w:autoSpaceDN w:val="0"/>
        <w:autoSpaceDE w:val="0"/>
        <w:widowControl/>
        <w:spacing w:line="220" w:lineRule="exact" w:before="842" w:after="0"/>
        <w:ind w:left="0" w:right="0"/>
      </w:pPr>
    </w:p>
    <w:p>
      <w:pPr>
        <w:autoSpaceDN w:val="0"/>
        <w:tabs>
          <w:tab w:pos="788" w:val="left"/>
        </w:tabs>
        <w:autoSpaceDE w:val="0"/>
        <w:widowControl/>
        <w:spacing w:line="456" w:lineRule="exact" w:before="0" w:after="0"/>
        <w:ind w:left="148" w:right="144" w:firstLine="0"/>
        <w:jc w:val="left"/>
      </w:pPr>
      <w:r>
        <w:tab/>
      </w:r>
      <w:r>
        <w:rPr>
          <w:rFonts w:ascii="bs5IVuhn+FangSong_GB2312" w:hAnsi="bs5IVuhn+FangSong_GB2312" w:eastAsia="bs5IVuhn+FangSong_GB2312"/>
          <w:color w:val="000000"/>
          <w:sz w:val="32"/>
        </w:rPr>
        <w:t>一、财政拨款收入：单位从同级政府财政部门取得的财政预</w:t>
      </w:r>
      <w:r>
        <w:rPr>
          <w:rFonts w:ascii="bs5IVuhn+FangSong_GB2312" w:hAnsi="bs5IVuhn+FangSong_GB2312" w:eastAsia="bs5IVuhn+FangSong_GB2312"/>
          <w:color w:val="000000"/>
          <w:sz w:val="32"/>
        </w:rPr>
        <w:t>算资金。</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二、事业收入：事业单位开展专业业务活动及其辅助活动取</w:t>
      </w:r>
      <w:r>
        <w:rPr>
          <w:rFonts w:ascii="bs5IVuhn+FangSong_GB2312" w:hAnsi="bs5IVuhn+FangSong_GB2312" w:eastAsia="bs5IVuhn+FangSong_GB2312"/>
          <w:color w:val="000000"/>
          <w:sz w:val="32"/>
        </w:rPr>
        <w:t>得的收入。</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三、上级补助收入：事业单位从主管部门和上级单位取得的</w:t>
      </w:r>
      <w:r>
        <w:rPr>
          <w:rFonts w:ascii="bs5IVuhn+FangSong_GB2312" w:hAnsi="bs5IVuhn+FangSong_GB2312" w:eastAsia="bs5IVuhn+FangSong_GB2312"/>
          <w:color w:val="000000"/>
          <w:sz w:val="32"/>
        </w:rPr>
        <w:t>非财政补助收入。</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四、附属单位上缴收入：事业单位取得附属独立核算单位根</w:t>
      </w:r>
      <w:r>
        <w:rPr>
          <w:rFonts w:ascii="bs5IVuhn+FangSong_GB2312" w:hAnsi="bs5IVuhn+FangSong_GB2312" w:eastAsia="bs5IVuhn+FangSong_GB2312"/>
          <w:color w:val="000000"/>
          <w:sz w:val="32"/>
        </w:rPr>
        <w:t>据有关规定上缴的收入。</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五、经营收入：事业单位在专业业务活动及其辅助活动之外</w:t>
      </w:r>
      <w:r>
        <w:rPr>
          <w:rFonts w:ascii="bs5IVuhn+FangSong_GB2312" w:hAnsi="bs5IVuhn+FangSong_GB2312" w:eastAsia="bs5IVuhn+FangSong_GB2312"/>
          <w:color w:val="000000"/>
          <w:sz w:val="32"/>
        </w:rPr>
        <w:t>开展非独立核算经营活动取得的收入。</w:t>
      </w:r>
    </w:p>
    <w:p>
      <w:pPr>
        <w:autoSpaceDN w:val="0"/>
        <w:autoSpaceDE w:val="0"/>
        <w:widowControl/>
        <w:spacing w:line="590" w:lineRule="exact" w:before="0" w:after="0"/>
        <w:ind w:left="148" w:right="0" w:firstLine="640"/>
        <w:jc w:val="left"/>
      </w:pPr>
      <w:r>
        <w:rPr>
          <w:rFonts w:ascii="bs5IVuhn+FangSong_GB2312" w:hAnsi="bs5IVuhn+FangSong_GB2312" w:eastAsia="bs5IVuhn+FangSong_GB2312"/>
          <w:color w:val="000000"/>
          <w:sz w:val="32"/>
        </w:rPr>
        <w:t>六、其他收入：单位取得的除“财政拨款收入”、“事业收</w:t>
      </w:r>
      <w:r>
        <w:rPr>
          <w:rFonts w:ascii="bs5IVuhn+FangSong_GB2312" w:hAnsi="bs5IVuhn+FangSong_GB2312" w:eastAsia="bs5IVuhn+FangSong_GB2312"/>
          <w:color w:val="000000"/>
          <w:sz w:val="32"/>
        </w:rPr>
        <w:t>入”、“上级补助收入”、“附属单位上缴收入”、“经营收入”</w:t>
      </w:r>
      <w:r>
        <w:rPr>
          <w:rFonts w:ascii="bs5IVuhn+FangSong_GB2312" w:hAnsi="bs5IVuhn+FangSong_GB2312" w:eastAsia="bs5IVuhn+FangSong_GB2312"/>
          <w:color w:val="000000"/>
          <w:sz w:val="32"/>
        </w:rPr>
        <w:t>以外的各项收入。</w:t>
      </w:r>
    </w:p>
    <w:p>
      <w:pPr>
        <w:autoSpaceDN w:val="0"/>
        <w:tabs>
          <w:tab w:pos="788" w:val="left"/>
        </w:tabs>
        <w:autoSpaceDE w:val="0"/>
        <w:widowControl/>
        <w:spacing w:line="588" w:lineRule="exact" w:before="4" w:after="0"/>
        <w:ind w:left="148" w:right="144" w:firstLine="0"/>
        <w:jc w:val="left"/>
      </w:pPr>
      <w:r>
        <w:tab/>
      </w:r>
      <w:r>
        <w:rPr>
          <w:rFonts w:ascii="bs5IVuhn+FangSong_GB2312" w:hAnsi="bs5IVuhn+FangSong_GB2312" w:eastAsia="bs5IVuhn+FangSong_GB2312"/>
          <w:color w:val="000000"/>
          <w:sz w:val="32"/>
        </w:rPr>
        <w:t>七、使用非财政拨款结余（含专用结余）：指事业单位使用</w:t>
      </w:r>
      <w:r>
        <w:rPr>
          <w:rFonts w:ascii="bs5IVuhn+FangSong_GB2312" w:hAnsi="bs5IVuhn+FangSong_GB2312" w:eastAsia="bs5IVuhn+FangSong_GB2312"/>
          <w:color w:val="000000"/>
          <w:sz w:val="32"/>
        </w:rPr>
        <w:t>以前年度积累的非财政拨款结余弥补当年收支差额的金额。</w:t>
      </w:r>
    </w:p>
    <w:p>
      <w:pPr>
        <w:autoSpaceDN w:val="0"/>
        <w:autoSpaceDE w:val="0"/>
        <w:widowControl/>
        <w:spacing w:line="590" w:lineRule="exact" w:before="2" w:after="0"/>
        <w:ind w:left="148" w:right="198" w:firstLine="640"/>
        <w:jc w:val="both"/>
      </w:pPr>
      <w:r>
        <w:rPr>
          <w:rFonts w:ascii="bs5IVuhn+FangSong_GB2312" w:hAnsi="bs5IVuhn+FangSong_GB2312" w:eastAsia="bs5IVuhn+FangSong_GB2312"/>
          <w:color w:val="000000"/>
          <w:sz w:val="32"/>
        </w:rPr>
        <w:t>八、年初结转和结余：指单位以前年度尚未完成、结转到本</w:t>
      </w:r>
      <w:r>
        <w:rPr>
          <w:rFonts w:ascii="bs5IVuhn+FangSong_GB2312" w:hAnsi="bs5IVuhn+FangSong_GB2312" w:eastAsia="bs5IVuhn+FangSong_GB2312"/>
          <w:color w:val="000000"/>
          <w:sz w:val="32"/>
        </w:rPr>
        <w:t>年仍按原规定用途继续使用的资金，或项目已完成等产生的结余</w:t>
      </w:r>
      <w:r>
        <w:rPr>
          <w:rFonts w:ascii="bs5IVuhn+FangSong_GB2312" w:hAnsi="bs5IVuhn+FangSong_GB2312" w:eastAsia="bs5IVuhn+FangSong_GB2312"/>
          <w:color w:val="000000"/>
          <w:sz w:val="32"/>
        </w:rPr>
        <w:t>资金。</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九、基本支出：为保障机构正常运转、完成日常工作任务而</w:t>
      </w:r>
      <w:r>
        <w:rPr>
          <w:rFonts w:ascii="bs5IVuhn+FangSong_GB2312" w:hAnsi="bs5IVuhn+FangSong_GB2312" w:eastAsia="bs5IVuhn+FangSong_GB2312"/>
          <w:color w:val="000000"/>
          <w:sz w:val="32"/>
        </w:rPr>
        <w:t>发生的人员支出和公用支出。</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十、项目支出：基本支出之外为完成特定行政任务和事业发</w:t>
      </w:r>
      <w:r>
        <w:rPr>
          <w:rFonts w:ascii="bs5IVuhn+FangSong_GB2312" w:hAnsi="bs5IVuhn+FangSong_GB2312" w:eastAsia="bs5IVuhn+FangSong_GB2312"/>
          <w:color w:val="000000"/>
          <w:sz w:val="32"/>
        </w:rPr>
        <w:t>展目标所发生的支出。</w:t>
      </w:r>
    </w:p>
    <w:p>
      <w:pPr>
        <w:autoSpaceDN w:val="0"/>
        <w:autoSpaceDE w:val="0"/>
        <w:widowControl/>
        <w:spacing w:line="200" w:lineRule="exact" w:before="810" w:after="0"/>
        <w:ind w:left="0" w:right="0" w:firstLine="0"/>
        <w:jc w:val="center"/>
      </w:pPr>
      <w:r>
        <w:rPr>
          <w:rFonts w:ascii="Ap9kiCzR+TimesNewRomanPSMT" w:hAnsi="Ap9kiCzR+TimesNewRomanPSMT" w:eastAsia="Ap9kiCzR+TimesNewRomanPSMT"/>
          <w:color w:val="000000"/>
          <w:sz w:val="18"/>
        </w:rPr>
        <w:t>- 27 -</w:t>
      </w:r>
    </w:p>
    <w:p>
      <w:pPr>
        <w:sectPr>
          <w:pgSz w:w="11906" w:h="17238"/>
          <w:pgMar w:top="1062" w:right="1276" w:bottom="496" w:left="1440" w:header="720" w:footer="720" w:gutter="0"/>
          <w:cols w:num="1" w:equalWidth="0" w:space="720">
            <w:col w:w="9190" w:space="0"/>
          </w:cols>
          <w:docGrid w:linePitch="360"/>
        </w:sectPr>
      </w:pPr>
    </w:p>
    <w:p>
      <w:pPr>
        <w:autoSpaceDN w:val="0"/>
        <w:autoSpaceDE w:val="0"/>
        <w:widowControl/>
        <w:spacing w:line="220" w:lineRule="exact" w:before="842" w:after="0"/>
        <w:ind w:left="0" w:right="0"/>
      </w:pPr>
    </w:p>
    <w:p>
      <w:pPr>
        <w:autoSpaceDN w:val="0"/>
        <w:tabs>
          <w:tab w:pos="788" w:val="left"/>
        </w:tabs>
        <w:autoSpaceDE w:val="0"/>
        <w:widowControl/>
        <w:spacing w:line="456" w:lineRule="exact" w:before="0" w:after="0"/>
        <w:ind w:left="148" w:right="144" w:firstLine="0"/>
        <w:jc w:val="left"/>
      </w:pPr>
      <w:r>
        <w:tab/>
      </w:r>
      <w:r>
        <w:rPr>
          <w:rFonts w:ascii="bs5IVuhn+FangSong_GB2312" w:hAnsi="bs5IVuhn+FangSong_GB2312" w:eastAsia="bs5IVuhn+FangSong_GB2312"/>
          <w:color w:val="000000"/>
          <w:sz w:val="32"/>
        </w:rPr>
        <w:t>十一、经营支出：指事业单位在专业业务活动及其辅助活动</w:t>
      </w:r>
      <w:r>
        <w:rPr>
          <w:rFonts w:ascii="bs5IVuhn+FangSong_GB2312" w:hAnsi="bs5IVuhn+FangSong_GB2312" w:eastAsia="bs5IVuhn+FangSong_GB2312"/>
          <w:color w:val="000000"/>
          <w:sz w:val="32"/>
        </w:rPr>
        <w:t>之外开展非独立核算经营活动发生的支出。</w:t>
      </w:r>
    </w:p>
    <w:p>
      <w:pPr>
        <w:autoSpaceDN w:val="0"/>
        <w:autoSpaceDE w:val="0"/>
        <w:widowControl/>
        <w:spacing w:line="590" w:lineRule="exact" w:before="0" w:after="0"/>
        <w:ind w:left="148" w:right="180" w:firstLine="640"/>
        <w:jc w:val="both"/>
      </w:pPr>
      <w:r>
        <w:rPr>
          <w:rFonts w:ascii="bs5IVuhn+FangSong_GB2312" w:hAnsi="bs5IVuhn+FangSong_GB2312" w:eastAsia="bs5IVuhn+FangSong_GB2312"/>
          <w:color w:val="000000"/>
          <w:sz w:val="32"/>
        </w:rPr>
        <w:t>十二、工资福利支出：单位支付给在职职工和编制外长期聘</w:t>
      </w:r>
      <w:r>
        <w:rPr>
          <w:rFonts w:ascii="bs5IVuhn+FangSong_GB2312" w:hAnsi="bs5IVuhn+FangSong_GB2312" w:eastAsia="bs5IVuhn+FangSong_GB2312"/>
          <w:color w:val="000000"/>
          <w:sz w:val="32"/>
        </w:rPr>
        <w:t>用人员的各类劳动报酬，以及为上述人员缴纳的各项社会保险费</w:t>
      </w:r>
      <w:r>
        <w:rPr>
          <w:rFonts w:ascii="bs5IVuhn+FangSong_GB2312" w:hAnsi="bs5IVuhn+FangSong_GB2312" w:eastAsia="bs5IVuhn+FangSong_GB2312"/>
          <w:color w:val="000000"/>
          <w:sz w:val="32"/>
        </w:rPr>
        <w:t>等。</w:t>
      </w:r>
    </w:p>
    <w:p>
      <w:pPr>
        <w:autoSpaceDN w:val="0"/>
        <w:autoSpaceDE w:val="0"/>
        <w:widowControl/>
        <w:spacing w:line="320" w:lineRule="exact" w:before="272" w:after="0"/>
        <w:ind w:left="788" w:right="0" w:firstLine="0"/>
        <w:jc w:val="left"/>
      </w:pPr>
      <w:r>
        <w:rPr>
          <w:rFonts w:ascii="bs5IVuhn+FangSong_GB2312" w:hAnsi="bs5IVuhn+FangSong_GB2312" w:eastAsia="bs5IVuhn+FangSong_GB2312"/>
          <w:color w:val="000000"/>
          <w:sz w:val="32"/>
        </w:rPr>
        <w:t>十三、商品和服务支出：单位购买商品和服务的支出。</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十四、对个人和家庭的补助支出：单位用于对个人和家庭的</w:t>
      </w:r>
      <w:r>
        <w:rPr>
          <w:rFonts w:ascii="bs5IVuhn+FangSong_GB2312" w:hAnsi="bs5IVuhn+FangSong_GB2312" w:eastAsia="bs5IVuhn+FangSong_GB2312"/>
          <w:color w:val="000000"/>
          <w:sz w:val="32"/>
        </w:rPr>
        <w:t>补助支出。</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十五、结余分配：指事业单位按照会计制度规定缴纳的所得</w:t>
      </w:r>
      <w:r>
        <w:rPr>
          <w:rFonts w:ascii="bs5IVuhn+FangSong_GB2312" w:hAnsi="bs5IVuhn+FangSong_GB2312" w:eastAsia="bs5IVuhn+FangSong_GB2312"/>
          <w:color w:val="000000"/>
          <w:sz w:val="32"/>
        </w:rPr>
        <w:t>税、提取的专用结余以及转入非财政拨款结余的金额等。</w:t>
      </w:r>
    </w:p>
    <w:p>
      <w:pPr>
        <w:autoSpaceDN w:val="0"/>
        <w:tabs>
          <w:tab w:pos="788" w:val="left"/>
        </w:tabs>
        <w:autoSpaceDE w:val="0"/>
        <w:widowControl/>
        <w:spacing w:line="590" w:lineRule="exact" w:before="0" w:after="0"/>
        <w:ind w:left="148" w:right="144" w:firstLine="0"/>
        <w:jc w:val="left"/>
      </w:pPr>
      <w:r>
        <w:tab/>
      </w:r>
      <w:r>
        <w:rPr>
          <w:rFonts w:ascii="bs5IVuhn+FangSong_GB2312" w:hAnsi="bs5IVuhn+FangSong_GB2312" w:eastAsia="bs5IVuhn+FangSong_GB2312"/>
          <w:color w:val="000000"/>
          <w:sz w:val="32"/>
        </w:rPr>
        <w:t>十六、年末结转和结余：指单位按有关规定结转到下年或以</w:t>
      </w:r>
      <w:r>
        <w:rPr>
          <w:rFonts w:ascii="bs5IVuhn+FangSong_GB2312" w:hAnsi="bs5IVuhn+FangSong_GB2312" w:eastAsia="bs5IVuhn+FangSong_GB2312"/>
          <w:color w:val="000000"/>
          <w:sz w:val="32"/>
        </w:rPr>
        <w:t>后年度继续使用的资金，或项目已完成等产生的结余资金。</w:t>
      </w:r>
    </w:p>
    <w:p>
      <w:pPr>
        <w:autoSpaceDN w:val="0"/>
        <w:autoSpaceDE w:val="0"/>
        <w:widowControl/>
        <w:spacing w:line="590" w:lineRule="exact" w:before="0" w:after="0"/>
        <w:ind w:left="148" w:right="0" w:firstLine="640"/>
        <w:jc w:val="left"/>
      </w:pPr>
      <w:r>
        <w:rPr>
          <w:rFonts w:ascii="bs5IVuhn+FangSong_GB2312" w:hAnsi="bs5IVuhn+FangSong_GB2312" w:eastAsia="bs5IVuhn+FangSong_GB2312"/>
          <w:color w:val="000000"/>
          <w:sz w:val="32"/>
        </w:rPr>
        <w:t>十七、一般公共预算财政拨款“三公”经费：纳入同级财政</w:t>
      </w:r>
      <w:r>
        <w:rPr>
          <w:rFonts w:ascii="bs5IVuhn+FangSong_GB2312" w:hAnsi="bs5IVuhn+FangSong_GB2312" w:eastAsia="bs5IVuhn+FangSong_GB2312"/>
          <w:color w:val="000000"/>
          <w:sz w:val="32"/>
        </w:rPr>
        <w:t>一般公共预算管理“三公”经费，指单位使用一般公共预算财政</w:t>
      </w:r>
      <w:r>
        <w:rPr>
          <w:rFonts w:ascii="bs5IVuhn+FangSong_GB2312" w:hAnsi="bs5IVuhn+FangSong_GB2312" w:eastAsia="bs5IVuhn+FangSong_GB2312"/>
          <w:color w:val="000000"/>
          <w:sz w:val="32"/>
        </w:rPr>
        <w:t>拨款安排的因公出国（境）费、公务用车购置及运行费和公务接</w:t>
      </w:r>
      <w:r>
        <w:rPr>
          <w:rFonts w:ascii="bs5IVuhn+FangSong_GB2312" w:hAnsi="bs5IVuhn+FangSong_GB2312" w:eastAsia="bs5IVuhn+FangSong_GB2312"/>
          <w:color w:val="000000"/>
          <w:sz w:val="32"/>
        </w:rPr>
        <w:t>待费。其中，因公出国（境）费反映单位公务出国（境）的国际</w:t>
      </w:r>
      <w:r>
        <w:rPr>
          <w:rFonts w:ascii="bs5IVuhn+FangSong_GB2312" w:hAnsi="bs5IVuhn+FangSong_GB2312" w:eastAsia="bs5IVuhn+FangSong_GB2312"/>
          <w:color w:val="000000"/>
          <w:sz w:val="32"/>
        </w:rPr>
        <w:t>旅费、国外城市间交通费、住宿费、伙食费、培训费、公杂费等</w:t>
      </w:r>
      <w:r>
        <w:rPr>
          <w:rFonts w:ascii="bs5IVuhn+FangSong_GB2312" w:hAnsi="bs5IVuhn+FangSong_GB2312" w:eastAsia="bs5IVuhn+FangSong_GB2312"/>
          <w:color w:val="000000"/>
          <w:sz w:val="32"/>
        </w:rPr>
        <w:t>支出；公务用车购置及运行费反映单位公务用车车辆购置支出</w:t>
      </w:r>
      <w:r>
        <w:rPr>
          <w:rFonts w:ascii="bs5IVuhn+FangSong_GB2312" w:hAnsi="bs5IVuhn+FangSong_GB2312" w:eastAsia="bs5IVuhn+FangSong_GB2312"/>
          <w:color w:val="000000"/>
          <w:sz w:val="32"/>
        </w:rPr>
        <w:t>（含车辆购置税、牌照费）及公务用车燃料费、新能源汽车充电</w:t>
      </w:r>
      <w:r>
        <w:rPr>
          <w:rFonts w:ascii="bs5IVuhn+FangSong_GB2312" w:hAnsi="bs5IVuhn+FangSong_GB2312" w:eastAsia="bs5IVuhn+FangSong_GB2312"/>
          <w:color w:val="000000"/>
          <w:sz w:val="32"/>
        </w:rPr>
        <w:t>费、维修费、过路过桥费、保险费、安全奖励费用等支出；公务</w:t>
      </w:r>
      <w:r>
        <w:rPr>
          <w:rFonts w:ascii="bs5IVuhn+FangSong_GB2312" w:hAnsi="bs5IVuhn+FangSong_GB2312" w:eastAsia="bs5IVuhn+FangSong_GB2312"/>
          <w:color w:val="000000"/>
          <w:sz w:val="32"/>
        </w:rPr>
        <w:t>接待费反映单位按规定开支的各类公务接待（含外宾接待）支出。</w:t>
      </w:r>
    </w:p>
    <w:p>
      <w:pPr>
        <w:autoSpaceDN w:val="0"/>
        <w:autoSpaceDE w:val="0"/>
        <w:widowControl/>
        <w:spacing w:line="200" w:lineRule="exact" w:before="1402" w:after="0"/>
        <w:ind w:left="0" w:right="0" w:firstLine="0"/>
        <w:jc w:val="center"/>
      </w:pPr>
      <w:r>
        <w:rPr>
          <w:rFonts w:ascii="Ap9kiCzR+TimesNewRomanPSMT" w:hAnsi="Ap9kiCzR+TimesNewRomanPSMT" w:eastAsia="Ap9kiCzR+TimesNewRomanPSMT"/>
          <w:color w:val="000000"/>
          <w:sz w:val="18"/>
        </w:rPr>
        <w:t>- 28 -</w:t>
      </w:r>
    </w:p>
    <w:p>
      <w:pPr>
        <w:sectPr>
          <w:pgSz w:w="11906" w:h="17238"/>
          <w:pgMar w:top="1062" w:right="1294" w:bottom="496" w:left="1440" w:header="720" w:footer="720" w:gutter="0"/>
          <w:cols w:num="1" w:equalWidth="0" w:space="720">
            <w:col w:w="9172" w:space="0"/>
          </w:cols>
          <w:docGrid w:linePitch="360"/>
        </w:sectPr>
      </w:pPr>
    </w:p>
    <w:p>
      <w:pPr>
        <w:autoSpaceDN w:val="0"/>
        <w:autoSpaceDE w:val="0"/>
        <w:widowControl/>
        <w:spacing w:line="220" w:lineRule="exact" w:before="842" w:after="0"/>
        <w:ind w:left="0" w:right="0"/>
      </w:pPr>
    </w:p>
    <w:p>
      <w:pPr>
        <w:autoSpaceDN w:val="0"/>
        <w:autoSpaceDE w:val="0"/>
        <w:widowControl/>
        <w:spacing w:line="536" w:lineRule="exact" w:before="0" w:after="0"/>
        <w:ind w:left="148" w:right="0" w:firstLine="640"/>
        <w:jc w:val="left"/>
      </w:pPr>
      <w:r>
        <w:rPr>
          <w:rFonts w:ascii="bs5IVuhn+FangSong_GB2312" w:hAnsi="bs5IVuhn+FangSong_GB2312" w:eastAsia="bs5IVuhn+FangSong_GB2312"/>
          <w:color w:val="000000"/>
          <w:sz w:val="32"/>
        </w:rPr>
        <w:t>十八、机关运行经费：为保障行政单位（含参照公务员法管</w:t>
      </w:r>
      <w:r>
        <w:rPr>
          <w:rFonts w:ascii="bs5IVuhn+FangSong_GB2312" w:hAnsi="bs5IVuhn+FangSong_GB2312" w:eastAsia="bs5IVuhn+FangSong_GB2312"/>
          <w:color w:val="000000"/>
          <w:sz w:val="32"/>
        </w:rPr>
        <w:t>理的事业单位）运行用于购买货物和服务的各项资金，包括办公</w:t>
      </w:r>
      <w:r>
        <w:rPr>
          <w:rFonts w:ascii="bs5IVuhn+FangSong_GB2312" w:hAnsi="bs5IVuhn+FangSong_GB2312" w:eastAsia="bs5IVuhn+FangSong_GB2312"/>
          <w:color w:val="000000"/>
          <w:sz w:val="32"/>
        </w:rPr>
        <w:t>及印刷费、邮电费、差旅费、会议费、福利费、日常维修费、</w:t>
      </w:r>
      <w:r>
        <w:rPr>
          <w:rFonts w:ascii="bs5IVuhn+FangSong_GB2312" w:hAnsi="bs5IVuhn+FangSong_GB2312" w:eastAsia="bs5IVuhn+FangSong_GB2312"/>
          <w:color w:val="000000"/>
          <w:sz w:val="32"/>
        </w:rPr>
        <w:t>专用材料费、办公用房水电费、办公用房取暖费、办公用房物</w:t>
      </w:r>
      <w:r>
        <w:rPr>
          <w:rFonts w:ascii="bs5IVuhn+FangSong_GB2312" w:hAnsi="bs5IVuhn+FangSong_GB2312" w:eastAsia="bs5IVuhn+FangSong_GB2312"/>
          <w:color w:val="000000"/>
          <w:sz w:val="32"/>
        </w:rPr>
        <w:t>业管理费、公务用车运行维护费以及其他费用。</w:t>
      </w:r>
    </w:p>
    <w:p>
      <w:pPr>
        <w:autoSpaceDN w:val="0"/>
        <w:autoSpaceDE w:val="0"/>
        <w:widowControl/>
        <w:spacing w:line="200" w:lineRule="exact" w:before="10842" w:after="0"/>
        <w:ind w:left="0" w:right="4262" w:firstLine="0"/>
        <w:jc w:val="right"/>
      </w:pPr>
      <w:r>
        <w:rPr>
          <w:rFonts w:ascii="Ap9kiCzR+TimesNewRomanPSMT" w:hAnsi="Ap9kiCzR+TimesNewRomanPSMT" w:eastAsia="Ap9kiCzR+TimesNewRomanPSMT"/>
          <w:color w:val="000000"/>
          <w:sz w:val="18"/>
        </w:rPr>
        <w:t>- 29 -</w:t>
      </w:r>
    </w:p>
    <w:p>
      <w:pPr>
        <w:sectPr>
          <w:pgSz w:w="11906" w:h="17238"/>
          <w:pgMar w:top="1062" w:right="1440" w:bottom="496" w:left="1440" w:header="720" w:footer="720" w:gutter="0"/>
          <w:cols w:num="1" w:equalWidth="0" w:space="720">
            <w:col w:w="9026" w:space="0"/>
          </w:cols>
          <w:docGrid w:linePitch="360"/>
        </w:sectPr>
      </w:pPr>
    </w:p>
    <w:p>
      <w:pPr>
        <w:autoSpaceDN w:val="0"/>
        <w:autoSpaceDE w:val="0"/>
        <w:widowControl/>
        <w:spacing w:line="204" w:lineRule="exact" w:before="0" w:after="0"/>
        <w:ind w:left="0" w:right="0"/>
      </w:pPr>
    </w:p>
    <w:p>
      <w:pPr>
        <w:autoSpaceDN w:val="0"/>
        <w:autoSpaceDE w:val="0"/>
        <w:widowControl/>
        <w:spacing w:line="234" w:lineRule="exact" w:before="0" w:after="344"/>
        <w:ind w:left="0" w:right="0" w:firstLine="0"/>
        <w:jc w:val="left"/>
      </w:pPr>
      <w:r>
        <w:rPr>
          <w:rFonts w:ascii="Ap9kiCzR+TimesNewRomanPSMT" w:hAnsi="Ap9kiCzR+TimesNewRomanPSMT" w:eastAsia="Ap9kiCzR+TimesNewRomanPSMT"/>
          <w:color w:val="FFFFFF"/>
          <w:sz w:val="21"/>
        </w:rPr>
        <w:t>&lt;PDF_KEY&gt;5a6a30f0d350407bb1f0f25c48ee4ea0</w:t>
      </w:r>
    </w:p>
    <w:tbl>
      <w:tblPr>
        <w:tblW w:type="auto" w:w="0"/>
        <w:tblLayout w:type="fixed"/>
        <w:tblLook w:firstColumn="1" w:firstRow="1" w:lastColumn="0" w:lastRow="0" w:noHBand="0" w:noVBand="1" w:val="04A0"/>
        <w:tblInd w:w="10.0" w:type="dxa"/>
      </w:tblPr>
      <w:tblGrid>
        <w:gridCol w:w="446"/>
        <w:gridCol w:w="554"/>
        <w:gridCol w:w="506"/>
        <w:gridCol w:w="852"/>
        <w:gridCol w:w="514"/>
        <w:gridCol w:w="504"/>
        <w:gridCol w:w="508"/>
        <w:gridCol w:w="514"/>
        <w:gridCol w:w="590"/>
        <w:gridCol w:w="1300"/>
        <w:gridCol w:w="1040"/>
        <w:gridCol w:w="466"/>
        <w:gridCol w:w="692"/>
        <w:gridCol w:w="476"/>
        <w:gridCol w:w="1582"/>
      </w:tblGrid>
      <w:tr>
        <w:trPr>
          <w:trHeight w:hRule="exact" w:val="254"/>
        </w:trPr>
        <w:tc>
          <w:tcPr>
            <w:tcW w:type="dxa" w:w="10544"/>
            <w:gridSpan w:val="15"/>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84" w:lineRule="exact" w:before="42" w:after="0"/>
              <w:ind w:left="0" w:right="0" w:firstLine="0"/>
              <w:jc w:val="center"/>
            </w:pPr>
            <w:r>
              <w:rPr>
                <w:rFonts w:ascii="ZwZeKZRB+SimSun" w:hAnsi="ZwZeKZRB+SimSun" w:eastAsia="ZwZeKZRB+SimSun"/>
                <w:color w:val="000000"/>
                <w:sz w:val="19"/>
              </w:rPr>
              <w:t xml:space="preserve">项目支出绩效自评情况表 </w:t>
            </w:r>
          </w:p>
        </w:tc>
      </w:tr>
      <w:tr>
        <w:trPr>
          <w:trHeight w:hRule="exact" w:val="186"/>
        </w:trPr>
        <w:tc>
          <w:tcPr>
            <w:tcW w:type="dxa" w:w="10544"/>
            <w:gridSpan w:val="15"/>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08" w:lineRule="exact" w:before="26" w:after="0"/>
              <w:ind w:left="0" w:right="0" w:firstLine="0"/>
              <w:jc w:val="center"/>
            </w:pPr>
            <w:r>
              <w:rPr>
                <w:w w:val="104.33205691250889"/>
                <w:rFonts w:ascii="ZwZeKZRB+SimSun" w:hAnsi="ZwZeKZRB+SimSun" w:eastAsia="ZwZeKZRB+SimSun"/>
                <w:color w:val="000000"/>
                <w:sz w:val="11"/>
              </w:rPr>
              <w:t>2025年09月</w:t>
            </w:r>
          </w:p>
        </w:tc>
      </w:tr>
      <w:tr>
        <w:trPr>
          <w:trHeight w:hRule="exact" w:val="134"/>
        </w:trPr>
        <w:tc>
          <w:tcPr>
            <w:tcW w:type="dxa" w:w="1506"/>
            <w:gridSpan w:val="3"/>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08" w:lineRule="exact" w:before="16" w:after="0"/>
              <w:ind w:left="0" w:right="0" w:firstLine="0"/>
              <w:jc w:val="center"/>
            </w:pPr>
            <w:r>
              <w:rPr>
                <w:w w:val="104.33205691250889"/>
                <w:rFonts w:ascii="ZwZeKZRB+SimSun" w:hAnsi="ZwZeKZRB+SimSun" w:eastAsia="ZwZeKZRB+SimSun"/>
                <w:color w:val="000000"/>
                <w:sz w:val="11"/>
              </w:rPr>
              <w:t>项目名称</w:t>
            </w:r>
          </w:p>
        </w:tc>
        <w:tc>
          <w:tcPr>
            <w:tcW w:type="dxa" w:w="9038"/>
            <w:gridSpan w:val="12"/>
            <w:tcBorders>
              <w:left w:sz="4.0" w:val="single" w:color="000000"/>
              <w:top w:sz="3.200000047683716" w:val="single" w:color="000000"/>
              <w:right w:sz="3.200000047683716" w:val="single" w:color="000000"/>
              <w:bottom w:sz="4.0" w:val="single" w:color="000000"/>
            </w:tcBorders>
            <w:tcMar>
              <w:start w:w="0" w:type="dxa"/>
              <w:end w:w="0" w:type="dxa"/>
            </w:tcMar>
          </w:tcPr>
          <w:p>
            <w:pPr>
              <w:autoSpaceDN w:val="0"/>
              <w:autoSpaceDE w:val="0"/>
              <w:widowControl/>
              <w:spacing w:line="110" w:lineRule="exact" w:before="14" w:after="0"/>
              <w:ind w:left="0" w:right="0" w:firstLine="0"/>
              <w:jc w:val="center"/>
            </w:pPr>
            <w:r>
              <w:rPr>
                <w:w w:val="104.33205691250889"/>
                <w:rFonts w:ascii="ZwZeKZRB+SimSun" w:hAnsi="ZwZeKZRB+SimSun" w:eastAsia="ZwZeKZRB+SimSun"/>
                <w:color w:val="000000"/>
                <w:sz w:val="11"/>
              </w:rPr>
              <w:t>【基本运转】2024年市直事业单位招聘考试笔试经费</w:t>
            </w:r>
          </w:p>
        </w:tc>
      </w:tr>
      <w:tr>
        <w:trPr>
          <w:trHeight w:hRule="exact" w:val="134"/>
        </w:trPr>
        <w:tc>
          <w:tcPr>
            <w:tcW w:type="dxa" w:w="1506"/>
            <w:gridSpan w:val="3"/>
            <w:tcBorders>
              <w:left w:sz="4.0" w:val="single" w:color="000000"/>
              <w:top w:sz="4.0" w:val="single" w:color="000000"/>
              <w:right w:sz="4.0"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主管部门</w:t>
            </w:r>
          </w:p>
        </w:tc>
        <w:tc>
          <w:tcPr>
            <w:tcW w:type="dxa" w:w="2378"/>
            <w:gridSpan w:val="4"/>
            <w:tcBorders>
              <w:left w:sz="4.0" w:val="single" w:color="000000"/>
              <w:top w:sz="4.0" w:val="single" w:color="000000"/>
              <w:right w:sz="4.0"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许昌市人力资源和社会保障局</w:t>
            </w:r>
          </w:p>
        </w:tc>
        <w:tc>
          <w:tcPr>
            <w:tcW w:type="dxa" w:w="2404"/>
            <w:gridSpan w:val="3"/>
            <w:tcBorders>
              <w:left w:sz="4.0" w:val="single" w:color="000000"/>
              <w:top w:sz="4.0" w:val="single" w:color="000000"/>
              <w:right w:sz="3.200000047683716"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实施单位</w:t>
            </w:r>
          </w:p>
        </w:tc>
        <w:tc>
          <w:tcPr>
            <w:tcW w:type="dxa" w:w="4256"/>
            <w:gridSpan w:val="5"/>
            <w:tcBorders>
              <w:left w:sz="3.200000047683716" w:val="single" w:color="000000"/>
              <w:top w:sz="4.0" w:val="single" w:color="000000"/>
              <w:right w:sz="3.200000047683716"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许昌市职业技能等级评价中心</w:t>
            </w:r>
          </w:p>
        </w:tc>
      </w:tr>
      <w:tr>
        <w:trPr>
          <w:trHeight w:hRule="exact" w:val="136"/>
        </w:trPr>
        <w:tc>
          <w:tcPr>
            <w:tcW w:type="dxa" w:w="1506"/>
            <w:gridSpan w:val="3"/>
            <w:vMerge w:val="restart"/>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24" w:after="0"/>
              <w:ind w:left="0" w:right="0" w:firstLine="0"/>
              <w:jc w:val="center"/>
            </w:pPr>
            <w:r>
              <w:rPr>
                <w:w w:val="104.33205691250889"/>
                <w:rFonts w:ascii="ZwZeKZRB+SimSun" w:hAnsi="ZwZeKZRB+SimSun" w:eastAsia="ZwZeKZRB+SimSun"/>
                <w:color w:val="000000"/>
                <w:sz w:val="11"/>
              </w:rPr>
              <w:t xml:space="preserve">项目资金 </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(万元)</w:t>
            </w:r>
          </w:p>
        </w:tc>
        <w:tc>
          <w:tcPr>
            <w:tcW w:type="dxa" w:w="1366"/>
            <w:gridSpan w:val="2"/>
            <w:tcBorders>
              <w:left w:sz="4.0" w:val="single" w:color="000000"/>
              <w:top w:sz="4.0" w:val="single" w:color="000000"/>
              <w:right w:sz="4.0" w:val="single" w:color="000000"/>
              <w:bottom w:sz="4.0" w:val="single" w:color="000000"/>
            </w:tcBorders>
            <w:tcMar>
              <w:start w:w="0" w:type="dxa"/>
              <w:end w:w="0" w:type="dxa"/>
            </w:tcMar>
          </w:tcPr>
          <w:p/>
        </w:tc>
        <w:tc>
          <w:tcPr>
            <w:tcW w:type="dxa" w:w="1012"/>
            <w:gridSpan w:val="2"/>
            <w:tcBorders>
              <w:left w:sz="4.0" w:val="single" w:color="000000"/>
              <w:top w:sz="4.0" w:val="single" w:color="000000"/>
              <w:right w:sz="4.0"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年初预算数</w:t>
            </w:r>
          </w:p>
        </w:tc>
        <w:tc>
          <w:tcPr>
            <w:tcW w:type="dxa" w:w="1104"/>
            <w:gridSpan w:val="2"/>
            <w:tcBorders>
              <w:left w:sz="4.0" w:val="single" w:color="000000"/>
              <w:top w:sz="4.0" w:val="single" w:color="000000"/>
              <w:right w:sz="4.0"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全年预算数</w:t>
            </w:r>
          </w:p>
        </w:tc>
        <w:tc>
          <w:tcPr>
            <w:tcW w:type="dxa" w:w="1300"/>
            <w:tcBorders>
              <w:left w:sz="4.0" w:val="single" w:color="000000"/>
              <w:top w:sz="4.0" w:val="single" w:color="000000"/>
              <w:right w:sz="3.200000047683716"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全年执行数</w:t>
            </w:r>
          </w:p>
        </w:tc>
        <w:tc>
          <w:tcPr>
            <w:tcW w:type="dxa" w:w="1506"/>
            <w:gridSpan w:val="2"/>
            <w:tcBorders>
              <w:left w:sz="3.200000047683716" w:val="single" w:color="000000"/>
              <w:top w:sz="4.0" w:val="single" w:color="000000"/>
              <w:right w:sz="3.200000047683716"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分值</w:t>
            </w:r>
          </w:p>
        </w:tc>
        <w:tc>
          <w:tcPr>
            <w:tcW w:type="dxa" w:w="692"/>
            <w:tcBorders>
              <w:left w:sz="3.200000047683716" w:val="single" w:color="000000"/>
              <w:top w:sz="4.0" w:val="single" w:color="000000"/>
              <w:right w:sz="4.0"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执行率</w:t>
            </w:r>
          </w:p>
        </w:tc>
        <w:tc>
          <w:tcPr>
            <w:tcW w:type="dxa" w:w="2058"/>
            <w:gridSpan w:val="2"/>
            <w:tcBorders>
              <w:left w:sz="4.0" w:val="single" w:color="000000"/>
              <w:top w:sz="4.0" w:val="single" w:color="000000"/>
              <w:right w:sz="3.200000047683716" w:val="single" w:color="000000"/>
              <w:bottom w:sz="4.0" w:val="single" w:color="000000"/>
            </w:tcBorders>
            <w:tcMar>
              <w:start w:w="0" w:type="dxa"/>
              <w:end w:w="0" w:type="dxa"/>
            </w:tcMar>
          </w:tcPr>
          <w:p>
            <w:pPr>
              <w:autoSpaceDN w:val="0"/>
              <w:autoSpaceDE w:val="0"/>
              <w:widowControl/>
              <w:spacing w:line="108" w:lineRule="exact" w:before="18" w:after="0"/>
              <w:ind w:left="0" w:right="0" w:firstLine="0"/>
              <w:jc w:val="center"/>
            </w:pPr>
            <w:r>
              <w:rPr>
                <w:w w:val="104.33205691250889"/>
                <w:rFonts w:ascii="ZwZeKZRB+SimSun" w:hAnsi="ZwZeKZRB+SimSun" w:eastAsia="ZwZeKZRB+SimSun"/>
                <w:color w:val="000000"/>
                <w:sz w:val="11"/>
              </w:rPr>
              <w:t>得分</w:t>
            </w:r>
          </w:p>
        </w:tc>
      </w:tr>
      <w:tr>
        <w:trPr>
          <w:trHeight w:hRule="exact" w:val="146"/>
        </w:trPr>
        <w:tc>
          <w:tcPr>
            <w:tcW w:type="dxa" w:w="2880"/>
            <w:gridSpan w:val="3"/>
            <w:vMerge/>
            <w:tcBorders>
              <w:left w:sz="4.0" w:val="single" w:color="000000"/>
              <w:top w:sz="4.0" w:val="single" w:color="000000"/>
              <w:right w:sz="4.0" w:val="single" w:color="000000"/>
              <w:bottom w:sz="3.200000047683716" w:val="single" w:color="000000"/>
            </w:tcBorders>
          </w:tcPr>
          <w:p/>
        </w:tc>
        <w:tc>
          <w:tcPr>
            <w:tcW w:type="dxa" w:w="1366"/>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 xml:space="preserve"> 年度资金总额：</w:t>
            </w:r>
          </w:p>
        </w:tc>
        <w:tc>
          <w:tcPr>
            <w:tcW w:type="dxa" w:w="1012"/>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92.91</w:t>
            </w:r>
          </w:p>
        </w:tc>
        <w:tc>
          <w:tcPr>
            <w:tcW w:type="dxa" w:w="1104"/>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92.91</w:t>
            </w:r>
          </w:p>
        </w:tc>
        <w:tc>
          <w:tcPr>
            <w:tcW w:type="dxa" w:w="1300"/>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45.43</w:t>
            </w:r>
          </w:p>
        </w:tc>
        <w:tc>
          <w:tcPr>
            <w:tcW w:type="dxa" w:w="1506"/>
            <w:gridSpan w:val="2"/>
            <w:tcBorders>
              <w:left w:sz="3.200000047683716"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10</w:t>
            </w:r>
          </w:p>
        </w:tc>
        <w:tc>
          <w:tcPr>
            <w:tcW w:type="dxa" w:w="692"/>
            <w:tcBorders>
              <w:left w:sz="3.200000047683716"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48.9 %</w:t>
            </w:r>
          </w:p>
        </w:tc>
        <w:tc>
          <w:tcPr>
            <w:tcW w:type="dxa" w:w="2058"/>
            <w:gridSpan w:val="2"/>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22" w:after="0"/>
              <w:ind w:left="0" w:right="0" w:firstLine="0"/>
              <w:jc w:val="center"/>
            </w:pPr>
            <w:r>
              <w:rPr>
                <w:w w:val="104.33205691250889"/>
                <w:rFonts w:ascii="ZwZeKZRB+SimSun" w:hAnsi="ZwZeKZRB+SimSun" w:eastAsia="ZwZeKZRB+SimSun"/>
                <w:color w:val="000000"/>
                <w:sz w:val="11"/>
              </w:rPr>
              <w:t>4.89</w:t>
            </w:r>
          </w:p>
        </w:tc>
      </w:tr>
      <w:tr>
        <w:trPr>
          <w:trHeight w:hRule="exact" w:val="134"/>
        </w:trPr>
        <w:tc>
          <w:tcPr>
            <w:tcW w:type="dxa" w:w="2880"/>
            <w:gridSpan w:val="3"/>
            <w:vMerge/>
            <w:tcBorders>
              <w:left w:sz="4.0" w:val="single" w:color="000000"/>
              <w:top w:sz="4.0"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财政拨款</w:t>
            </w:r>
          </w:p>
        </w:tc>
        <w:tc>
          <w:tcPr>
            <w:tcW w:type="dxa" w:w="101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92.91</w:t>
            </w:r>
          </w:p>
        </w:tc>
        <w:tc>
          <w:tcPr>
            <w:tcW w:type="dxa" w:w="11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92.91</w:t>
            </w:r>
          </w:p>
        </w:tc>
        <w:tc>
          <w:tcPr>
            <w:tcW w:type="dxa" w:w="1300"/>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45.43</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48.9 %</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2880"/>
            <w:gridSpan w:val="3"/>
            <w:vMerge/>
            <w:tcBorders>
              <w:left w:sz="4.0" w:val="single" w:color="000000"/>
              <w:top w:sz="4.0"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财政专户管理资金</w:t>
            </w:r>
          </w:p>
        </w:tc>
        <w:tc>
          <w:tcPr>
            <w:tcW w:type="dxa" w:w="101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1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300"/>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0.00%</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2880"/>
            <w:gridSpan w:val="3"/>
            <w:vMerge/>
            <w:tcBorders>
              <w:left w:sz="4.0" w:val="single" w:color="000000"/>
              <w:top w:sz="4.0"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单位资金</w:t>
            </w:r>
          </w:p>
        </w:tc>
        <w:tc>
          <w:tcPr>
            <w:tcW w:type="dxa" w:w="101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1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300"/>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0.00%</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1506"/>
            <w:gridSpan w:val="3"/>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84" w:after="0"/>
              <w:ind w:left="0" w:right="0" w:firstLine="0"/>
              <w:jc w:val="center"/>
            </w:pPr>
            <w:r>
              <w:rPr>
                <w:w w:val="104.33205691250889"/>
                <w:rFonts w:ascii="ZwZeKZRB+SimSun" w:hAnsi="ZwZeKZRB+SimSun" w:eastAsia="ZwZeKZRB+SimSun"/>
                <w:color w:val="000000"/>
                <w:sz w:val="11"/>
              </w:rPr>
              <w:t>资金管理情况</w:t>
            </w:r>
          </w:p>
        </w:tc>
        <w:tc>
          <w:tcPr>
            <w:tcW w:type="dxa" w:w="2378"/>
            <w:gridSpan w:val="4"/>
            <w:tcBorders>
              <w:left w:sz="4.0" w:val="single" w:color="000000"/>
              <w:top w:sz="3.200000047683716" w:val="single" w:color="000000"/>
              <w:right w:sz="4.0" w:val="single" w:color="000000"/>
              <w:bottom w:sz="3.200000047683716" w:val="single" w:color="000000"/>
            </w:tcBorders>
            <w:tcMar>
              <w:start w:w="0" w:type="dxa"/>
              <w:end w:w="0" w:type="dxa"/>
            </w:tcMar>
          </w:tcPr>
          <w:p/>
        </w:tc>
        <w:tc>
          <w:tcPr>
            <w:tcW w:type="dxa" w:w="2404"/>
            <w:gridSpan w:val="3"/>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情况说明</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分值（20）</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得分</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存在问题和改进措施</w:t>
            </w:r>
          </w:p>
        </w:tc>
      </w:tr>
      <w:tr>
        <w:trPr>
          <w:trHeight w:hRule="exact" w:val="134"/>
        </w:trPr>
        <w:tc>
          <w:tcPr>
            <w:tcW w:type="dxa" w:w="2880"/>
            <w:gridSpan w:val="3"/>
            <w:vMerge/>
            <w:tcBorders>
              <w:left w:sz="4.0" w:val="single" w:color="000000"/>
              <w:top w:sz="3.200000047683716" w:val="single" w:color="000000"/>
              <w:right w:sz="4.0" w:val="single" w:color="000000"/>
              <w:bottom w:sz="3.200000047683716" w:val="single" w:color="000000"/>
            </w:tcBorders>
          </w:tcPr>
          <w:p/>
        </w:tc>
        <w:tc>
          <w:tcPr>
            <w:tcW w:type="dxa" w:w="2378"/>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安排科学性</w:t>
            </w:r>
          </w:p>
        </w:tc>
        <w:tc>
          <w:tcPr>
            <w:tcW w:type="dxa" w:w="2404"/>
            <w:gridSpan w:val="3"/>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科学</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134"/>
        </w:trPr>
        <w:tc>
          <w:tcPr>
            <w:tcW w:type="dxa" w:w="2880"/>
            <w:gridSpan w:val="3"/>
            <w:vMerge/>
            <w:tcBorders>
              <w:left w:sz="4.0" w:val="single" w:color="000000"/>
              <w:top w:sz="3.200000047683716" w:val="single" w:color="000000"/>
              <w:right w:sz="4.0" w:val="single" w:color="000000"/>
              <w:bottom w:sz="3.200000047683716" w:val="single" w:color="000000"/>
            </w:tcBorders>
          </w:tcPr>
          <w:p/>
        </w:tc>
        <w:tc>
          <w:tcPr>
            <w:tcW w:type="dxa" w:w="2378"/>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拨付合规性</w:t>
            </w:r>
          </w:p>
        </w:tc>
        <w:tc>
          <w:tcPr>
            <w:tcW w:type="dxa" w:w="2404"/>
            <w:gridSpan w:val="3"/>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合规</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134"/>
        </w:trPr>
        <w:tc>
          <w:tcPr>
            <w:tcW w:type="dxa" w:w="2880"/>
            <w:gridSpan w:val="3"/>
            <w:vMerge/>
            <w:tcBorders>
              <w:left w:sz="4.0" w:val="single" w:color="000000"/>
              <w:top w:sz="3.200000047683716" w:val="single" w:color="000000"/>
              <w:right w:sz="4.0" w:val="single" w:color="000000"/>
              <w:bottom w:sz="3.200000047683716" w:val="single" w:color="000000"/>
            </w:tcBorders>
          </w:tcPr>
          <w:p/>
        </w:tc>
        <w:tc>
          <w:tcPr>
            <w:tcW w:type="dxa" w:w="2378"/>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使用规范性</w:t>
            </w:r>
          </w:p>
        </w:tc>
        <w:tc>
          <w:tcPr>
            <w:tcW w:type="dxa" w:w="2404"/>
            <w:gridSpan w:val="3"/>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规范</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134"/>
        </w:trPr>
        <w:tc>
          <w:tcPr>
            <w:tcW w:type="dxa" w:w="2880"/>
            <w:gridSpan w:val="3"/>
            <w:vMerge/>
            <w:tcBorders>
              <w:left w:sz="4.0" w:val="single" w:color="000000"/>
              <w:top w:sz="3.200000047683716" w:val="single" w:color="000000"/>
              <w:right w:sz="4.0" w:val="single" w:color="000000"/>
              <w:bottom w:sz="3.200000047683716" w:val="single" w:color="000000"/>
            </w:tcBorders>
          </w:tcPr>
          <w:p/>
        </w:tc>
        <w:tc>
          <w:tcPr>
            <w:tcW w:type="dxa" w:w="2378"/>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预算绩效管理情况</w:t>
            </w:r>
          </w:p>
        </w:tc>
        <w:tc>
          <w:tcPr>
            <w:tcW w:type="dxa" w:w="2404"/>
            <w:gridSpan w:val="3"/>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全程按照预算绩效相关规定执行</w:t>
            </w:r>
          </w:p>
        </w:tc>
        <w:tc>
          <w:tcPr>
            <w:tcW w:type="dxa" w:w="1506"/>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8"/>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204"/>
        </w:trPr>
        <w:tc>
          <w:tcPr>
            <w:tcW w:type="dxa" w:w="446"/>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34" w:after="0"/>
              <w:ind w:left="0" w:right="0" w:firstLine="0"/>
              <w:jc w:val="center"/>
            </w:pPr>
            <w:r>
              <w:rPr>
                <w:w w:val="104.33205691250889"/>
                <w:rFonts w:ascii="ZwZeKZRB+SimSun" w:hAnsi="ZwZeKZRB+SimSun" w:eastAsia="ZwZeKZRB+SimSun"/>
                <w:color w:val="000000"/>
                <w:sz w:val="11"/>
              </w:rPr>
              <w:t>年度总</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体目标</w:t>
            </w:r>
          </w:p>
        </w:tc>
        <w:tc>
          <w:tcPr>
            <w:tcW w:type="dxa" w:w="3438"/>
            <w:gridSpan w:val="6"/>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52" w:after="0"/>
              <w:ind w:left="0" w:right="0" w:firstLine="0"/>
              <w:jc w:val="center"/>
            </w:pPr>
            <w:r>
              <w:rPr>
                <w:w w:val="104.33205691250889"/>
                <w:rFonts w:ascii="ZwZeKZRB+SimSun" w:hAnsi="ZwZeKZRB+SimSun" w:eastAsia="ZwZeKZRB+SimSun"/>
                <w:color w:val="000000"/>
                <w:sz w:val="11"/>
              </w:rPr>
              <w:t>预期目标</w:t>
            </w:r>
          </w:p>
        </w:tc>
        <w:tc>
          <w:tcPr>
            <w:tcW w:type="dxa" w:w="6660"/>
            <w:gridSpan w:val="8"/>
            <w:tcBorders>
              <w:left w:sz="4.0" w:val="single" w:color="000000"/>
              <w:top w:sz="3.200000047683716" w:val="single" w:color="000000"/>
              <w:right w:sz="3.200000047683716" w:val="single" w:color="000000"/>
              <w:bottom w:sz="4.0" w:val="single" w:color="000000"/>
            </w:tcBorders>
            <w:tcMar>
              <w:start w:w="0" w:type="dxa"/>
              <w:end w:w="0" w:type="dxa"/>
            </w:tcMar>
          </w:tcPr>
          <w:p>
            <w:pPr>
              <w:autoSpaceDN w:val="0"/>
              <w:autoSpaceDE w:val="0"/>
              <w:widowControl/>
              <w:spacing w:line="110" w:lineRule="exact" w:before="52" w:after="0"/>
              <w:ind w:left="0" w:right="0" w:firstLine="0"/>
              <w:jc w:val="center"/>
            </w:pPr>
            <w:r>
              <w:rPr>
                <w:w w:val="104.33205691250889"/>
                <w:rFonts w:ascii="ZwZeKZRB+SimSun" w:hAnsi="ZwZeKZRB+SimSun" w:eastAsia="ZwZeKZRB+SimSun"/>
                <w:color w:val="000000"/>
                <w:sz w:val="11"/>
              </w:rPr>
              <w:t>实际完成情况</w:t>
            </w:r>
          </w:p>
        </w:tc>
      </w:tr>
      <w:tr>
        <w:trPr>
          <w:trHeight w:hRule="exact" w:val="700"/>
        </w:trPr>
        <w:tc>
          <w:tcPr>
            <w:tcW w:type="dxa" w:w="960"/>
            <w:vMerge/>
            <w:tcBorders>
              <w:left w:sz="4.0" w:val="single" w:color="000000"/>
              <w:top w:sz="3.200000047683716" w:val="single" w:color="000000"/>
              <w:right w:sz="4.0" w:val="single" w:color="000000"/>
              <w:bottom w:sz="3.200000047683716" w:val="single" w:color="000000"/>
            </w:tcBorders>
          </w:tcPr>
          <w:p/>
        </w:tc>
        <w:tc>
          <w:tcPr>
            <w:tcW w:type="dxa" w:w="3438"/>
            <w:gridSpan w:val="6"/>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36" w:lineRule="exact" w:before="0" w:after="0"/>
              <w:ind w:left="68" w:right="0" w:firstLine="0"/>
              <w:jc w:val="left"/>
            </w:pPr>
            <w:r>
              <w:rPr>
                <w:w w:val="104.33205691250889"/>
                <w:rFonts w:ascii="ZwZeKZRB+SimSun" w:hAnsi="ZwZeKZRB+SimSun" w:eastAsia="ZwZeKZRB+SimSun"/>
                <w:color w:val="000000"/>
                <w:sz w:val="11"/>
              </w:rPr>
              <w:t>完成市委市政府安排的2024年市直事业单位公开招聘工作人员</w:t>
            </w:r>
            <w:r>
              <w:rPr>
                <w:w w:val="104.33205691250889"/>
                <w:rFonts w:ascii="ZwZeKZRB+SimSun" w:hAnsi="ZwZeKZRB+SimSun" w:eastAsia="ZwZeKZRB+SimSun"/>
                <w:color w:val="000000"/>
                <w:sz w:val="11"/>
              </w:rPr>
              <w:t>完成2024年度许昌市直事业单位招聘工作人员笔试考试的考务工</w:t>
            </w:r>
            <w:r>
              <w:rPr>
                <w:w w:val="104.33205691250889"/>
                <w:rFonts w:ascii="ZwZeKZRB+SimSun" w:hAnsi="ZwZeKZRB+SimSun" w:eastAsia="ZwZeKZRB+SimSun"/>
                <w:color w:val="000000"/>
                <w:sz w:val="11"/>
              </w:rPr>
              <w:t>笔试考试工作，以防范化解考试风险为目标，主动适应疫情防</w:t>
            </w:r>
            <w:r>
              <w:rPr>
                <w:w w:val="104.33205691250889"/>
                <w:rFonts w:ascii="ZwZeKZRB+SimSun" w:hAnsi="ZwZeKZRB+SimSun" w:eastAsia="ZwZeKZRB+SimSun"/>
                <w:color w:val="000000"/>
                <w:sz w:val="11"/>
              </w:rPr>
              <w:t>控常态化形势，确保考场质量达标，维护好考区秩序，保证考</w:t>
            </w:r>
            <w:r>
              <w:rPr>
                <w:w w:val="104.33205691250889"/>
                <w:rFonts w:ascii="ZwZeKZRB+SimSun" w:hAnsi="ZwZeKZRB+SimSun" w:eastAsia="ZwZeKZRB+SimSun"/>
                <w:color w:val="000000"/>
                <w:sz w:val="11"/>
              </w:rPr>
              <w:t>试公平公正的环境，为我市吸纳更多的人才。同时，做到及时</w:t>
            </w:r>
            <w:r>
              <w:rPr>
                <w:w w:val="104.33205691250889"/>
                <w:rFonts w:ascii="ZwZeKZRB+SimSun" w:hAnsi="ZwZeKZRB+SimSun" w:eastAsia="ZwZeKZRB+SimSun"/>
                <w:color w:val="000000"/>
                <w:sz w:val="11"/>
              </w:rPr>
              <w:t>足量的为考务工作人员发放劳务费用。在做好各部门协调配合</w:t>
            </w:r>
          </w:p>
        </w:tc>
        <w:tc>
          <w:tcPr>
            <w:tcW w:type="dxa" w:w="6660"/>
            <w:gridSpan w:val="8"/>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作。预算金额为参照以前年度该考试实际支出，由于2024年该考试考生数量较以前年度减少，所以相对应的支出减少。根据</w:t>
            </w:r>
          </w:p>
        </w:tc>
      </w:tr>
      <w:tr>
        <w:trPr>
          <w:trHeight w:hRule="exact" w:val="280"/>
        </w:trPr>
        <w:tc>
          <w:tcPr>
            <w:tcW w:type="dxa" w:w="10544"/>
            <w:gridSpan w:val="15"/>
            <w:tcBorders>
              <w:left w:sz="4.0" w:val="single" w:color="000000"/>
              <w:top w:sz="3.200000047683716" w:val="single" w:color="000000"/>
              <w:right w:sz="3.200000047683716" w:val="single" w:color="000000"/>
              <w:bottom w:sz="4.0" w:val="single" w:color="000000"/>
            </w:tcBorders>
            <w:tcMar>
              <w:start w:w="0" w:type="dxa"/>
              <w:end w:w="0" w:type="dxa"/>
            </w:tcMar>
          </w:tcPr>
          <w:tbl>
            <w:tblPr>
              <w:tblW w:type="auto" w:w="0"/>
              <w:tblLayout w:type="fixed"/>
              <w:tblLook w:firstColumn="1" w:firstRow="1" w:lastColumn="0" w:lastRow="0" w:noHBand="0" w:noVBand="1" w:val="04A0"/>
              <w:tblInd w:w="244.00000000000006" w:type="dxa"/>
            </w:tblPr>
            <w:tblGrid>
              <w:gridCol w:w="4160"/>
              <w:gridCol w:w="3600"/>
            </w:tblGrid>
            <w:tr>
              <w:trPr>
                <w:trHeight w:hRule="exact" w:val="214"/>
              </w:trPr>
              <w:tc>
                <w:tcPr>
                  <w:tcW w:type="dxa" w:w="4160"/>
                  <w:tcMar>
                    <w:start w:w="0" w:type="dxa"/>
                    <w:end w:w="0" w:type="dxa"/>
                  </w:tcMar>
                </w:tcPr>
                <w:p>
                  <w:pPr>
                    <w:autoSpaceDN w:val="0"/>
                    <w:autoSpaceDE w:val="0"/>
                    <w:widowControl/>
                    <w:spacing w:line="110" w:lineRule="exact" w:before="4" w:after="0"/>
                    <w:ind w:left="268" w:right="0" w:firstLine="0"/>
                    <w:jc w:val="left"/>
                  </w:pPr>
                  <w:r>
                    <w:rPr>
                      <w:w w:val="104.33205691250889"/>
                      <w:rFonts w:ascii="ZwZeKZRB+SimSun" w:hAnsi="ZwZeKZRB+SimSun" w:eastAsia="ZwZeKZRB+SimSun"/>
                      <w:color w:val="000000"/>
                      <w:sz w:val="11"/>
                    </w:rPr>
                    <w:t>工作的前提下，全面推动人事考试“工作程序化、岗位精细化</w:t>
                  </w:r>
                </w:p>
              </w:tc>
              <w:tc>
                <w:tcPr>
                  <w:tcW w:type="dxa" w:w="3600"/>
                  <w:tcMar>
                    <w:start w:w="0" w:type="dxa"/>
                    <w:end w:w="0" w:type="dxa"/>
                  </w:tcMar>
                </w:tcPr>
                <w:p>
                  <w:pPr>
                    <w:autoSpaceDN w:val="0"/>
                    <w:autoSpaceDE w:val="0"/>
                    <w:widowControl/>
                    <w:spacing w:line="110" w:lineRule="exact" w:before="86" w:after="0"/>
                    <w:ind w:left="622" w:right="0" w:firstLine="0"/>
                    <w:jc w:val="left"/>
                  </w:pPr>
                  <w:r>
                    <w:rPr>
                      <w:w w:val="104.33205691250889"/>
                      <w:rFonts w:ascii="ZwZeKZRB+SimSun" w:hAnsi="ZwZeKZRB+SimSun" w:eastAsia="ZwZeKZRB+SimSun"/>
                      <w:color w:val="000000"/>
                      <w:sz w:val="11"/>
                    </w:rPr>
                    <w:t>绩效指标</w:t>
                  </w:r>
                </w:p>
              </w:tc>
            </w:tr>
          </w:tbl>
          <w:p>
            <w:pPr>
              <w:autoSpaceDN w:val="0"/>
              <w:autoSpaceDE w:val="0"/>
              <w:widowControl/>
              <w:spacing w:line="14" w:lineRule="exact" w:before="0" w:after="0"/>
              <w:ind w:left="0" w:right="0"/>
            </w:pPr>
          </w:p>
        </w:tc>
      </w:tr>
      <w:tr>
        <w:trPr>
          <w:trHeight w:hRule="exact" w:val="260"/>
        </w:trPr>
        <w:tc>
          <w:tcPr>
            <w:tcW w:type="dxa" w:w="1000"/>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一级指标</w:t>
            </w:r>
          </w:p>
        </w:tc>
        <w:tc>
          <w:tcPr>
            <w:tcW w:type="dxa" w:w="1358"/>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二级指标</w:t>
            </w:r>
          </w:p>
        </w:tc>
        <w:tc>
          <w:tcPr>
            <w:tcW w:type="dxa" w:w="1018"/>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三级指标</w:t>
            </w:r>
          </w:p>
        </w:tc>
        <w:tc>
          <w:tcPr>
            <w:tcW w:type="dxa" w:w="1022"/>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年度指标值</w:t>
            </w:r>
          </w:p>
        </w:tc>
        <w:tc>
          <w:tcPr>
            <w:tcW w:type="dxa" w:w="1890"/>
            <w:gridSpan w:val="2"/>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实际值完成值</w:t>
            </w:r>
          </w:p>
        </w:tc>
        <w:tc>
          <w:tcPr>
            <w:tcW w:type="dxa" w:w="1040"/>
            <w:tcBorders>
              <w:left w:sz="3.200000047683716"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分值</w:t>
            </w:r>
          </w:p>
        </w:tc>
        <w:tc>
          <w:tcPr>
            <w:tcW w:type="dxa" w:w="1158"/>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得分</w:t>
            </w:r>
          </w:p>
        </w:tc>
        <w:tc>
          <w:tcPr>
            <w:tcW w:type="dxa" w:w="476"/>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偏差度</w:t>
            </w:r>
          </w:p>
        </w:tc>
        <w:tc>
          <w:tcPr>
            <w:tcW w:type="dxa" w:w="1582"/>
            <w:tcBorders>
              <w:left w:sz="4.0" w:val="single" w:color="000000"/>
              <w:top w:sz="4.0"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76" w:after="0"/>
              <w:ind w:left="0" w:right="0" w:firstLine="0"/>
              <w:jc w:val="center"/>
            </w:pPr>
            <w:r>
              <w:rPr>
                <w:w w:val="104.33205691250889"/>
                <w:rFonts w:ascii="ZwZeKZRB+SimSun" w:hAnsi="ZwZeKZRB+SimSun" w:eastAsia="ZwZeKZRB+SimSun"/>
                <w:color w:val="000000"/>
                <w:sz w:val="11"/>
              </w:rPr>
              <w:t>偏差原因分析及改进措施</w:t>
            </w:r>
          </w:p>
        </w:tc>
      </w:tr>
      <w:tr>
        <w:trPr>
          <w:trHeight w:hRule="exact" w:val="356"/>
        </w:trPr>
        <w:tc>
          <w:tcPr>
            <w:tcW w:type="dxa" w:w="1000"/>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成本指标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经济成本指标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总成本</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≥92.91万元</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45.43万元</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2.44</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-51.10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预算金额为参照以前年度该</w:t>
            </w:r>
            <w:r>
              <w:rPr>
                <w:w w:val="104.33205691250889"/>
                <w:rFonts w:ascii="ZwZeKZRB+SimSun" w:hAnsi="ZwZeKZRB+SimSun" w:eastAsia="ZwZeKZRB+SimSun"/>
                <w:color w:val="000000"/>
                <w:sz w:val="11"/>
              </w:rPr>
              <w:t>考试实际支出，由于2024年</w:t>
            </w:r>
            <w:r>
              <w:rPr>
                <w:w w:val="104.33205691250889"/>
                <w:rFonts w:ascii="ZwZeKZRB+SimSun" w:hAnsi="ZwZeKZRB+SimSun" w:eastAsia="ZwZeKZRB+SimSun"/>
                <w:color w:val="000000"/>
                <w:sz w:val="11"/>
              </w:rPr>
              <w:t>该考试考生数量较以前年度</w:t>
            </w: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58" w:after="0"/>
              <w:ind w:left="0" w:right="0" w:firstLine="0"/>
              <w:jc w:val="center"/>
            </w:pPr>
            <w:r>
              <w:rPr>
                <w:w w:val="104.33205691250889"/>
                <w:rFonts w:ascii="ZwZeKZRB+SimSun" w:hAnsi="ZwZeKZRB+SimSun" w:eastAsia="ZwZeKZRB+SimSun"/>
                <w:color w:val="000000"/>
                <w:sz w:val="11"/>
              </w:rPr>
              <w:t>相关考务人员劳务</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费成本</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=300元/人</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300元/人</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000"/>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372" w:after="0"/>
              <w:ind w:left="0" w:right="0" w:firstLine="0"/>
              <w:jc w:val="center"/>
            </w:pPr>
            <w:r>
              <w:rPr>
                <w:w w:val="104.33205691250889"/>
                <w:rFonts w:ascii="ZwZeKZRB+SimSun" w:hAnsi="ZwZeKZRB+SimSun" w:eastAsia="ZwZeKZRB+SimSun"/>
                <w:color w:val="000000"/>
                <w:sz w:val="11"/>
              </w:rPr>
              <w:t>产出指标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660" w:after="0"/>
              <w:ind w:left="0" w:right="0" w:firstLine="0"/>
              <w:jc w:val="center"/>
            </w:pPr>
            <w:r>
              <w:rPr>
                <w:w w:val="104.33205691250889"/>
                <w:rFonts w:ascii="ZwZeKZRB+SimSun" w:hAnsi="ZwZeKZRB+SimSun" w:eastAsia="ZwZeKZRB+SimSun"/>
                <w:color w:val="000000"/>
                <w:sz w:val="11"/>
              </w:rPr>
              <w:t>数量指标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考务工作人员数量</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≥2500人</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1345人</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2.15</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-46.20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预算金额为参照以前年度该</w:t>
            </w:r>
            <w:r>
              <w:rPr>
                <w:w w:val="104.33205691250889"/>
                <w:rFonts w:ascii="ZwZeKZRB+SimSun" w:hAnsi="ZwZeKZRB+SimSun" w:eastAsia="ZwZeKZRB+SimSun"/>
                <w:color w:val="000000"/>
                <w:sz w:val="11"/>
              </w:rPr>
              <w:t>考试实际支出，由于2024年</w:t>
            </w:r>
            <w:r>
              <w:rPr>
                <w:w w:val="104.33205691250889"/>
                <w:rFonts w:ascii="ZwZeKZRB+SimSun" w:hAnsi="ZwZeKZRB+SimSun" w:eastAsia="ZwZeKZRB+SimSun"/>
                <w:color w:val="000000"/>
                <w:sz w:val="11"/>
              </w:rPr>
              <w:t>该考试考生数量较以前年度</w:t>
            </w: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考生数量</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≥20000人</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15076人</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3.02</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-24.62</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预算金额为参照以前年度该</w:t>
            </w:r>
            <w:r>
              <w:rPr>
                <w:w w:val="104.33205691250889"/>
                <w:rFonts w:ascii="ZwZeKZRB+SimSun" w:hAnsi="ZwZeKZRB+SimSun" w:eastAsia="ZwZeKZRB+SimSun"/>
                <w:color w:val="000000"/>
                <w:sz w:val="11"/>
              </w:rPr>
              <w:t>考试实际支出，2024年该考</w:t>
            </w:r>
            <w:r>
              <w:rPr>
                <w:w w:val="104.33205691250889"/>
                <w:rFonts w:ascii="ZwZeKZRB+SimSun" w:hAnsi="ZwZeKZRB+SimSun" w:eastAsia="ZwZeKZRB+SimSun"/>
                <w:color w:val="000000"/>
                <w:sz w:val="11"/>
              </w:rPr>
              <w:t>试考生数量较以前年度减少</w:t>
            </w: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考点数量</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≥16个</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10个</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2.5</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-37.50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预算金额为参照以前年度该</w:t>
            </w:r>
            <w:r>
              <w:rPr>
                <w:w w:val="104.33205691250889"/>
                <w:rFonts w:ascii="ZwZeKZRB+SimSun" w:hAnsi="ZwZeKZRB+SimSun" w:eastAsia="ZwZeKZRB+SimSun"/>
                <w:color w:val="000000"/>
                <w:sz w:val="11"/>
              </w:rPr>
              <w:t>考试实际支出，由于2024年</w:t>
            </w:r>
            <w:r>
              <w:rPr>
                <w:w w:val="104.33205691250889"/>
                <w:rFonts w:ascii="ZwZeKZRB+SimSun" w:hAnsi="ZwZeKZRB+SimSun" w:eastAsia="ZwZeKZRB+SimSun"/>
                <w:color w:val="000000"/>
                <w:sz w:val="11"/>
              </w:rPr>
              <w:t>该考试考生数量较以前年度</w:t>
            </w: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考场数量</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≥650个</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503个</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3.1</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-22.62</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预算金额为参照以前年度该</w:t>
            </w:r>
            <w:r>
              <w:rPr>
                <w:w w:val="104.33205691250889"/>
                <w:rFonts w:ascii="ZwZeKZRB+SimSun" w:hAnsi="ZwZeKZRB+SimSun" w:eastAsia="ZwZeKZRB+SimSun"/>
                <w:color w:val="000000"/>
                <w:sz w:val="11"/>
              </w:rPr>
              <w:t>考试实际支出，由于2024年</w:t>
            </w:r>
            <w:r>
              <w:rPr>
                <w:w w:val="104.33205691250889"/>
                <w:rFonts w:ascii="ZwZeKZRB+SimSun" w:hAnsi="ZwZeKZRB+SimSun" w:eastAsia="ZwZeKZRB+SimSun"/>
                <w:color w:val="000000"/>
                <w:sz w:val="11"/>
              </w:rPr>
              <w:t>该考试考生数量较以前年度</w:t>
            </w: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质量指标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考试全流程合规性</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合规</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劳务费发放准确率</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时效指标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费用拨付时间</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≤12月份</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11月份</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考试时长</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=1天</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1天</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000"/>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效益指标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社会效益指标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确保考试公平环境</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持续保障</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15</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15</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单位就业岗位</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增加</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000"/>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满意度指标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服务对象满意度指标</w:t>
            </w: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考务人员满意率</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考生满意率</w:t>
            </w:r>
          </w:p>
        </w:tc>
        <w:tc>
          <w:tcPr>
            <w:tcW w:type="dxa" w:w="1022"/>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0"/>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r>
        <w:trPr>
          <w:trHeight w:hRule="exact" w:val="356"/>
        </w:trPr>
        <w:tc>
          <w:tcPr>
            <w:tcW w:type="dxa" w:w="6288"/>
            <w:gridSpan w:val="10"/>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总分</w:t>
            </w:r>
          </w:p>
        </w:tc>
        <w:tc>
          <w:tcPr>
            <w:tcW w:type="dxa" w:w="1040"/>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1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87.1</w:t>
            </w:r>
          </w:p>
        </w:tc>
        <w:tc>
          <w:tcPr>
            <w:tcW w:type="dxa" w:w="476"/>
            <w:tcBorders>
              <w:left w:sz="4.0" w:val="single" w:color="000000"/>
              <w:top w:sz="3.200000047683716" w:val="single" w:color="000000"/>
              <w:right w:sz="4.0" w:val="single" w:color="000000"/>
              <w:bottom w:sz="3.200000047683716" w:val="single" w:color="000000"/>
            </w:tcBorders>
            <w:tcMar>
              <w:start w:w="0" w:type="dxa"/>
              <w:end w:w="0" w:type="dxa"/>
            </w:tcMar>
          </w:tcPr>
          <w:p/>
        </w:tc>
        <w:tc>
          <w:tcPr>
            <w:tcW w:type="dxa" w:w="1582"/>
            <w:tcBorders>
              <w:left w:sz="4.0" w:val="single" w:color="000000"/>
              <w:top w:sz="3.200000047683716" w:val="single" w:color="000000"/>
              <w:right w:sz="3.200000047683716" w:val="single" w:color="000000"/>
              <w:bottom w:sz="3.200000047683716" w:val="single" w:color="000000"/>
            </w:tcBorders>
            <w:tcMar>
              <w:start w:w="0" w:type="dxa"/>
              <w:end w:w="0" w:type="dxa"/>
            </w:tcMar>
          </w:tcPr>
          <w:p/>
        </w:tc>
      </w:tr>
    </w:tbl>
    <w:p>
      <w:pPr>
        <w:autoSpaceDN w:val="0"/>
        <w:autoSpaceDE w:val="0"/>
        <w:widowControl/>
        <w:spacing w:line="198" w:lineRule="exact" w:before="1144" w:after="0"/>
        <w:ind w:left="0" w:right="6890" w:firstLine="0"/>
        <w:jc w:val="right"/>
      </w:pPr>
      <w:r>
        <w:rPr>
          <w:rFonts w:ascii="Ap9kiCzR+TimesNewRomanPSMT" w:hAnsi="Ap9kiCzR+TimesNewRomanPSMT" w:eastAsia="Ap9kiCzR+TimesNewRomanPSMT"/>
          <w:color w:val="000000"/>
          <w:sz w:val="18"/>
        </w:rPr>
        <w:t>30</w:t>
      </w:r>
    </w:p>
    <w:p>
      <w:pPr>
        <w:sectPr>
          <w:pgSz w:w="16839" w:h="12307"/>
          <w:pgMar w:top="204" w:right="1440" w:bottom="360" w:left="1000" w:header="720" w:footer="720" w:gutter="0"/>
          <w:cols w:num="1" w:equalWidth="0" w:space="720">
            <w:col w:w="14400" w:space="0"/>
          </w:cols>
          <w:docGrid w:linePitch="360"/>
        </w:sectPr>
      </w:pPr>
    </w:p>
    <w:p>
      <w:pPr>
        <w:autoSpaceDN w:val="0"/>
        <w:autoSpaceDE w:val="0"/>
        <w:widowControl/>
        <w:spacing w:line="204" w:lineRule="exact" w:before="0" w:after="0"/>
        <w:ind w:left="0" w:right="0"/>
      </w:pPr>
    </w:p>
    <w:p>
      <w:pPr>
        <w:autoSpaceDN w:val="0"/>
        <w:autoSpaceDE w:val="0"/>
        <w:widowControl/>
        <w:spacing w:line="234" w:lineRule="exact" w:before="0" w:after="678"/>
        <w:ind w:left="0" w:right="0" w:firstLine="0"/>
        <w:jc w:val="left"/>
      </w:pPr>
      <w:r>
        <w:rPr>
          <w:rFonts w:ascii="Ap9kiCzR+TimesNewRomanPSMT" w:hAnsi="Ap9kiCzR+TimesNewRomanPSMT" w:eastAsia="Ap9kiCzR+TimesNewRomanPSMT"/>
          <w:color w:val="FFFFFF"/>
          <w:sz w:val="21"/>
        </w:rPr>
        <w:t>&lt;PDF_KEY&gt;5a6a30f0d350407bb1f0f25c48ee4ea0</w:t>
      </w:r>
    </w:p>
    <w:tbl>
      <w:tblPr>
        <w:tblW w:type="auto" w:w="0"/>
        <w:tblLayout w:type="fixed"/>
        <w:tblLook w:firstColumn="1" w:firstRow="1" w:lastColumn="0" w:lastRow="0" w:noHBand="0" w:noVBand="1" w:val="04A0"/>
        <w:tblInd w:w="84.00000000000006" w:type="dxa"/>
      </w:tblPr>
      <w:tblGrid>
        <w:gridCol w:w="392"/>
        <w:gridCol w:w="488"/>
        <w:gridCol w:w="448"/>
        <w:gridCol w:w="750"/>
        <w:gridCol w:w="452"/>
        <w:gridCol w:w="446"/>
        <w:gridCol w:w="446"/>
        <w:gridCol w:w="452"/>
        <w:gridCol w:w="522"/>
        <w:gridCol w:w="1148"/>
        <w:gridCol w:w="918"/>
        <w:gridCol w:w="410"/>
        <w:gridCol w:w="610"/>
        <w:gridCol w:w="422"/>
        <w:gridCol w:w="1394"/>
      </w:tblGrid>
      <w:tr>
        <w:trPr>
          <w:trHeight w:hRule="exact" w:val="224"/>
        </w:trPr>
        <w:tc>
          <w:tcPr>
            <w:tcW w:type="dxa" w:w="9298"/>
            <w:gridSpan w:val="15"/>
            <w:tcBorders>
              <w:left w:sz="2.4000000953674316" w:val="single" w:color="000000"/>
              <w:top w:sz="3.200000047683716" w:val="single" w:color="000000"/>
              <w:right w:sz="2.4000000953674316" w:val="single" w:color="000000"/>
              <w:bottom w:sz="3.200000047683716" w:val="single" w:color="000000"/>
            </w:tcBorders>
            <w:tcMar>
              <w:start w:w="0" w:type="dxa"/>
              <w:end w:w="0" w:type="dxa"/>
            </w:tcMar>
          </w:tcPr>
          <w:p>
            <w:pPr>
              <w:autoSpaceDN w:val="0"/>
              <w:autoSpaceDE w:val="0"/>
              <w:widowControl/>
              <w:spacing w:line="162" w:lineRule="exact" w:before="36" w:after="0"/>
              <w:ind w:left="0" w:right="0" w:firstLine="0"/>
              <w:jc w:val="center"/>
            </w:pPr>
            <w:r>
              <w:rPr>
                <w:rFonts w:ascii="ZwZeKZRB+SimSun" w:hAnsi="ZwZeKZRB+SimSun" w:eastAsia="ZwZeKZRB+SimSun"/>
                <w:color w:val="000000"/>
                <w:sz w:val="17"/>
              </w:rPr>
              <w:t xml:space="preserve">项目支出绩效自评情况表 </w:t>
            </w:r>
          </w:p>
        </w:tc>
      </w:tr>
      <w:tr>
        <w:trPr>
          <w:trHeight w:hRule="exact" w:val="166"/>
        </w:trPr>
        <w:tc>
          <w:tcPr>
            <w:tcW w:type="dxa" w:w="9298"/>
            <w:gridSpan w:val="15"/>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20" w:after="0"/>
              <w:ind w:left="0" w:right="0" w:firstLine="0"/>
              <w:jc w:val="center"/>
            </w:pPr>
            <w:r>
              <w:rPr>
                <w:rFonts w:ascii="ZwZeKZRB+SimSun" w:hAnsi="ZwZeKZRB+SimSun" w:eastAsia="ZwZeKZRB+SimSun"/>
                <w:color w:val="000000"/>
                <w:sz w:val="10"/>
              </w:rPr>
              <w:t>2025年09月</w:t>
            </w:r>
          </w:p>
        </w:tc>
      </w:tr>
      <w:tr>
        <w:trPr>
          <w:trHeight w:hRule="exact" w:val="118"/>
        </w:trPr>
        <w:tc>
          <w:tcPr>
            <w:tcW w:type="dxa" w:w="1328"/>
            <w:gridSpan w:val="3"/>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项目名称</w:t>
            </w:r>
          </w:p>
        </w:tc>
        <w:tc>
          <w:tcPr>
            <w:tcW w:type="dxa" w:w="7970"/>
            <w:gridSpan w:val="12"/>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【基本运转】2024年公务员招录考试笔试经费</w:t>
            </w:r>
          </w:p>
        </w:tc>
      </w:tr>
      <w:tr>
        <w:trPr>
          <w:trHeight w:hRule="exact" w:val="118"/>
        </w:trPr>
        <w:tc>
          <w:tcPr>
            <w:tcW w:type="dxa" w:w="1328"/>
            <w:gridSpan w:val="3"/>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主管部门</w:t>
            </w:r>
          </w:p>
        </w:tc>
        <w:tc>
          <w:tcPr>
            <w:tcW w:type="dxa" w:w="2094"/>
            <w:gridSpan w:val="4"/>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许昌市人力资源和社会保障局</w:t>
            </w:r>
          </w:p>
        </w:tc>
        <w:tc>
          <w:tcPr>
            <w:tcW w:type="dxa" w:w="2122"/>
            <w:gridSpan w:val="3"/>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实施单位</w:t>
            </w:r>
          </w:p>
        </w:tc>
        <w:tc>
          <w:tcPr>
            <w:tcW w:type="dxa" w:w="3754"/>
            <w:gridSpan w:val="5"/>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许昌市职业技能等级评价中心</w:t>
            </w:r>
          </w:p>
        </w:tc>
      </w:tr>
      <w:tr>
        <w:trPr>
          <w:trHeight w:hRule="exact" w:val="118"/>
        </w:trPr>
        <w:tc>
          <w:tcPr>
            <w:tcW w:type="dxa" w:w="1328"/>
            <w:gridSpan w:val="3"/>
            <w:vMerge w:val="restart"/>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96" w:after="0"/>
              <w:ind w:left="0" w:right="0" w:firstLine="0"/>
              <w:jc w:val="center"/>
            </w:pPr>
            <w:r>
              <w:rPr>
                <w:rFonts w:ascii="ZwZeKZRB+SimSun" w:hAnsi="ZwZeKZRB+SimSun" w:eastAsia="ZwZeKZRB+SimSun"/>
                <w:color w:val="000000"/>
                <w:sz w:val="10"/>
              </w:rPr>
              <w:t xml:space="preserve">项目资金 </w:t>
            </w:r>
          </w:p>
          <w:p>
            <w:pPr>
              <w:autoSpaceDN w:val="0"/>
              <w:autoSpaceDE w:val="0"/>
              <w:widowControl/>
              <w:spacing w:line="98" w:lineRule="exact" w:before="24" w:after="0"/>
              <w:ind w:left="0" w:right="0" w:firstLine="0"/>
              <w:jc w:val="center"/>
            </w:pPr>
            <w:r>
              <w:rPr>
                <w:rFonts w:ascii="ZwZeKZRB+SimSun" w:hAnsi="ZwZeKZRB+SimSun" w:eastAsia="ZwZeKZRB+SimSun"/>
                <w:color w:val="000000"/>
                <w:sz w:val="10"/>
              </w:rPr>
              <w:t>(万元)</w:t>
            </w:r>
          </w:p>
        </w:tc>
        <w:tc>
          <w:tcPr>
            <w:tcW w:type="dxa" w:w="1202"/>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tc>
        <w:tc>
          <w:tcPr>
            <w:tcW w:type="dxa" w:w="892"/>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年初预算数</w:t>
            </w:r>
          </w:p>
        </w:tc>
        <w:tc>
          <w:tcPr>
            <w:tcW w:type="dxa" w:w="974"/>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全年预算数</w:t>
            </w:r>
          </w:p>
        </w:tc>
        <w:tc>
          <w:tcPr>
            <w:tcW w:type="dxa" w:w="1148"/>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全年执行数</w:t>
            </w:r>
          </w:p>
        </w:tc>
        <w:tc>
          <w:tcPr>
            <w:tcW w:type="dxa" w:w="1328"/>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分值</w:t>
            </w:r>
          </w:p>
        </w:tc>
        <w:tc>
          <w:tcPr>
            <w:tcW w:type="dxa" w:w="610"/>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执行率</w:t>
            </w:r>
          </w:p>
        </w:tc>
        <w:tc>
          <w:tcPr>
            <w:tcW w:type="dxa" w:w="1816"/>
            <w:gridSpan w:val="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得分</w:t>
            </w:r>
          </w:p>
        </w:tc>
      </w:tr>
      <w:tr>
        <w:trPr>
          <w:trHeight w:hRule="exact" w:val="130"/>
        </w:trPr>
        <w:tc>
          <w:tcPr>
            <w:tcW w:type="dxa" w:w="2880"/>
            <w:gridSpan w:val="3"/>
            <w:vMerge/>
            <w:tcBorders>
              <w:left w:sz="2.4000000953674316" w:val="single" w:color="000000"/>
              <w:top w:sz="3.200000047683716" w:val="single" w:color="000000"/>
              <w:right w:sz="2.4000000953674316" w:val="single" w:color="000000"/>
              <w:bottom w:sz="2.4000000953674316" w:val="single" w:color="000000"/>
            </w:tcBorders>
          </w:tcPr>
          <w:p/>
        </w:tc>
        <w:tc>
          <w:tcPr>
            <w:tcW w:type="dxa" w:w="1202"/>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 xml:space="preserve"> 年度资金总额：</w:t>
            </w:r>
          </w:p>
        </w:tc>
        <w:tc>
          <w:tcPr>
            <w:tcW w:type="dxa" w:w="892"/>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70</w:t>
            </w:r>
          </w:p>
        </w:tc>
        <w:tc>
          <w:tcPr>
            <w:tcW w:type="dxa" w:w="974"/>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70</w:t>
            </w:r>
          </w:p>
        </w:tc>
        <w:tc>
          <w:tcPr>
            <w:tcW w:type="dxa" w:w="114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70</w:t>
            </w:r>
          </w:p>
        </w:tc>
        <w:tc>
          <w:tcPr>
            <w:tcW w:type="dxa" w:w="1328"/>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10</w:t>
            </w:r>
          </w:p>
        </w:tc>
        <w:tc>
          <w:tcPr>
            <w:tcW w:type="dxa" w:w="610"/>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100.0 %</w:t>
            </w:r>
          </w:p>
        </w:tc>
        <w:tc>
          <w:tcPr>
            <w:tcW w:type="dxa" w:w="1816"/>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8" w:after="0"/>
              <w:ind w:left="0" w:right="0" w:firstLine="0"/>
              <w:jc w:val="center"/>
            </w:pPr>
            <w:r>
              <w:rPr>
                <w:rFonts w:ascii="ZwZeKZRB+SimSun" w:hAnsi="ZwZeKZRB+SimSun" w:eastAsia="ZwZeKZRB+SimSun"/>
                <w:color w:val="000000"/>
                <w:sz w:val="10"/>
              </w:rPr>
              <w:t>10.00</w:t>
            </w:r>
          </w:p>
        </w:tc>
      </w:tr>
      <w:tr>
        <w:trPr>
          <w:trHeight w:hRule="exact" w:val="118"/>
        </w:trPr>
        <w:tc>
          <w:tcPr>
            <w:tcW w:type="dxa" w:w="2880"/>
            <w:gridSpan w:val="3"/>
            <w:vMerge/>
            <w:tcBorders>
              <w:left w:sz="2.4000000953674316" w:val="single" w:color="000000"/>
              <w:top w:sz="3.200000047683716" w:val="single" w:color="000000"/>
              <w:right w:sz="2.4000000953674316" w:val="single" w:color="000000"/>
              <w:bottom w:sz="2.4000000953674316" w:val="single" w:color="000000"/>
            </w:tcBorders>
          </w:tcPr>
          <w:p/>
        </w:tc>
        <w:tc>
          <w:tcPr>
            <w:tcW w:type="dxa" w:w="1202"/>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财政拨款</w:t>
            </w:r>
          </w:p>
        </w:tc>
        <w:tc>
          <w:tcPr>
            <w:tcW w:type="dxa" w:w="892"/>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70</w:t>
            </w:r>
          </w:p>
        </w:tc>
        <w:tc>
          <w:tcPr>
            <w:tcW w:type="dxa" w:w="974"/>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70</w:t>
            </w:r>
          </w:p>
        </w:tc>
        <w:tc>
          <w:tcPr>
            <w:tcW w:type="dxa" w:w="114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70</w:t>
            </w:r>
          </w:p>
        </w:tc>
        <w:tc>
          <w:tcPr>
            <w:tcW w:type="dxa" w:w="1328"/>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w:t>
            </w:r>
          </w:p>
        </w:tc>
        <w:tc>
          <w:tcPr>
            <w:tcW w:type="dxa" w:w="610"/>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100.0 %</w:t>
            </w:r>
          </w:p>
        </w:tc>
        <w:tc>
          <w:tcPr>
            <w:tcW w:type="dxa" w:w="1816"/>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w:t>
            </w:r>
          </w:p>
        </w:tc>
      </w:tr>
      <w:tr>
        <w:trPr>
          <w:trHeight w:hRule="exact" w:val="120"/>
        </w:trPr>
        <w:tc>
          <w:tcPr>
            <w:tcW w:type="dxa" w:w="2880"/>
            <w:gridSpan w:val="3"/>
            <w:vMerge/>
            <w:tcBorders>
              <w:left w:sz="2.4000000953674316" w:val="single" w:color="000000"/>
              <w:top w:sz="3.200000047683716" w:val="single" w:color="000000"/>
              <w:right w:sz="2.4000000953674316" w:val="single" w:color="000000"/>
              <w:bottom w:sz="2.4000000953674316" w:val="single" w:color="000000"/>
            </w:tcBorders>
          </w:tcPr>
          <w:p/>
        </w:tc>
        <w:tc>
          <w:tcPr>
            <w:tcW w:type="dxa" w:w="1202"/>
            <w:gridSpan w:val="2"/>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财政专户管理资金</w:t>
            </w:r>
          </w:p>
        </w:tc>
        <w:tc>
          <w:tcPr>
            <w:tcW w:type="dxa" w:w="892"/>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0</w:t>
            </w:r>
          </w:p>
        </w:tc>
        <w:tc>
          <w:tcPr>
            <w:tcW w:type="dxa" w:w="974"/>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0</w:t>
            </w:r>
          </w:p>
        </w:tc>
        <w:tc>
          <w:tcPr>
            <w:tcW w:type="dxa" w:w="1148"/>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0</w:t>
            </w:r>
          </w:p>
        </w:tc>
        <w:tc>
          <w:tcPr>
            <w:tcW w:type="dxa" w:w="1328"/>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w:t>
            </w:r>
          </w:p>
        </w:tc>
        <w:tc>
          <w:tcPr>
            <w:tcW w:type="dxa" w:w="610"/>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0.00%</w:t>
            </w:r>
          </w:p>
        </w:tc>
        <w:tc>
          <w:tcPr>
            <w:tcW w:type="dxa" w:w="1816"/>
            <w:gridSpan w:val="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w:t>
            </w:r>
          </w:p>
        </w:tc>
      </w:tr>
      <w:tr>
        <w:trPr>
          <w:trHeight w:hRule="exact" w:val="120"/>
        </w:trPr>
        <w:tc>
          <w:tcPr>
            <w:tcW w:type="dxa" w:w="2880"/>
            <w:gridSpan w:val="3"/>
            <w:vMerge/>
            <w:tcBorders>
              <w:left w:sz="2.4000000953674316" w:val="single" w:color="000000"/>
              <w:top w:sz="3.200000047683716" w:val="single" w:color="000000"/>
              <w:right w:sz="2.4000000953674316" w:val="single" w:color="000000"/>
              <w:bottom w:sz="2.4000000953674316" w:val="single" w:color="000000"/>
            </w:tcBorders>
          </w:tcPr>
          <w:p/>
        </w:tc>
        <w:tc>
          <w:tcPr>
            <w:tcW w:type="dxa" w:w="1202"/>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单位资金</w:t>
            </w:r>
          </w:p>
        </w:tc>
        <w:tc>
          <w:tcPr>
            <w:tcW w:type="dxa" w:w="892"/>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0</w:t>
            </w:r>
          </w:p>
        </w:tc>
        <w:tc>
          <w:tcPr>
            <w:tcW w:type="dxa" w:w="974"/>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0</w:t>
            </w:r>
          </w:p>
        </w:tc>
        <w:tc>
          <w:tcPr>
            <w:tcW w:type="dxa" w:w="1148"/>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0</w:t>
            </w:r>
          </w:p>
        </w:tc>
        <w:tc>
          <w:tcPr>
            <w:tcW w:type="dxa" w:w="1328"/>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w:t>
            </w:r>
          </w:p>
        </w:tc>
        <w:tc>
          <w:tcPr>
            <w:tcW w:type="dxa" w:w="610"/>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0.00%</w:t>
            </w:r>
          </w:p>
        </w:tc>
        <w:tc>
          <w:tcPr>
            <w:tcW w:type="dxa" w:w="1816"/>
            <w:gridSpan w:val="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w:t>
            </w:r>
          </w:p>
        </w:tc>
      </w:tr>
      <w:tr>
        <w:trPr>
          <w:trHeight w:hRule="exact" w:val="118"/>
        </w:trPr>
        <w:tc>
          <w:tcPr>
            <w:tcW w:type="dxa" w:w="1328"/>
            <w:gridSpan w:val="3"/>
            <w:vMerge w:val="restart"/>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250" w:after="0"/>
              <w:ind w:left="0" w:right="0" w:firstLine="0"/>
              <w:jc w:val="center"/>
            </w:pPr>
            <w:r>
              <w:rPr>
                <w:rFonts w:ascii="ZwZeKZRB+SimSun" w:hAnsi="ZwZeKZRB+SimSun" w:eastAsia="ZwZeKZRB+SimSun"/>
                <w:color w:val="000000"/>
                <w:sz w:val="10"/>
              </w:rPr>
              <w:t>资金管理情况</w:t>
            </w:r>
          </w:p>
        </w:tc>
        <w:tc>
          <w:tcPr>
            <w:tcW w:type="dxa" w:w="2094"/>
            <w:gridSpan w:val="4"/>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tc>
        <w:tc>
          <w:tcPr>
            <w:tcW w:type="dxa" w:w="2122"/>
            <w:gridSpan w:val="3"/>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情况说明</w:t>
            </w:r>
          </w:p>
        </w:tc>
        <w:tc>
          <w:tcPr>
            <w:tcW w:type="dxa" w:w="1328"/>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分值（20）</w:t>
            </w:r>
          </w:p>
        </w:tc>
        <w:tc>
          <w:tcPr>
            <w:tcW w:type="dxa" w:w="610"/>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得分</w:t>
            </w:r>
          </w:p>
        </w:tc>
        <w:tc>
          <w:tcPr>
            <w:tcW w:type="dxa" w:w="1816"/>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存在问题和改进措施</w:t>
            </w:r>
          </w:p>
        </w:tc>
      </w:tr>
      <w:tr>
        <w:trPr>
          <w:trHeight w:hRule="exact" w:val="118"/>
        </w:trPr>
        <w:tc>
          <w:tcPr>
            <w:tcW w:type="dxa" w:w="2880"/>
            <w:gridSpan w:val="3"/>
            <w:vMerge/>
            <w:tcBorders>
              <w:left w:sz="2.4000000953674316" w:val="single" w:color="000000"/>
              <w:top w:sz="2.4000000953674316" w:val="single" w:color="000000"/>
              <w:right w:sz="2.4000000953674316" w:val="single" w:color="000000"/>
              <w:bottom w:sz="3.200000047683716" w:val="single" w:color="000000"/>
            </w:tcBorders>
          </w:tcPr>
          <w:p/>
        </w:tc>
        <w:tc>
          <w:tcPr>
            <w:tcW w:type="dxa" w:w="2094"/>
            <w:gridSpan w:val="4"/>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安排科学性</w:t>
            </w:r>
          </w:p>
        </w:tc>
        <w:tc>
          <w:tcPr>
            <w:tcW w:type="dxa" w:w="2122"/>
            <w:gridSpan w:val="3"/>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科学</w:t>
            </w:r>
          </w:p>
        </w:tc>
        <w:tc>
          <w:tcPr>
            <w:tcW w:type="dxa" w:w="1328"/>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5</w:t>
            </w:r>
          </w:p>
        </w:tc>
        <w:tc>
          <w:tcPr>
            <w:tcW w:type="dxa" w:w="610"/>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2" w:after="0"/>
              <w:ind w:left="0" w:right="0" w:firstLine="0"/>
              <w:jc w:val="center"/>
            </w:pPr>
            <w:r>
              <w:rPr>
                <w:rFonts w:ascii="ZwZeKZRB+SimSun" w:hAnsi="ZwZeKZRB+SimSun" w:eastAsia="ZwZeKZRB+SimSun"/>
                <w:color w:val="000000"/>
                <w:sz w:val="10"/>
              </w:rPr>
              <w:t>5</w:t>
            </w:r>
          </w:p>
        </w:tc>
        <w:tc>
          <w:tcPr>
            <w:tcW w:type="dxa" w:w="1816"/>
            <w:gridSpan w:val="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tc>
      </w:tr>
      <w:tr>
        <w:trPr>
          <w:trHeight w:hRule="exact" w:val="120"/>
        </w:trPr>
        <w:tc>
          <w:tcPr>
            <w:tcW w:type="dxa" w:w="2880"/>
            <w:gridSpan w:val="3"/>
            <w:vMerge/>
            <w:tcBorders>
              <w:left w:sz="2.4000000953674316" w:val="single" w:color="000000"/>
              <w:top w:sz="2.4000000953674316" w:val="single" w:color="000000"/>
              <w:right w:sz="2.4000000953674316" w:val="single" w:color="000000"/>
              <w:bottom w:sz="3.200000047683716" w:val="single" w:color="000000"/>
            </w:tcBorders>
          </w:tcPr>
          <w:p/>
        </w:tc>
        <w:tc>
          <w:tcPr>
            <w:tcW w:type="dxa" w:w="2094"/>
            <w:gridSpan w:val="4"/>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拨付合规性</w:t>
            </w:r>
          </w:p>
        </w:tc>
        <w:tc>
          <w:tcPr>
            <w:tcW w:type="dxa" w:w="2122"/>
            <w:gridSpan w:val="3"/>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合规</w:t>
            </w:r>
          </w:p>
        </w:tc>
        <w:tc>
          <w:tcPr>
            <w:tcW w:type="dxa" w:w="1328"/>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5</w:t>
            </w:r>
          </w:p>
        </w:tc>
        <w:tc>
          <w:tcPr>
            <w:tcW w:type="dxa" w:w="610"/>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4" w:after="0"/>
              <w:ind w:left="0" w:right="0" w:firstLine="0"/>
              <w:jc w:val="center"/>
            </w:pPr>
            <w:r>
              <w:rPr>
                <w:rFonts w:ascii="ZwZeKZRB+SimSun" w:hAnsi="ZwZeKZRB+SimSun" w:eastAsia="ZwZeKZRB+SimSun"/>
                <w:color w:val="000000"/>
                <w:sz w:val="10"/>
              </w:rPr>
              <w:t>5</w:t>
            </w:r>
          </w:p>
        </w:tc>
        <w:tc>
          <w:tcPr>
            <w:tcW w:type="dxa" w:w="1816"/>
            <w:gridSpan w:val="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tc>
      </w:tr>
      <w:tr>
        <w:trPr>
          <w:trHeight w:hRule="exact" w:val="116"/>
        </w:trPr>
        <w:tc>
          <w:tcPr>
            <w:tcW w:type="dxa" w:w="2880"/>
            <w:gridSpan w:val="3"/>
            <w:vMerge/>
            <w:tcBorders>
              <w:left w:sz="2.4000000953674316" w:val="single" w:color="000000"/>
              <w:top w:sz="2.4000000953674316" w:val="single" w:color="000000"/>
              <w:right w:sz="2.4000000953674316" w:val="single" w:color="000000"/>
              <w:bottom w:sz="3.200000047683716" w:val="single" w:color="000000"/>
            </w:tcBorders>
          </w:tcPr>
          <w:p/>
        </w:tc>
        <w:tc>
          <w:tcPr>
            <w:tcW w:type="dxa" w:w="2094"/>
            <w:gridSpan w:val="4"/>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使用规范性</w:t>
            </w:r>
          </w:p>
        </w:tc>
        <w:tc>
          <w:tcPr>
            <w:tcW w:type="dxa" w:w="2122"/>
            <w:gridSpan w:val="3"/>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规范</w:t>
            </w:r>
          </w:p>
        </w:tc>
        <w:tc>
          <w:tcPr>
            <w:tcW w:type="dxa" w:w="1328"/>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5</w:t>
            </w:r>
          </w:p>
        </w:tc>
        <w:tc>
          <w:tcPr>
            <w:tcW w:type="dxa" w:w="610"/>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2" w:after="0"/>
              <w:ind w:left="0" w:right="0" w:firstLine="0"/>
              <w:jc w:val="center"/>
            </w:pPr>
            <w:r>
              <w:rPr>
                <w:rFonts w:ascii="ZwZeKZRB+SimSun" w:hAnsi="ZwZeKZRB+SimSun" w:eastAsia="ZwZeKZRB+SimSun"/>
                <w:color w:val="000000"/>
                <w:sz w:val="10"/>
              </w:rPr>
              <w:t>5</w:t>
            </w:r>
          </w:p>
        </w:tc>
        <w:tc>
          <w:tcPr>
            <w:tcW w:type="dxa" w:w="1816"/>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120"/>
        </w:trPr>
        <w:tc>
          <w:tcPr>
            <w:tcW w:type="dxa" w:w="2880"/>
            <w:gridSpan w:val="3"/>
            <w:vMerge/>
            <w:tcBorders>
              <w:left w:sz="2.4000000953674316" w:val="single" w:color="000000"/>
              <w:top w:sz="2.4000000953674316" w:val="single" w:color="000000"/>
              <w:right w:sz="2.4000000953674316" w:val="single" w:color="000000"/>
              <w:bottom w:sz="3.200000047683716" w:val="single" w:color="000000"/>
            </w:tcBorders>
          </w:tcPr>
          <w:p/>
        </w:tc>
        <w:tc>
          <w:tcPr>
            <w:tcW w:type="dxa" w:w="2094"/>
            <w:gridSpan w:val="4"/>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预算绩效管理情况</w:t>
            </w:r>
          </w:p>
        </w:tc>
        <w:tc>
          <w:tcPr>
            <w:tcW w:type="dxa" w:w="2122"/>
            <w:gridSpan w:val="3"/>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全程按照预算绩效相关规定执行</w:t>
            </w:r>
          </w:p>
        </w:tc>
        <w:tc>
          <w:tcPr>
            <w:tcW w:type="dxa" w:w="1328"/>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5</w:t>
            </w:r>
          </w:p>
        </w:tc>
        <w:tc>
          <w:tcPr>
            <w:tcW w:type="dxa" w:w="610"/>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8" w:lineRule="exact" w:before="14" w:after="0"/>
              <w:ind w:left="0" w:right="0" w:firstLine="0"/>
              <w:jc w:val="center"/>
            </w:pPr>
            <w:r>
              <w:rPr>
                <w:rFonts w:ascii="ZwZeKZRB+SimSun" w:hAnsi="ZwZeKZRB+SimSun" w:eastAsia="ZwZeKZRB+SimSun"/>
                <w:color w:val="000000"/>
                <w:sz w:val="10"/>
              </w:rPr>
              <w:t>5</w:t>
            </w:r>
          </w:p>
        </w:tc>
        <w:tc>
          <w:tcPr>
            <w:tcW w:type="dxa" w:w="1816"/>
            <w:gridSpan w:val="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tc>
      </w:tr>
      <w:tr>
        <w:trPr>
          <w:trHeight w:hRule="exact" w:val="180"/>
        </w:trPr>
        <w:tc>
          <w:tcPr>
            <w:tcW w:type="dxa" w:w="392"/>
            <w:vMerge w:val="restart"/>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292" w:after="0"/>
              <w:ind w:left="0" w:right="0" w:firstLine="0"/>
              <w:jc w:val="center"/>
            </w:pPr>
            <w:r>
              <w:rPr>
                <w:rFonts w:ascii="ZwZeKZRB+SimSun" w:hAnsi="ZwZeKZRB+SimSun" w:eastAsia="ZwZeKZRB+SimSun"/>
                <w:color w:val="000000"/>
                <w:sz w:val="10"/>
              </w:rPr>
              <w:t>年度总</w:t>
            </w:r>
          </w:p>
          <w:p>
            <w:pPr>
              <w:autoSpaceDN w:val="0"/>
              <w:autoSpaceDE w:val="0"/>
              <w:widowControl/>
              <w:spacing w:line="98" w:lineRule="exact" w:before="24" w:after="0"/>
              <w:ind w:left="0" w:right="0" w:firstLine="0"/>
              <w:jc w:val="center"/>
            </w:pPr>
            <w:r>
              <w:rPr>
                <w:rFonts w:ascii="ZwZeKZRB+SimSun" w:hAnsi="ZwZeKZRB+SimSun" w:eastAsia="ZwZeKZRB+SimSun"/>
                <w:color w:val="000000"/>
                <w:sz w:val="10"/>
              </w:rPr>
              <w:t>体目标</w:t>
            </w:r>
          </w:p>
        </w:tc>
        <w:tc>
          <w:tcPr>
            <w:tcW w:type="dxa" w:w="3030"/>
            <w:gridSpan w:val="6"/>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44" w:after="0"/>
              <w:ind w:left="0" w:right="0" w:firstLine="0"/>
              <w:jc w:val="center"/>
            </w:pPr>
            <w:r>
              <w:rPr>
                <w:rFonts w:ascii="ZwZeKZRB+SimSun" w:hAnsi="ZwZeKZRB+SimSun" w:eastAsia="ZwZeKZRB+SimSun"/>
                <w:color w:val="000000"/>
                <w:sz w:val="10"/>
              </w:rPr>
              <w:t>预期目标</w:t>
            </w:r>
          </w:p>
        </w:tc>
        <w:tc>
          <w:tcPr>
            <w:tcW w:type="dxa" w:w="5876"/>
            <w:gridSpan w:val="8"/>
            <w:tcBorders>
              <w:left w:sz="3.200000047683716" w:val="single" w:color="000000"/>
              <w:top w:sz="3.2000000476837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44" w:after="0"/>
              <w:ind w:left="0" w:right="0" w:firstLine="0"/>
              <w:jc w:val="center"/>
            </w:pPr>
            <w:r>
              <w:rPr>
                <w:rFonts w:ascii="ZwZeKZRB+SimSun" w:hAnsi="ZwZeKZRB+SimSun" w:eastAsia="ZwZeKZRB+SimSun"/>
                <w:color w:val="000000"/>
                <w:sz w:val="10"/>
              </w:rPr>
              <w:t>实际完成情况</w:t>
            </w:r>
          </w:p>
        </w:tc>
      </w:tr>
      <w:tr>
        <w:trPr>
          <w:trHeight w:hRule="exact" w:val="616"/>
        </w:trPr>
        <w:tc>
          <w:tcPr>
            <w:tcW w:type="dxa" w:w="960"/>
            <w:vMerge/>
            <w:tcBorders>
              <w:left w:sz="2.4000000953674316" w:val="single" w:color="000000"/>
              <w:top w:sz="3.200000047683716" w:val="single" w:color="000000"/>
              <w:right w:sz="3.200000047683716" w:val="single" w:color="000000"/>
              <w:bottom w:sz="2.4000000953674316" w:val="single" w:color="000000"/>
            </w:tcBorders>
          </w:tcPr>
          <w:p/>
        </w:tc>
        <w:tc>
          <w:tcPr>
            <w:tcW w:type="dxa" w:w="3030"/>
            <w:gridSpan w:val="6"/>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tabs>
                <w:tab w:pos="56" w:val="left"/>
                <w:tab w:pos="2112" w:val="left"/>
              </w:tabs>
              <w:autoSpaceDE w:val="0"/>
              <w:widowControl/>
              <w:spacing w:line="120" w:lineRule="exact" w:before="0" w:after="0"/>
              <w:ind w:left="30" w:right="0" w:firstLine="0"/>
              <w:jc w:val="left"/>
            </w:pPr>
            <w:r>
              <w:rPr>
                <w:rFonts w:ascii="ZwZeKZRB+SimSun" w:hAnsi="ZwZeKZRB+SimSun" w:eastAsia="ZwZeKZRB+SimSun"/>
                <w:color w:val="000000"/>
                <w:sz w:val="10"/>
              </w:rPr>
              <w:t>完成省人事考试中心安排的2024年省公务员考试笔试(包含公务</w:t>
            </w:r>
            <w:r>
              <w:rPr>
                <w:rFonts w:ascii="ZwZeKZRB+SimSun" w:hAnsi="ZwZeKZRB+SimSun" w:eastAsia="ZwZeKZRB+SimSun"/>
                <w:color w:val="000000"/>
                <w:sz w:val="10"/>
              </w:rPr>
              <w:t>圆满完成2024年度河</w:t>
            </w:r>
            <w:r>
              <w:rPr>
                <w:rFonts w:ascii="ZwZeKZRB+SimSun" w:hAnsi="ZwZeKZRB+SimSun" w:eastAsia="ZwZeKZRB+SimSun"/>
                <w:color w:val="000000"/>
                <w:sz w:val="10"/>
              </w:rPr>
              <w:t>员遴选)许昌地区考试工作，以防范化解考试风险为目标，主动</w:t>
            </w:r>
            <w:r>
              <w:rPr>
                <w:rFonts w:ascii="ZwZeKZRB+SimSun" w:hAnsi="ZwZeKZRB+SimSun" w:eastAsia="ZwZeKZRB+SimSun"/>
                <w:color w:val="000000"/>
                <w:sz w:val="10"/>
              </w:rPr>
              <w:t>适应疫情防控常态化形势，确保考场质量达标，维护好考区秩</w:t>
            </w:r>
            <w:r>
              <w:rPr>
                <w:rFonts w:ascii="ZwZeKZRB+SimSun" w:hAnsi="ZwZeKZRB+SimSun" w:eastAsia="ZwZeKZRB+SimSun"/>
                <w:color w:val="000000"/>
                <w:sz w:val="10"/>
              </w:rPr>
              <w:t>序，同时保证考试公平公正的环境，为我市吸纳更多的人才。</w:t>
            </w:r>
            <w:r>
              <w:rPr>
                <w:rFonts w:ascii="ZwZeKZRB+SimSun" w:hAnsi="ZwZeKZRB+SimSun" w:eastAsia="ZwZeKZRB+SimSun"/>
                <w:color w:val="000000"/>
                <w:sz w:val="10"/>
              </w:rPr>
              <w:t>同时，做到及时足量的为考务工作人员发放劳务费用。在做好</w:t>
            </w:r>
          </w:p>
        </w:tc>
        <w:tc>
          <w:tcPr>
            <w:tcW w:type="dxa" w:w="5876"/>
            <w:gridSpan w:val="8"/>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20" w:after="0"/>
              <w:ind w:left="0" w:right="0" w:firstLine="0"/>
              <w:jc w:val="center"/>
            </w:pPr>
            <w:r>
              <w:rPr>
                <w:rFonts w:ascii="ZwZeKZRB+SimSun" w:hAnsi="ZwZeKZRB+SimSun" w:eastAsia="ZwZeKZRB+SimSun"/>
                <w:color w:val="000000"/>
                <w:sz w:val="10"/>
              </w:rPr>
              <w:t>南省公务员招录考试许昌考区考务工作。根据2024年3月省公务员考试考生数量及规模，实际申请金额为74.463万元，于10</w:t>
            </w:r>
          </w:p>
        </w:tc>
      </w:tr>
      <w:tr>
        <w:trPr>
          <w:trHeight w:hRule="exact" w:val="248"/>
        </w:trPr>
        <w:tc>
          <w:tcPr>
            <w:tcW w:type="dxa" w:w="9298"/>
            <w:gridSpan w:val="15"/>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tbl>
            <w:tblPr>
              <w:tblW w:type="auto" w:w="0"/>
              <w:tblLayout w:type="fixed"/>
              <w:tblLook w:firstColumn="1" w:firstRow="1" w:lastColumn="0" w:lastRow="0" w:noHBand="0" w:noVBand="1" w:val="04A0"/>
              <w:tblInd w:w="212.00000000000003" w:type="dxa"/>
            </w:tblPr>
            <w:tblGrid>
              <w:gridCol w:w="3680"/>
              <w:gridCol w:w="3180"/>
            </w:tblGrid>
            <w:tr>
              <w:trPr>
                <w:trHeight w:hRule="exact" w:val="190"/>
              </w:trPr>
              <w:tc>
                <w:tcPr>
                  <w:tcW w:type="dxa" w:w="3680"/>
                  <w:tcMar>
                    <w:start w:w="0" w:type="dxa"/>
                    <w:end w:w="0" w:type="dxa"/>
                  </w:tcMar>
                </w:tcPr>
                <w:p>
                  <w:pPr>
                    <w:autoSpaceDN w:val="0"/>
                    <w:autoSpaceDE w:val="0"/>
                    <w:widowControl/>
                    <w:spacing w:line="96" w:lineRule="exact" w:before="6" w:after="0"/>
                    <w:ind w:left="236" w:right="0" w:firstLine="0"/>
                    <w:jc w:val="left"/>
                  </w:pPr>
                  <w:r>
                    <w:rPr>
                      <w:rFonts w:ascii="ZwZeKZRB+SimSun" w:hAnsi="ZwZeKZRB+SimSun" w:eastAsia="ZwZeKZRB+SimSun"/>
                      <w:color w:val="000000"/>
                      <w:sz w:val="10"/>
                    </w:rPr>
                    <w:t>各部门协调配合工作的前提下，全面推动人事考试“工作程序</w:t>
                  </w:r>
                </w:p>
              </w:tc>
              <w:tc>
                <w:tcPr>
                  <w:tcW w:type="dxa" w:w="3180"/>
                  <w:tcMar>
                    <w:start w:w="0" w:type="dxa"/>
                    <w:end w:w="0" w:type="dxa"/>
                  </w:tcMar>
                </w:tcPr>
                <w:p>
                  <w:pPr>
                    <w:autoSpaceDN w:val="0"/>
                    <w:autoSpaceDE w:val="0"/>
                    <w:widowControl/>
                    <w:spacing w:line="98" w:lineRule="exact" w:before="78" w:after="0"/>
                    <w:ind w:left="542" w:right="0" w:firstLine="0"/>
                    <w:jc w:val="left"/>
                  </w:pPr>
                  <w:r>
                    <w:rPr>
                      <w:rFonts w:ascii="ZwZeKZRB+SimSun" w:hAnsi="ZwZeKZRB+SimSun" w:eastAsia="ZwZeKZRB+SimSun"/>
                      <w:color w:val="000000"/>
                      <w:sz w:val="10"/>
                    </w:rPr>
                    <w:t>绩效指标</w:t>
                  </w:r>
                </w:p>
              </w:tc>
            </w:tr>
          </w:tbl>
          <w:p>
            <w:pPr>
              <w:autoSpaceDN w:val="0"/>
              <w:autoSpaceDE w:val="0"/>
              <w:widowControl/>
              <w:spacing w:line="14" w:lineRule="exact" w:before="0" w:after="0"/>
              <w:ind w:left="0" w:right="0"/>
            </w:pPr>
          </w:p>
        </w:tc>
      </w:tr>
      <w:tr>
        <w:trPr>
          <w:trHeight w:hRule="exact" w:val="228"/>
        </w:trPr>
        <w:tc>
          <w:tcPr>
            <w:tcW w:type="dxa" w:w="880"/>
            <w:gridSpan w:val="2"/>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一级指标</w:t>
            </w:r>
          </w:p>
        </w:tc>
        <w:tc>
          <w:tcPr>
            <w:tcW w:type="dxa" w:w="1198"/>
            <w:gridSpan w:val="2"/>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二级指标</w:t>
            </w:r>
          </w:p>
        </w:tc>
        <w:tc>
          <w:tcPr>
            <w:tcW w:type="dxa" w:w="898"/>
            <w:gridSpan w:val="2"/>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三级指标</w:t>
            </w:r>
          </w:p>
        </w:tc>
        <w:tc>
          <w:tcPr>
            <w:tcW w:type="dxa" w:w="898"/>
            <w:gridSpan w:val="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年度指标值</w:t>
            </w:r>
          </w:p>
        </w:tc>
        <w:tc>
          <w:tcPr>
            <w:tcW w:type="dxa" w:w="1670"/>
            <w:gridSpan w:val="2"/>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实际值完成值</w:t>
            </w:r>
          </w:p>
        </w:tc>
        <w:tc>
          <w:tcPr>
            <w:tcW w:type="dxa" w:w="918"/>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分值</w:t>
            </w:r>
          </w:p>
        </w:tc>
        <w:tc>
          <w:tcPr>
            <w:tcW w:type="dxa" w:w="1020"/>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得分</w:t>
            </w:r>
          </w:p>
        </w:tc>
        <w:tc>
          <w:tcPr>
            <w:tcW w:type="dxa" w:w="42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偏差度</w:t>
            </w:r>
          </w:p>
        </w:tc>
        <w:tc>
          <w:tcPr>
            <w:tcW w:type="dxa" w:w="1394"/>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68" w:after="0"/>
              <w:ind w:left="0" w:right="0" w:firstLine="0"/>
              <w:jc w:val="center"/>
            </w:pPr>
            <w:r>
              <w:rPr>
                <w:rFonts w:ascii="ZwZeKZRB+SimSun" w:hAnsi="ZwZeKZRB+SimSun" w:eastAsia="ZwZeKZRB+SimSun"/>
                <w:color w:val="000000"/>
                <w:sz w:val="10"/>
              </w:rPr>
              <w:t>偏差原因分析及改进措施</w:t>
            </w:r>
          </w:p>
        </w:tc>
      </w:tr>
      <w:tr>
        <w:trPr>
          <w:trHeight w:hRule="exact" w:val="316"/>
        </w:trPr>
        <w:tc>
          <w:tcPr>
            <w:tcW w:type="dxa" w:w="880"/>
            <w:gridSpan w:val="2"/>
            <w:vMerge w:val="restart"/>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424" w:after="0"/>
              <w:ind w:left="0" w:right="0" w:firstLine="0"/>
              <w:jc w:val="center"/>
            </w:pPr>
            <w:r>
              <w:rPr>
                <w:rFonts w:ascii="ZwZeKZRB+SimSun" w:hAnsi="ZwZeKZRB+SimSun" w:eastAsia="ZwZeKZRB+SimSun"/>
                <w:color w:val="000000"/>
                <w:sz w:val="10"/>
              </w:rPr>
              <w:t>成本指标</w:t>
            </w:r>
          </w:p>
        </w:tc>
        <w:tc>
          <w:tcPr>
            <w:tcW w:type="dxa" w:w="1198"/>
            <w:gridSpan w:val="2"/>
            <w:vMerge w:val="restart"/>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424" w:after="0"/>
              <w:ind w:left="0" w:right="0" w:firstLine="0"/>
              <w:jc w:val="center"/>
            </w:pPr>
            <w:r>
              <w:rPr>
                <w:rFonts w:ascii="ZwZeKZRB+SimSun" w:hAnsi="ZwZeKZRB+SimSun" w:eastAsia="ZwZeKZRB+SimSun"/>
                <w:color w:val="000000"/>
                <w:sz w:val="10"/>
              </w:rPr>
              <w:t>经济成本指标</w:t>
            </w:r>
          </w:p>
        </w:tc>
        <w:tc>
          <w:tcPr>
            <w:tcW w:type="dxa" w:w="898"/>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50" w:after="0"/>
              <w:ind w:left="0" w:right="0" w:firstLine="0"/>
              <w:jc w:val="center"/>
            </w:pPr>
            <w:r>
              <w:rPr>
                <w:rFonts w:ascii="ZwZeKZRB+SimSun" w:hAnsi="ZwZeKZRB+SimSun" w:eastAsia="ZwZeKZRB+SimSun"/>
                <w:color w:val="000000"/>
                <w:sz w:val="10"/>
              </w:rPr>
              <w:t>第一天相关考务人</w:t>
            </w:r>
          </w:p>
          <w:p>
            <w:pPr>
              <w:autoSpaceDN w:val="0"/>
              <w:autoSpaceDE w:val="0"/>
              <w:widowControl/>
              <w:spacing w:line="96" w:lineRule="exact" w:before="24" w:after="0"/>
              <w:ind w:left="0" w:right="0" w:firstLine="0"/>
              <w:jc w:val="center"/>
            </w:pPr>
            <w:r>
              <w:rPr>
                <w:rFonts w:ascii="ZwZeKZRB+SimSun" w:hAnsi="ZwZeKZRB+SimSun" w:eastAsia="ZwZeKZRB+SimSun"/>
                <w:color w:val="000000"/>
                <w:sz w:val="10"/>
              </w:rPr>
              <w:t>员劳务费成本</w:t>
            </w:r>
          </w:p>
        </w:tc>
        <w:tc>
          <w:tcPr>
            <w:tcW w:type="dxa" w:w="898"/>
            <w:gridSpan w:val="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=300人/天</w:t>
            </w:r>
          </w:p>
        </w:tc>
        <w:tc>
          <w:tcPr>
            <w:tcW w:type="dxa" w:w="1670"/>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300人/天</w:t>
            </w:r>
          </w:p>
        </w:tc>
        <w:tc>
          <w:tcPr>
            <w:tcW w:type="dxa" w:w="918"/>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w:t>
            </w:r>
          </w:p>
        </w:tc>
        <w:tc>
          <w:tcPr>
            <w:tcW w:type="dxa" w:w="1020"/>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w:t>
            </w:r>
          </w:p>
        </w:tc>
        <w:tc>
          <w:tcPr>
            <w:tcW w:type="dxa" w:w="42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tc>
      </w:tr>
      <w:tr>
        <w:trPr>
          <w:trHeight w:hRule="exact" w:val="312"/>
        </w:trPr>
        <w:tc>
          <w:tcPr>
            <w:tcW w:type="dxa" w:w="1920"/>
            <w:gridSpan w:val="2"/>
            <w:vMerge/>
            <w:tcBorders>
              <w:left w:sz="2.4000000953674316" w:val="single" w:color="000000"/>
              <w:top w:sz="3.2000000476837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3.2000000476837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48" w:after="0"/>
              <w:ind w:left="0" w:right="0" w:firstLine="0"/>
              <w:jc w:val="center"/>
            </w:pPr>
            <w:r>
              <w:rPr>
                <w:rFonts w:ascii="ZwZeKZRB+SimSun" w:hAnsi="ZwZeKZRB+SimSun" w:eastAsia="ZwZeKZRB+SimSun"/>
                <w:color w:val="000000"/>
                <w:sz w:val="10"/>
              </w:rPr>
              <w:t>第二天相关考务人</w:t>
            </w:r>
          </w:p>
          <w:p>
            <w:pPr>
              <w:autoSpaceDN w:val="0"/>
              <w:autoSpaceDE w:val="0"/>
              <w:widowControl/>
              <w:spacing w:line="96" w:lineRule="exact" w:before="24" w:after="0"/>
              <w:ind w:left="0" w:right="0" w:firstLine="0"/>
              <w:jc w:val="center"/>
            </w:pPr>
            <w:r>
              <w:rPr>
                <w:rFonts w:ascii="ZwZeKZRB+SimSun" w:hAnsi="ZwZeKZRB+SimSun" w:eastAsia="ZwZeKZRB+SimSun"/>
                <w:color w:val="000000"/>
                <w:sz w:val="10"/>
              </w:rPr>
              <w:t>员劳务费成本</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08" w:after="0"/>
              <w:ind w:left="0" w:right="0" w:firstLine="0"/>
              <w:jc w:val="center"/>
            </w:pPr>
            <w:r>
              <w:rPr>
                <w:rFonts w:ascii="ZwZeKZRB+SimSun" w:hAnsi="ZwZeKZRB+SimSun" w:eastAsia="ZwZeKZRB+SimSun"/>
                <w:color w:val="000000"/>
                <w:sz w:val="10"/>
              </w:rPr>
              <w:t>=200人/半天</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08" w:after="0"/>
              <w:ind w:left="0" w:right="0" w:firstLine="0"/>
              <w:jc w:val="center"/>
            </w:pPr>
            <w:r>
              <w:rPr>
                <w:rFonts w:ascii="ZwZeKZRB+SimSun" w:hAnsi="ZwZeKZRB+SimSun" w:eastAsia="ZwZeKZRB+SimSun"/>
                <w:color w:val="000000"/>
                <w:sz w:val="10"/>
              </w:rPr>
              <w:t>200人/半天</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08" w:after="0"/>
              <w:ind w:left="0" w:right="0" w:firstLine="0"/>
              <w:jc w:val="center"/>
            </w:pPr>
            <w:r>
              <w:rPr>
                <w:rFonts w:ascii="ZwZeKZRB+SimSun" w:hAnsi="ZwZeKZRB+SimSun" w:eastAsia="ZwZeKZRB+SimSun"/>
                <w:color w:val="000000"/>
                <w:sz w:val="10"/>
              </w:rPr>
              <w:t>3</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08" w:after="0"/>
              <w:ind w:left="0" w:right="0" w:firstLine="0"/>
              <w:jc w:val="center"/>
            </w:pPr>
            <w:r>
              <w:rPr>
                <w:rFonts w:ascii="ZwZeKZRB+SimSun" w:hAnsi="ZwZeKZRB+SimSun" w:eastAsia="ZwZeKZRB+SimSun"/>
                <w:color w:val="000000"/>
                <w:sz w:val="10"/>
              </w:rPr>
              <w:t>3</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08"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4"/>
        </w:trPr>
        <w:tc>
          <w:tcPr>
            <w:tcW w:type="dxa" w:w="1920"/>
            <w:gridSpan w:val="2"/>
            <w:vMerge/>
            <w:tcBorders>
              <w:left w:sz="2.4000000953674316" w:val="single" w:color="000000"/>
              <w:top w:sz="3.2000000476837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3.2000000476837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总成本</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≥70万元</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74万元</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6"/>
        </w:trPr>
        <w:tc>
          <w:tcPr>
            <w:tcW w:type="dxa" w:w="880"/>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212" w:after="0"/>
              <w:ind w:left="0" w:right="0" w:firstLine="0"/>
              <w:jc w:val="center"/>
            </w:pPr>
            <w:r>
              <w:rPr>
                <w:rFonts w:ascii="ZwZeKZRB+SimSun" w:hAnsi="ZwZeKZRB+SimSun" w:eastAsia="ZwZeKZRB+SimSun"/>
                <w:color w:val="000000"/>
                <w:sz w:val="10"/>
              </w:rPr>
              <w:t>产出指标</w:t>
            </w:r>
          </w:p>
        </w:tc>
        <w:tc>
          <w:tcPr>
            <w:tcW w:type="dxa" w:w="1198"/>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584" w:after="0"/>
              <w:ind w:left="0" w:right="0" w:firstLine="0"/>
              <w:jc w:val="center"/>
            </w:pPr>
            <w:r>
              <w:rPr>
                <w:rFonts w:ascii="ZwZeKZRB+SimSun" w:hAnsi="ZwZeKZRB+SimSun" w:eastAsia="ZwZeKZRB+SimSun"/>
                <w:color w:val="000000"/>
                <w:sz w:val="10"/>
              </w:rPr>
              <w:t>数量指标</w:t>
            </w: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考场数量</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≥800个</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826个</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2"/>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考生数量</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≥24000人</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24012人</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4"/>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考务工作人员数量</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≥2200人次</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2434人次</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6"/>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考点数量</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≥20个</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21个</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4"/>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198"/>
            <w:gridSpan w:val="2"/>
            <w:vMerge w:val="restart"/>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268" w:after="0"/>
              <w:ind w:left="0" w:right="0" w:firstLine="0"/>
              <w:jc w:val="center"/>
            </w:pPr>
            <w:r>
              <w:rPr>
                <w:rFonts w:ascii="ZwZeKZRB+SimSun" w:hAnsi="ZwZeKZRB+SimSun" w:eastAsia="ZwZeKZRB+SimSun"/>
                <w:color w:val="000000"/>
                <w:sz w:val="10"/>
              </w:rPr>
              <w:t>质量指标</w:t>
            </w:r>
          </w:p>
        </w:tc>
        <w:tc>
          <w:tcPr>
            <w:tcW w:type="dxa" w:w="898"/>
            <w:gridSpan w:val="2"/>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考试全流程合规性</w:t>
            </w:r>
          </w:p>
        </w:tc>
        <w:tc>
          <w:tcPr>
            <w:tcW w:type="dxa" w:w="898"/>
            <w:gridSpan w:val="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合规</w:t>
            </w:r>
          </w:p>
        </w:tc>
        <w:tc>
          <w:tcPr>
            <w:tcW w:type="dxa" w:w="1670"/>
            <w:gridSpan w:val="2"/>
            <w:tcBorders>
              <w:left w:sz="2.40000009536743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100%</w:t>
            </w:r>
          </w:p>
        </w:tc>
        <w:tc>
          <w:tcPr>
            <w:tcW w:type="dxa" w:w="918"/>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2.40000009536743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2.40000009536743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3.200000047683716" w:val="single" w:color="000000"/>
            </w:tcBorders>
            <w:tcMar>
              <w:start w:w="0" w:type="dxa"/>
              <w:end w:w="0" w:type="dxa"/>
            </w:tcMar>
          </w:tcPr>
          <w:p/>
        </w:tc>
      </w:tr>
      <w:tr>
        <w:trPr>
          <w:trHeight w:hRule="exact" w:val="314"/>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3.200000047683716" w:val="single" w:color="000000"/>
            </w:tcBorders>
          </w:tcPr>
          <w:p/>
        </w:tc>
        <w:tc>
          <w:tcPr>
            <w:tcW w:type="dxa" w:w="898"/>
            <w:gridSpan w:val="2"/>
            <w:tcBorders>
              <w:left w:sz="2.40000009536743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考务费发放准确率</w:t>
            </w:r>
          </w:p>
        </w:tc>
        <w:tc>
          <w:tcPr>
            <w:tcW w:type="dxa" w:w="898"/>
            <w:gridSpan w:val="2"/>
            <w:tcBorders>
              <w:left w:sz="3.200000047683716" w:val="single" w:color="000000"/>
              <w:top w:sz="3.2000000476837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≥99%</w:t>
            </w:r>
          </w:p>
        </w:tc>
        <w:tc>
          <w:tcPr>
            <w:tcW w:type="dxa" w:w="1670"/>
            <w:gridSpan w:val="2"/>
            <w:tcBorders>
              <w:left w:sz="2.40000009536743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100%</w:t>
            </w:r>
          </w:p>
        </w:tc>
        <w:tc>
          <w:tcPr>
            <w:tcW w:type="dxa" w:w="918"/>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4</w:t>
            </w:r>
          </w:p>
        </w:tc>
        <w:tc>
          <w:tcPr>
            <w:tcW w:type="dxa" w:w="1020"/>
            <w:gridSpan w:val="2"/>
            <w:tcBorders>
              <w:left w:sz="3.200000047683716"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4</w:t>
            </w:r>
          </w:p>
        </w:tc>
        <w:tc>
          <w:tcPr>
            <w:tcW w:type="dxa" w:w="422"/>
            <w:tcBorders>
              <w:left w:sz="3.200000047683716" w:val="single" w:color="000000"/>
              <w:top w:sz="3.200000047683716" w:val="single" w:color="000000"/>
              <w:right w:sz="2.4000000953674316" w:val="single" w:color="000000"/>
              <w:bottom w:sz="3.2000000476837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3.200000047683716" w:val="single" w:color="000000"/>
              <w:right w:sz="2.4000000953674316" w:val="single" w:color="000000"/>
              <w:bottom w:sz="3.200000047683716" w:val="single" w:color="000000"/>
            </w:tcBorders>
            <w:tcMar>
              <w:start w:w="0" w:type="dxa"/>
              <w:end w:w="0" w:type="dxa"/>
            </w:tcMar>
          </w:tcPr>
          <w:p/>
        </w:tc>
      </w:tr>
      <w:tr>
        <w:trPr>
          <w:trHeight w:hRule="exact" w:val="314"/>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198"/>
            <w:gridSpan w:val="2"/>
            <w:vMerge w:val="restart"/>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268" w:after="0"/>
              <w:ind w:left="0" w:right="0" w:firstLine="0"/>
              <w:jc w:val="center"/>
            </w:pPr>
            <w:r>
              <w:rPr>
                <w:rFonts w:ascii="ZwZeKZRB+SimSun" w:hAnsi="ZwZeKZRB+SimSun" w:eastAsia="ZwZeKZRB+SimSun"/>
                <w:color w:val="000000"/>
                <w:sz w:val="10"/>
              </w:rPr>
              <w:t>时效指标</w:t>
            </w:r>
          </w:p>
        </w:tc>
        <w:tc>
          <w:tcPr>
            <w:tcW w:type="dxa" w:w="898"/>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费用拨付时间</w:t>
            </w:r>
          </w:p>
        </w:tc>
        <w:tc>
          <w:tcPr>
            <w:tcW w:type="dxa" w:w="898"/>
            <w:gridSpan w:val="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≤12月份</w:t>
            </w:r>
          </w:p>
        </w:tc>
        <w:tc>
          <w:tcPr>
            <w:tcW w:type="dxa" w:w="1670"/>
            <w:gridSpan w:val="2"/>
            <w:tcBorders>
              <w:left w:sz="2.40000009536743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10月份</w:t>
            </w:r>
          </w:p>
        </w:tc>
        <w:tc>
          <w:tcPr>
            <w:tcW w:type="dxa" w:w="918"/>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w:t>
            </w:r>
          </w:p>
        </w:tc>
        <w:tc>
          <w:tcPr>
            <w:tcW w:type="dxa" w:w="1020"/>
            <w:gridSpan w:val="2"/>
            <w:tcBorders>
              <w:left w:sz="3.200000047683716" w:val="single" w:color="000000"/>
              <w:top w:sz="3.2000000476837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3</w:t>
            </w:r>
          </w:p>
        </w:tc>
        <w:tc>
          <w:tcPr>
            <w:tcW w:type="dxa" w:w="422"/>
            <w:tcBorders>
              <w:left w:sz="3.200000047683716" w:val="single" w:color="000000"/>
              <w:top w:sz="3.2000000476837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2"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3.200000047683716" w:val="single" w:color="000000"/>
              <w:right w:sz="2.4000000953674316" w:val="single" w:color="000000"/>
              <w:bottom w:sz="2.4000000953674316" w:val="single" w:color="000000"/>
            </w:tcBorders>
            <w:tcMar>
              <w:start w:w="0" w:type="dxa"/>
              <w:end w:w="0" w:type="dxa"/>
            </w:tcMar>
          </w:tcPr>
          <w:p/>
        </w:tc>
      </w:tr>
      <w:tr>
        <w:trPr>
          <w:trHeight w:hRule="exact" w:val="316"/>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3.2000000476837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考试时长</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=1.5天</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1.5天</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3</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3</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10"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2"/>
        </w:trPr>
        <w:tc>
          <w:tcPr>
            <w:tcW w:type="dxa" w:w="880"/>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266" w:after="0"/>
              <w:ind w:left="0" w:right="0" w:firstLine="0"/>
              <w:jc w:val="center"/>
            </w:pPr>
            <w:r>
              <w:rPr>
                <w:rFonts w:ascii="ZwZeKZRB+SimSun" w:hAnsi="ZwZeKZRB+SimSun" w:eastAsia="ZwZeKZRB+SimSun"/>
                <w:color w:val="000000"/>
                <w:sz w:val="10"/>
              </w:rPr>
              <w:t>效益指标</w:t>
            </w:r>
          </w:p>
        </w:tc>
        <w:tc>
          <w:tcPr>
            <w:tcW w:type="dxa" w:w="1198"/>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266" w:after="0"/>
              <w:ind w:left="0" w:right="0" w:firstLine="0"/>
              <w:jc w:val="center"/>
            </w:pPr>
            <w:r>
              <w:rPr>
                <w:rFonts w:ascii="ZwZeKZRB+SimSun" w:hAnsi="ZwZeKZRB+SimSun" w:eastAsia="ZwZeKZRB+SimSun"/>
                <w:color w:val="000000"/>
                <w:sz w:val="10"/>
              </w:rPr>
              <w:t>社会效益指标</w:t>
            </w: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单位就业岗位</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增加</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100%</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10</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10</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8" w:lineRule="exact" w:before="108"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4"/>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确保考试公平环境</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持续保障</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100%</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15</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15</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6"/>
        </w:trPr>
        <w:tc>
          <w:tcPr>
            <w:tcW w:type="dxa" w:w="880"/>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270" w:after="0"/>
              <w:ind w:left="0" w:right="0" w:firstLine="0"/>
              <w:jc w:val="center"/>
            </w:pPr>
            <w:r>
              <w:rPr>
                <w:rFonts w:ascii="ZwZeKZRB+SimSun" w:hAnsi="ZwZeKZRB+SimSun" w:eastAsia="ZwZeKZRB+SimSun"/>
                <w:color w:val="000000"/>
                <w:sz w:val="10"/>
              </w:rPr>
              <w:t>满意度指标</w:t>
            </w:r>
          </w:p>
        </w:tc>
        <w:tc>
          <w:tcPr>
            <w:tcW w:type="dxa" w:w="1198"/>
            <w:gridSpan w:val="2"/>
            <w:vMerge w:val="restart"/>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270" w:after="0"/>
              <w:ind w:left="0" w:right="0" w:firstLine="0"/>
              <w:jc w:val="center"/>
            </w:pPr>
            <w:r>
              <w:rPr>
                <w:rFonts w:ascii="ZwZeKZRB+SimSun" w:hAnsi="ZwZeKZRB+SimSun" w:eastAsia="ZwZeKZRB+SimSun"/>
                <w:color w:val="000000"/>
                <w:sz w:val="10"/>
              </w:rPr>
              <w:t>服务对象满意度指标</w:t>
            </w: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考生满意率</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≥99%</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99%</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3</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3</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2"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2"/>
        </w:trPr>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1920"/>
            <w:gridSpan w:val="2"/>
            <w:vMerge/>
            <w:tcBorders>
              <w:left w:sz="2.4000000953674316" w:val="single" w:color="000000"/>
              <w:top w:sz="2.4000000953674316" w:val="single" w:color="000000"/>
              <w:right w:sz="2.4000000953674316" w:val="single" w:color="000000"/>
              <w:bottom w:sz="2.4000000953674316" w:val="single" w:color="000000"/>
            </w:tcBorders>
          </w:tcPr>
          <w:p/>
        </w:tc>
        <w:tc>
          <w:tcPr>
            <w:tcW w:type="dxa" w:w="898"/>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考务人员满意率</w:t>
            </w:r>
          </w:p>
        </w:tc>
        <w:tc>
          <w:tcPr>
            <w:tcW w:type="dxa" w:w="898"/>
            <w:gridSpan w:val="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≥99%</w:t>
            </w:r>
          </w:p>
        </w:tc>
        <w:tc>
          <w:tcPr>
            <w:tcW w:type="dxa" w:w="1670"/>
            <w:gridSpan w:val="2"/>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99%</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2</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2</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pPr>
              <w:autoSpaceDN w:val="0"/>
              <w:autoSpaceDE w:val="0"/>
              <w:widowControl/>
              <w:spacing w:line="96" w:lineRule="exact" w:before="110" w:after="0"/>
              <w:ind w:left="0" w:right="0" w:firstLine="0"/>
              <w:jc w:val="center"/>
            </w:pPr>
            <w:r>
              <w:rPr>
                <w:rFonts w:ascii="ZwZeKZRB+SimSun" w:hAnsi="ZwZeKZRB+SimSun" w:eastAsia="ZwZeKZRB+SimSun"/>
                <w:color w:val="000000"/>
                <w:sz w:val="10"/>
              </w:rPr>
              <w:t>0.00</w:t>
            </w: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r>
        <w:trPr>
          <w:trHeight w:hRule="exact" w:val="316"/>
        </w:trPr>
        <w:tc>
          <w:tcPr>
            <w:tcW w:type="dxa" w:w="5544"/>
            <w:gridSpan w:val="10"/>
            <w:tcBorders>
              <w:left w:sz="2.40000009536743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总分</w:t>
            </w:r>
          </w:p>
        </w:tc>
        <w:tc>
          <w:tcPr>
            <w:tcW w:type="dxa" w:w="918"/>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100</w:t>
            </w:r>
          </w:p>
        </w:tc>
        <w:tc>
          <w:tcPr>
            <w:tcW w:type="dxa" w:w="1020"/>
            <w:gridSpan w:val="2"/>
            <w:tcBorders>
              <w:left w:sz="3.200000047683716" w:val="single" w:color="000000"/>
              <w:top w:sz="2.4000000953674316" w:val="single" w:color="000000"/>
              <w:right w:sz="3.200000047683716" w:val="single" w:color="000000"/>
              <w:bottom w:sz="2.4000000953674316" w:val="single" w:color="000000"/>
            </w:tcBorders>
            <w:tcMar>
              <w:start w:w="0" w:type="dxa"/>
              <w:end w:w="0" w:type="dxa"/>
            </w:tcMar>
          </w:tcPr>
          <w:p>
            <w:pPr>
              <w:autoSpaceDN w:val="0"/>
              <w:autoSpaceDE w:val="0"/>
              <w:widowControl/>
              <w:spacing w:line="96" w:lineRule="exact" w:before="114" w:after="0"/>
              <w:ind w:left="0" w:right="0" w:firstLine="0"/>
              <w:jc w:val="center"/>
            </w:pPr>
            <w:r>
              <w:rPr>
                <w:rFonts w:ascii="ZwZeKZRB+SimSun" w:hAnsi="ZwZeKZRB+SimSun" w:eastAsia="ZwZeKZRB+SimSun"/>
                <w:color w:val="000000"/>
                <w:sz w:val="10"/>
              </w:rPr>
              <w:t>100</w:t>
            </w:r>
          </w:p>
        </w:tc>
        <w:tc>
          <w:tcPr>
            <w:tcW w:type="dxa" w:w="422"/>
            <w:tcBorders>
              <w:left w:sz="3.200000047683716" w:val="single" w:color="000000"/>
              <w:top w:sz="2.4000000953674316" w:val="single" w:color="000000"/>
              <w:right w:sz="2.4000000953674316" w:val="single" w:color="000000"/>
              <w:bottom w:sz="2.4000000953674316" w:val="single" w:color="000000"/>
            </w:tcBorders>
            <w:tcMar>
              <w:start w:w="0" w:type="dxa"/>
              <w:end w:w="0" w:type="dxa"/>
            </w:tcMar>
          </w:tcPr>
          <w:p/>
        </w:tc>
        <w:tc>
          <w:tcPr>
            <w:tcW w:type="dxa" w:w="1394"/>
            <w:tcBorders>
              <w:left w:sz="2.4000000953674316" w:val="single" w:color="000000"/>
              <w:top w:sz="2.4000000953674316" w:val="single" w:color="000000"/>
              <w:right w:sz="2.4000000953674316" w:val="single" w:color="000000"/>
              <w:bottom w:sz="2.4000000953674316" w:val="single" w:color="000000"/>
            </w:tcBorders>
            <w:tcMar>
              <w:start w:w="0" w:type="dxa"/>
              <w:end w:w="0" w:type="dxa"/>
            </w:tcMar>
          </w:tcPr>
          <w:p/>
        </w:tc>
      </w:tr>
    </w:tbl>
    <w:p>
      <w:pPr>
        <w:autoSpaceDN w:val="0"/>
        <w:autoSpaceDE w:val="0"/>
        <w:widowControl/>
        <w:spacing w:line="198" w:lineRule="exact" w:before="1536" w:after="0"/>
        <w:ind w:left="0" w:right="6890" w:firstLine="0"/>
        <w:jc w:val="right"/>
      </w:pPr>
      <w:r>
        <w:rPr>
          <w:rFonts w:ascii="Ap9kiCzR+TimesNewRomanPSMT" w:hAnsi="Ap9kiCzR+TimesNewRomanPSMT" w:eastAsia="Ap9kiCzR+TimesNewRomanPSMT"/>
          <w:color w:val="000000"/>
          <w:sz w:val="18"/>
        </w:rPr>
        <w:t>31</w:t>
      </w:r>
    </w:p>
    <w:p>
      <w:pPr>
        <w:sectPr>
          <w:pgSz w:w="16839" w:h="12307"/>
          <w:pgMar w:top="204" w:right="1440" w:bottom="360" w:left="1000" w:header="720" w:footer="720" w:gutter="0"/>
          <w:cols w:num="1" w:equalWidth="0" w:space="720">
            <w:col w:w="14400" w:space="0"/>
          </w:cols>
          <w:docGrid w:linePitch="360"/>
        </w:sectPr>
      </w:pPr>
    </w:p>
    <w:p>
      <w:pPr>
        <w:autoSpaceDN w:val="0"/>
        <w:autoSpaceDE w:val="0"/>
        <w:widowControl/>
        <w:spacing w:line="204" w:lineRule="exact" w:before="0" w:after="0"/>
        <w:ind w:left="0" w:right="0"/>
      </w:pPr>
    </w:p>
    <w:p>
      <w:pPr>
        <w:autoSpaceDN w:val="0"/>
        <w:autoSpaceDE w:val="0"/>
        <w:widowControl/>
        <w:spacing w:line="234" w:lineRule="exact" w:before="0" w:after="678"/>
        <w:ind w:left="0" w:right="0" w:firstLine="0"/>
        <w:jc w:val="left"/>
      </w:pPr>
      <w:r>
        <w:rPr>
          <w:rFonts w:ascii="Ap9kiCzR+TimesNewRomanPSMT" w:hAnsi="Ap9kiCzR+TimesNewRomanPSMT" w:eastAsia="Ap9kiCzR+TimesNewRomanPSMT"/>
          <w:color w:val="FFFFFF"/>
          <w:sz w:val="21"/>
        </w:rPr>
        <w:t>&lt;PDF_KEY&gt;5a6a30f0d350407bb1f0f25c48ee4ea0</w:t>
      </w:r>
    </w:p>
    <w:tbl>
      <w:tblPr>
        <w:tblW w:type="auto" w:w="0"/>
        <w:tblLayout w:type="fixed"/>
        <w:tblLook w:firstColumn="1" w:firstRow="1" w:lastColumn="0" w:lastRow="0" w:noHBand="0" w:noVBand="1" w:val="04A0"/>
        <w:tblInd w:w="84.00000000000006" w:type="dxa"/>
      </w:tblPr>
      <w:tblGrid>
        <w:gridCol w:w="442"/>
        <w:gridCol w:w="558"/>
        <w:gridCol w:w="504"/>
        <w:gridCol w:w="854"/>
        <w:gridCol w:w="512"/>
        <w:gridCol w:w="504"/>
        <w:gridCol w:w="506"/>
        <w:gridCol w:w="514"/>
        <w:gridCol w:w="590"/>
        <w:gridCol w:w="1304"/>
        <w:gridCol w:w="1040"/>
        <w:gridCol w:w="464"/>
        <w:gridCol w:w="692"/>
        <w:gridCol w:w="474"/>
        <w:gridCol w:w="1582"/>
      </w:tblGrid>
      <w:tr>
        <w:trPr>
          <w:trHeight w:hRule="exact" w:val="252"/>
        </w:trPr>
        <w:tc>
          <w:tcPr>
            <w:tcW w:type="dxa" w:w="10540"/>
            <w:gridSpan w:val="15"/>
            <w:tcBorders>
              <w:left w:sz="3.200000047683716"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84" w:lineRule="exact" w:before="40" w:after="0"/>
              <w:ind w:left="0" w:right="0" w:firstLine="0"/>
              <w:jc w:val="center"/>
            </w:pPr>
            <w:r>
              <w:rPr>
                <w:rFonts w:ascii="ZwZeKZRB+SimSun" w:hAnsi="ZwZeKZRB+SimSun" w:eastAsia="ZwZeKZRB+SimSun"/>
                <w:color w:val="000000"/>
                <w:sz w:val="19"/>
              </w:rPr>
              <w:t xml:space="preserve">项目支出绩效自评情况表 </w:t>
            </w:r>
          </w:p>
        </w:tc>
      </w:tr>
      <w:tr>
        <w:trPr>
          <w:trHeight w:hRule="exact" w:val="186"/>
        </w:trPr>
        <w:tc>
          <w:tcPr>
            <w:tcW w:type="dxa" w:w="10540"/>
            <w:gridSpan w:val="15"/>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2025年09月</w:t>
            </w:r>
          </w:p>
        </w:tc>
      </w:tr>
      <w:tr>
        <w:trPr>
          <w:trHeight w:hRule="exact" w:val="134"/>
        </w:trPr>
        <w:tc>
          <w:tcPr>
            <w:tcW w:type="dxa" w:w="1504"/>
            <w:gridSpan w:val="3"/>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项目名称</w:t>
            </w:r>
          </w:p>
        </w:tc>
        <w:tc>
          <w:tcPr>
            <w:tcW w:type="dxa" w:w="9036"/>
            <w:gridSpan w:val="1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【基本运转】2024年工勤技能等级考试相关工作经费</w:t>
            </w:r>
          </w:p>
        </w:tc>
      </w:tr>
      <w:tr>
        <w:trPr>
          <w:trHeight w:hRule="exact" w:val="134"/>
        </w:trPr>
        <w:tc>
          <w:tcPr>
            <w:tcW w:type="dxa" w:w="1504"/>
            <w:gridSpan w:val="3"/>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主管部门</w:t>
            </w: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许昌市人力资源和社会保障局</w:t>
            </w: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实施单位</w:t>
            </w:r>
          </w:p>
        </w:tc>
        <w:tc>
          <w:tcPr>
            <w:tcW w:type="dxa" w:w="4252"/>
            <w:gridSpan w:val="5"/>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许昌市职业技能等级评价中心</w:t>
            </w:r>
          </w:p>
        </w:tc>
      </w:tr>
      <w:tr>
        <w:trPr>
          <w:trHeight w:hRule="exact" w:val="134"/>
        </w:trPr>
        <w:tc>
          <w:tcPr>
            <w:tcW w:type="dxa" w:w="1504"/>
            <w:gridSpan w:val="3"/>
            <w:vMerge w:val="restart"/>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08" w:lineRule="exact" w:before="224" w:after="0"/>
              <w:ind w:left="0" w:right="0" w:firstLine="0"/>
              <w:jc w:val="center"/>
            </w:pPr>
            <w:r>
              <w:rPr>
                <w:w w:val="104.33205691250889"/>
                <w:rFonts w:ascii="ZwZeKZRB+SimSun" w:hAnsi="ZwZeKZRB+SimSun" w:eastAsia="ZwZeKZRB+SimSun"/>
                <w:color w:val="000000"/>
                <w:sz w:val="11"/>
              </w:rPr>
              <w:t xml:space="preserve">项目资金 </w:t>
            </w:r>
          </w:p>
          <w:p>
            <w:pPr>
              <w:autoSpaceDN w:val="0"/>
              <w:autoSpaceDE w:val="0"/>
              <w:widowControl/>
              <w:spacing w:line="110" w:lineRule="exact" w:before="28" w:after="0"/>
              <w:ind w:left="0" w:right="0" w:firstLine="0"/>
              <w:jc w:val="center"/>
            </w:pPr>
            <w:r>
              <w:rPr>
                <w:w w:val="104.33205691250889"/>
                <w:rFonts w:ascii="ZwZeKZRB+SimSun" w:hAnsi="ZwZeKZRB+SimSun" w:eastAsia="ZwZeKZRB+SimSun"/>
                <w:color w:val="000000"/>
                <w:sz w:val="11"/>
              </w:rPr>
              <w:t>(万元)</w:t>
            </w: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tc>
        <w:tc>
          <w:tcPr>
            <w:tcW w:type="dxa" w:w="101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年初预算数</w:t>
            </w:r>
          </w:p>
        </w:tc>
        <w:tc>
          <w:tcPr>
            <w:tcW w:type="dxa" w:w="1104"/>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全年预算数</w:t>
            </w:r>
          </w:p>
        </w:tc>
        <w:tc>
          <w:tcPr>
            <w:tcW w:type="dxa" w:w="1304"/>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全年执行数</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分值</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执行率</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得分</w:t>
            </w:r>
          </w:p>
        </w:tc>
      </w:tr>
      <w:tr>
        <w:trPr>
          <w:trHeight w:hRule="exact" w:val="148"/>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 xml:space="preserve"> 年度资金总额：</w:t>
            </w:r>
          </w:p>
        </w:tc>
        <w:tc>
          <w:tcPr>
            <w:tcW w:type="dxa" w:w="101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36.5</w:t>
            </w:r>
          </w:p>
        </w:tc>
        <w:tc>
          <w:tcPr>
            <w:tcW w:type="dxa" w:w="1104"/>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26.5</w:t>
            </w:r>
          </w:p>
        </w:tc>
        <w:tc>
          <w:tcPr>
            <w:tcW w:type="dxa" w:w="1304"/>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0</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10</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0.0 %</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4" w:after="0"/>
              <w:ind w:left="0" w:right="0" w:firstLine="0"/>
              <w:jc w:val="center"/>
            </w:pPr>
            <w:r>
              <w:rPr>
                <w:w w:val="104.33205691250889"/>
                <w:rFonts w:ascii="ZwZeKZRB+SimSun" w:hAnsi="ZwZeKZRB+SimSun" w:eastAsia="ZwZeKZRB+SimSun"/>
                <w:color w:val="000000"/>
                <w:sz w:val="11"/>
              </w:rPr>
              <w:t>0.00</w:t>
            </w: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财政拨款</w:t>
            </w:r>
          </w:p>
        </w:tc>
        <w:tc>
          <w:tcPr>
            <w:tcW w:type="dxa" w:w="101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36.5</w:t>
            </w:r>
          </w:p>
        </w:tc>
        <w:tc>
          <w:tcPr>
            <w:tcW w:type="dxa" w:w="1104"/>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26.5</w:t>
            </w:r>
          </w:p>
        </w:tc>
        <w:tc>
          <w:tcPr>
            <w:tcW w:type="dxa" w:w="1304"/>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0.0 %</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财政专户管理资金</w:t>
            </w:r>
          </w:p>
        </w:tc>
        <w:tc>
          <w:tcPr>
            <w:tcW w:type="dxa" w:w="101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104"/>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304"/>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0.00%</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136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单位资金</w:t>
            </w:r>
          </w:p>
        </w:tc>
        <w:tc>
          <w:tcPr>
            <w:tcW w:type="dxa" w:w="101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104"/>
            <w:gridSpan w:val="2"/>
            <w:tcBorders>
              <w:left w:sz="4.0" w:val="single" w:color="000000"/>
              <w:top w:sz="3.200000047683716" w:val="single" w:color="000000"/>
              <w:right w:sz="3.200000047683716"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304"/>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0.00%</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w:t>
            </w:r>
          </w:p>
        </w:tc>
      </w:tr>
      <w:tr>
        <w:trPr>
          <w:trHeight w:hRule="exact" w:val="134"/>
        </w:trPr>
        <w:tc>
          <w:tcPr>
            <w:tcW w:type="dxa" w:w="1504"/>
            <w:gridSpan w:val="3"/>
            <w:vMerge w:val="restart"/>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284" w:after="0"/>
              <w:ind w:left="0" w:right="0" w:firstLine="0"/>
              <w:jc w:val="center"/>
            </w:pPr>
            <w:r>
              <w:rPr>
                <w:w w:val="104.33205691250889"/>
                <w:rFonts w:ascii="ZwZeKZRB+SimSun" w:hAnsi="ZwZeKZRB+SimSun" w:eastAsia="ZwZeKZRB+SimSun"/>
                <w:color w:val="000000"/>
                <w:sz w:val="11"/>
              </w:rPr>
              <w:t>资金管理情况</w:t>
            </w: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情况说明</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分值（20）</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得分</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存在问题和改进措施</w:t>
            </w: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安排科学性</w:t>
            </w: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科学</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拨付合规性</w:t>
            </w: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合规</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使用规范性</w:t>
            </w: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规范</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134"/>
        </w:trPr>
        <w:tc>
          <w:tcPr>
            <w:tcW w:type="dxa" w:w="2880"/>
            <w:gridSpan w:val="3"/>
            <w:vMerge/>
            <w:tcBorders>
              <w:left w:sz="3.200000047683716" w:val="single" w:color="000000"/>
              <w:top w:sz="3.200000047683716" w:val="single" w:color="000000"/>
              <w:right w:sz="4.0" w:val="single" w:color="000000"/>
              <w:bottom w:sz="3.200000047683716" w:val="single" w:color="000000"/>
            </w:tcBorders>
          </w:tcPr>
          <w:p/>
        </w:tc>
        <w:tc>
          <w:tcPr>
            <w:tcW w:type="dxa" w:w="2376"/>
            <w:gridSpan w:val="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预算绩效管理情况</w:t>
            </w:r>
          </w:p>
        </w:tc>
        <w:tc>
          <w:tcPr>
            <w:tcW w:type="dxa" w:w="2408"/>
            <w:gridSpan w:val="3"/>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全程按照预算绩效相关规定执行</w:t>
            </w:r>
          </w:p>
        </w:tc>
        <w:tc>
          <w:tcPr>
            <w:tcW w:type="dxa" w:w="150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69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6" w:after="0"/>
              <w:ind w:left="0" w:right="0" w:firstLine="0"/>
              <w:jc w:val="center"/>
            </w:pPr>
            <w:r>
              <w:rPr>
                <w:w w:val="104.33205691250889"/>
                <w:rFonts w:ascii="ZwZeKZRB+SimSun" w:hAnsi="ZwZeKZRB+SimSun" w:eastAsia="ZwZeKZRB+SimSun"/>
                <w:color w:val="000000"/>
                <w:sz w:val="11"/>
              </w:rPr>
              <w:t>5</w:t>
            </w:r>
          </w:p>
        </w:tc>
        <w:tc>
          <w:tcPr>
            <w:tcW w:type="dxa" w:w="2056"/>
            <w:gridSpan w:val="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204"/>
        </w:trPr>
        <w:tc>
          <w:tcPr>
            <w:tcW w:type="dxa" w:w="442"/>
            <w:vMerge w:val="restart"/>
            <w:tcBorders>
              <w:left w:sz="3.200000047683716"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332" w:after="0"/>
              <w:ind w:left="0" w:right="0" w:firstLine="0"/>
              <w:jc w:val="center"/>
            </w:pPr>
            <w:r>
              <w:rPr>
                <w:w w:val="104.33205691250889"/>
                <w:rFonts w:ascii="ZwZeKZRB+SimSun" w:hAnsi="ZwZeKZRB+SimSun" w:eastAsia="ZwZeKZRB+SimSun"/>
                <w:color w:val="000000"/>
                <w:sz w:val="11"/>
              </w:rPr>
              <w:t>年度总</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体目标</w:t>
            </w:r>
          </w:p>
        </w:tc>
        <w:tc>
          <w:tcPr>
            <w:tcW w:type="dxa" w:w="3438"/>
            <w:gridSpan w:val="6"/>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52" w:after="0"/>
              <w:ind w:left="0" w:right="0" w:firstLine="0"/>
              <w:jc w:val="center"/>
            </w:pPr>
            <w:r>
              <w:rPr>
                <w:w w:val="104.33205691250889"/>
                <w:rFonts w:ascii="ZwZeKZRB+SimSun" w:hAnsi="ZwZeKZRB+SimSun" w:eastAsia="ZwZeKZRB+SimSun"/>
                <w:color w:val="000000"/>
                <w:sz w:val="11"/>
              </w:rPr>
              <w:t>预期目标</w:t>
            </w:r>
          </w:p>
        </w:tc>
        <w:tc>
          <w:tcPr>
            <w:tcW w:type="dxa" w:w="6660"/>
            <w:gridSpan w:val="8"/>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52" w:after="0"/>
              <w:ind w:left="0" w:right="0" w:firstLine="0"/>
              <w:jc w:val="center"/>
            </w:pPr>
            <w:r>
              <w:rPr>
                <w:w w:val="104.33205691250889"/>
                <w:rFonts w:ascii="ZwZeKZRB+SimSun" w:hAnsi="ZwZeKZRB+SimSun" w:eastAsia="ZwZeKZRB+SimSun"/>
                <w:color w:val="000000"/>
                <w:sz w:val="11"/>
              </w:rPr>
              <w:t>实际完成情况</w:t>
            </w:r>
          </w:p>
        </w:tc>
      </w:tr>
      <w:tr>
        <w:trPr>
          <w:trHeight w:hRule="exact" w:val="698"/>
        </w:trPr>
        <w:tc>
          <w:tcPr>
            <w:tcW w:type="dxa" w:w="960"/>
            <w:vMerge/>
            <w:tcBorders>
              <w:left w:sz="3.200000047683716" w:val="single" w:color="000000"/>
              <w:top w:sz="3.200000047683716" w:val="single" w:color="000000"/>
              <w:right w:sz="4.0" w:val="single" w:color="000000"/>
              <w:bottom w:sz="4.0" w:val="single" w:color="000000"/>
            </w:tcBorders>
          </w:tcPr>
          <w:p/>
        </w:tc>
        <w:tc>
          <w:tcPr>
            <w:tcW w:type="dxa" w:w="3438"/>
            <w:gridSpan w:val="6"/>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协助人社局完成工勤技能等级考试前期的考生培训及其他相关</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考务工作。</w:t>
            </w:r>
          </w:p>
        </w:tc>
        <w:tc>
          <w:tcPr>
            <w:tcW w:type="dxa" w:w="6660"/>
            <w:gridSpan w:val="8"/>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完成2024年度许昌地区工勤技能等级考核的培训及考试工作，根据工作实际，共申请资金25.15545万元。由于2024年资金紧</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张，该项目资金于2025年支出。</w:t>
            </w:r>
          </w:p>
        </w:tc>
      </w:tr>
      <w:tr>
        <w:trPr>
          <w:trHeight w:hRule="exact" w:val="282"/>
        </w:trPr>
        <w:tc>
          <w:tcPr>
            <w:tcW w:type="dxa" w:w="10540"/>
            <w:gridSpan w:val="15"/>
            <w:tcBorders>
              <w:left w:sz="3.200000047683716"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88" w:after="0"/>
              <w:ind w:left="0" w:right="0" w:firstLine="0"/>
              <w:jc w:val="center"/>
            </w:pPr>
            <w:r>
              <w:rPr>
                <w:w w:val="104.33205691250889"/>
                <w:rFonts w:ascii="ZwZeKZRB+SimSun" w:hAnsi="ZwZeKZRB+SimSun" w:eastAsia="ZwZeKZRB+SimSun"/>
                <w:color w:val="000000"/>
                <w:sz w:val="11"/>
              </w:rPr>
              <w:t>绩效指标</w:t>
            </w:r>
          </w:p>
        </w:tc>
      </w:tr>
      <w:tr>
        <w:trPr>
          <w:trHeight w:hRule="exact" w:val="260"/>
        </w:trPr>
        <w:tc>
          <w:tcPr>
            <w:tcW w:type="dxa" w:w="1000"/>
            <w:gridSpan w:val="2"/>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一级指标</w:t>
            </w:r>
          </w:p>
        </w:tc>
        <w:tc>
          <w:tcPr>
            <w:tcW w:type="dxa" w:w="13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二级指标</w:t>
            </w: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三级指标</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年度指标值</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实际值完成值</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分值</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得分</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偏差度</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78" w:after="0"/>
              <w:ind w:left="0" w:right="0" w:firstLine="0"/>
              <w:jc w:val="center"/>
            </w:pPr>
            <w:r>
              <w:rPr>
                <w:w w:val="104.33205691250889"/>
                <w:rFonts w:ascii="ZwZeKZRB+SimSun" w:hAnsi="ZwZeKZRB+SimSun" w:eastAsia="ZwZeKZRB+SimSun"/>
                <w:color w:val="000000"/>
                <w:sz w:val="11"/>
              </w:rPr>
              <w:t>偏差原因分析及改进措施</w:t>
            </w:r>
          </w:p>
        </w:tc>
      </w:tr>
      <w:tr>
        <w:trPr>
          <w:trHeight w:hRule="exact" w:val="356"/>
        </w:trPr>
        <w:tc>
          <w:tcPr>
            <w:tcW w:type="dxa" w:w="1000"/>
            <w:gridSpan w:val="2"/>
            <w:vMerge w:val="restart"/>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482" w:after="0"/>
              <w:ind w:left="0" w:right="0" w:firstLine="0"/>
              <w:jc w:val="center"/>
            </w:pPr>
            <w:r>
              <w:rPr>
                <w:w w:val="104.33205691250889"/>
                <w:rFonts w:ascii="ZwZeKZRB+SimSun" w:hAnsi="ZwZeKZRB+SimSun" w:eastAsia="ZwZeKZRB+SimSun"/>
                <w:color w:val="000000"/>
                <w:sz w:val="11"/>
              </w:rPr>
              <w:t>成本指标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482" w:after="0"/>
              <w:ind w:left="0" w:right="0" w:firstLine="0"/>
              <w:jc w:val="center"/>
            </w:pPr>
            <w:r>
              <w:rPr>
                <w:w w:val="104.33205691250889"/>
                <w:rFonts w:ascii="ZwZeKZRB+SimSun" w:hAnsi="ZwZeKZRB+SimSun" w:eastAsia="ZwZeKZRB+SimSun"/>
                <w:color w:val="000000"/>
                <w:sz w:val="11"/>
              </w:rPr>
              <w:t>经济成本指标</w:t>
            </w: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支付网络培训费用</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≥9万元</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0万元</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2024年年底因为财政资金紧</w:t>
            </w:r>
            <w:r>
              <w:rPr>
                <w:w w:val="104.33205691250889"/>
                <w:rFonts w:ascii="ZwZeKZRB+SimSun" w:hAnsi="ZwZeKZRB+SimSun" w:eastAsia="ZwZeKZRB+SimSun"/>
                <w:color w:val="000000"/>
                <w:sz w:val="11"/>
              </w:rPr>
              <w:t>张，当年未支出，根据财政</w:t>
            </w:r>
            <w:r>
              <w:rPr>
                <w:w w:val="104.33205691250889"/>
                <w:rFonts w:ascii="ZwZeKZRB+SimSun" w:hAnsi="ZwZeKZRB+SimSun" w:eastAsia="ZwZeKZRB+SimSun"/>
                <w:color w:val="000000"/>
                <w:sz w:val="11"/>
              </w:rPr>
              <w:t>拨付进度，于2025年3月份支</w:t>
            </w: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总成本</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≥36.5万元</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0万元</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6" w:lineRule="exact" w:before="0" w:after="0"/>
              <w:ind w:left="0" w:right="0" w:firstLine="0"/>
              <w:jc w:val="center"/>
            </w:pPr>
            <w:r>
              <w:rPr>
                <w:w w:val="104.33205691250889"/>
                <w:rFonts w:ascii="ZwZeKZRB+SimSun" w:hAnsi="ZwZeKZRB+SimSun" w:eastAsia="ZwZeKZRB+SimSun"/>
                <w:color w:val="000000"/>
                <w:sz w:val="11"/>
              </w:rPr>
              <w:t>2024年年底因为财政资金紧</w:t>
            </w:r>
            <w:r>
              <w:rPr>
                <w:w w:val="104.33205691250889"/>
                <w:rFonts w:ascii="ZwZeKZRB+SimSun" w:hAnsi="ZwZeKZRB+SimSun" w:eastAsia="ZwZeKZRB+SimSun"/>
                <w:color w:val="000000"/>
                <w:sz w:val="11"/>
              </w:rPr>
              <w:t>张，当年未支出，根据财政</w:t>
            </w:r>
            <w:r>
              <w:rPr>
                <w:w w:val="104.33205691250889"/>
                <w:rFonts w:ascii="ZwZeKZRB+SimSun" w:hAnsi="ZwZeKZRB+SimSun" w:eastAsia="ZwZeKZRB+SimSun"/>
                <w:color w:val="000000"/>
                <w:sz w:val="11"/>
              </w:rPr>
              <w:t>拨付进度，于2025年3月份支</w:t>
            </w: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58" w:after="0"/>
              <w:ind w:left="0" w:right="0" w:firstLine="0"/>
              <w:jc w:val="center"/>
            </w:pPr>
            <w:r>
              <w:rPr>
                <w:w w:val="104.33205691250889"/>
                <w:rFonts w:ascii="ZwZeKZRB+SimSun" w:hAnsi="ZwZeKZRB+SimSun" w:eastAsia="ZwZeKZRB+SimSun"/>
                <w:color w:val="000000"/>
                <w:sz w:val="11"/>
              </w:rPr>
              <w:t>相关考务人员劳务</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费标准</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=500元/人/天</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500元/人/天</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4</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000"/>
            <w:gridSpan w:val="2"/>
            <w:vMerge w:val="restart"/>
            <w:tcBorders>
              <w:left w:sz="3.200000047683716"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016" w:after="0"/>
              <w:ind w:left="0" w:right="0" w:firstLine="0"/>
              <w:jc w:val="center"/>
            </w:pPr>
            <w:r>
              <w:rPr>
                <w:w w:val="104.33205691250889"/>
                <w:rFonts w:ascii="ZwZeKZRB+SimSun" w:hAnsi="ZwZeKZRB+SimSun" w:eastAsia="ZwZeKZRB+SimSun"/>
                <w:color w:val="000000"/>
                <w:sz w:val="11"/>
              </w:rPr>
              <w:t>产出指标</w:t>
            </w: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482" w:after="0"/>
              <w:ind w:left="0" w:right="0" w:firstLine="0"/>
              <w:jc w:val="center"/>
            </w:pPr>
            <w:r>
              <w:rPr>
                <w:w w:val="104.33205691250889"/>
                <w:rFonts w:ascii="ZwZeKZRB+SimSun" w:hAnsi="ZwZeKZRB+SimSun" w:eastAsia="ZwZeKZRB+SimSun"/>
                <w:color w:val="000000"/>
                <w:sz w:val="11"/>
              </w:rPr>
              <w:t>数量指标</w:t>
            </w: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考试天数</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≤8天</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7天</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考务工作人员人次</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≥300人次</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309人次</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考生数量</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≥1800人</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1356人</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3.77</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-24.67</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6" w:lineRule="exact" w:before="0" w:after="0"/>
              <w:ind w:left="58" w:right="50" w:firstLine="0"/>
              <w:jc w:val="both"/>
            </w:pPr>
            <w:r>
              <w:rPr>
                <w:w w:val="104.33205691250889"/>
                <w:rFonts w:ascii="ZwZeKZRB+SimSun" w:hAnsi="ZwZeKZRB+SimSun" w:eastAsia="ZwZeKZRB+SimSun"/>
                <w:color w:val="000000"/>
                <w:sz w:val="11"/>
              </w:rPr>
              <w:t>预算金额是根据往年实际支</w:t>
            </w:r>
            <w:r>
              <w:rPr>
                <w:w w:val="104.33205691250889"/>
                <w:rFonts w:ascii="ZwZeKZRB+SimSun" w:hAnsi="ZwZeKZRB+SimSun" w:eastAsia="ZwZeKZRB+SimSun"/>
                <w:color w:val="000000"/>
                <w:sz w:val="11"/>
              </w:rPr>
              <w:t>出数预估，该考试考生人数</w:t>
            </w:r>
            <w:r>
              <w:rPr>
                <w:w w:val="104.33205691250889"/>
                <w:rFonts w:ascii="ZwZeKZRB+SimSun" w:hAnsi="ZwZeKZRB+SimSun" w:eastAsia="ZwZeKZRB+SimSun"/>
                <w:color w:val="000000"/>
                <w:sz w:val="11"/>
              </w:rPr>
              <w:t>2025年较以前年度下降，所</w:t>
            </w: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358"/>
            <w:gridSpan w:val="2"/>
            <w:vMerge w:val="restart"/>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质量指标</w:t>
            </w: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考生投诉率</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920"/>
            <w:gridSpan w:val="2"/>
            <w:vMerge/>
            <w:tcBorders>
              <w:left w:sz="4.0" w:val="single" w:color="000000"/>
              <w:top w:sz="3.200000047683716"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考生培训率</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920"/>
            <w:gridSpan w:val="2"/>
            <w:vMerge/>
            <w:tcBorders>
              <w:left w:sz="3.200000047683716" w:val="single" w:color="000000"/>
              <w:top w:sz="3.200000047683716" w:val="single" w:color="000000"/>
              <w:right w:sz="4.0" w:val="single" w:color="000000"/>
              <w:bottom w:sz="3.200000047683716" w:val="single" w:color="000000"/>
            </w:tcBorders>
          </w:tcPr>
          <w:p/>
        </w:tc>
        <w:tc>
          <w:tcPr>
            <w:tcW w:type="dxa" w:w="1358"/>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时效指标</w:t>
            </w: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所有费用结算时间</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≤12月份</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0月份</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5</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1000"/>
            <w:gridSpan w:val="2"/>
            <w:tcBorders>
              <w:left w:sz="3.200000047683716"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效益指标</w:t>
            </w:r>
          </w:p>
        </w:tc>
        <w:tc>
          <w:tcPr>
            <w:tcW w:type="dxa" w:w="1358"/>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社会效益指标</w:t>
            </w:r>
          </w:p>
        </w:tc>
        <w:tc>
          <w:tcPr>
            <w:tcW w:type="dxa" w:w="1016"/>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58" w:after="0"/>
              <w:ind w:left="0" w:right="0" w:firstLine="0"/>
              <w:jc w:val="center"/>
            </w:pPr>
            <w:r>
              <w:rPr>
                <w:w w:val="104.33205691250889"/>
                <w:rFonts w:ascii="ZwZeKZRB+SimSun" w:hAnsi="ZwZeKZRB+SimSun" w:eastAsia="ZwZeKZRB+SimSun"/>
                <w:color w:val="000000"/>
                <w:sz w:val="11"/>
              </w:rPr>
              <w:t>机关事业单位工勤</w:t>
            </w:r>
          </w:p>
          <w:p>
            <w:pPr>
              <w:autoSpaceDN w:val="0"/>
              <w:autoSpaceDE w:val="0"/>
              <w:widowControl/>
              <w:spacing w:line="110" w:lineRule="exact" w:before="26" w:after="0"/>
              <w:ind w:left="0" w:right="0" w:firstLine="0"/>
              <w:jc w:val="center"/>
            </w:pPr>
            <w:r>
              <w:rPr>
                <w:w w:val="104.33205691250889"/>
                <w:rFonts w:ascii="ZwZeKZRB+SimSun" w:hAnsi="ZwZeKZRB+SimSun" w:eastAsia="ZwZeKZRB+SimSun"/>
                <w:color w:val="000000"/>
                <w:sz w:val="11"/>
              </w:rPr>
              <w:t>人员业务能力水平</w:t>
            </w:r>
          </w:p>
        </w:tc>
        <w:tc>
          <w:tcPr>
            <w:tcW w:type="dxa" w:w="1020"/>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提高</w:t>
            </w:r>
          </w:p>
        </w:tc>
        <w:tc>
          <w:tcPr>
            <w:tcW w:type="dxa" w:w="1894"/>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040"/>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25</w:t>
            </w:r>
          </w:p>
        </w:tc>
        <w:tc>
          <w:tcPr>
            <w:tcW w:type="dxa" w:w="1156"/>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25</w:t>
            </w:r>
          </w:p>
        </w:tc>
        <w:tc>
          <w:tcPr>
            <w:tcW w:type="dxa" w:w="474"/>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4.0" w:val="single" w:color="000000"/>
            </w:tcBorders>
            <w:tcMar>
              <w:start w:w="0" w:type="dxa"/>
              <w:end w:w="0" w:type="dxa"/>
            </w:tcMar>
          </w:tcPr>
          <w:p/>
        </w:tc>
      </w:tr>
      <w:tr>
        <w:trPr>
          <w:trHeight w:hRule="exact" w:val="356"/>
        </w:trPr>
        <w:tc>
          <w:tcPr>
            <w:tcW w:type="dxa" w:w="1000"/>
            <w:gridSpan w:val="2"/>
            <w:vMerge w:val="restart"/>
            <w:tcBorders>
              <w:left w:sz="3.200000047683716"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满意度指标</w:t>
            </w:r>
          </w:p>
        </w:tc>
        <w:tc>
          <w:tcPr>
            <w:tcW w:type="dxa" w:w="1358"/>
            <w:gridSpan w:val="2"/>
            <w:vMerge w:val="restart"/>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304" w:after="0"/>
              <w:ind w:left="0" w:right="0" w:firstLine="0"/>
              <w:jc w:val="center"/>
            </w:pPr>
            <w:r>
              <w:rPr>
                <w:w w:val="104.33205691250889"/>
                <w:rFonts w:ascii="ZwZeKZRB+SimSun" w:hAnsi="ZwZeKZRB+SimSun" w:eastAsia="ZwZeKZRB+SimSun"/>
                <w:color w:val="000000"/>
                <w:sz w:val="11"/>
              </w:rPr>
              <w:t>服务对象满意度指标</w:t>
            </w:r>
          </w:p>
        </w:tc>
        <w:tc>
          <w:tcPr>
            <w:tcW w:type="dxa" w:w="1016"/>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考生满意率</w:t>
            </w:r>
          </w:p>
        </w:tc>
        <w:tc>
          <w:tcPr>
            <w:tcW w:type="dxa" w:w="1020"/>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4"/>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040"/>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1156"/>
            <w:gridSpan w:val="2"/>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3</w:t>
            </w:r>
          </w:p>
        </w:tc>
        <w:tc>
          <w:tcPr>
            <w:tcW w:type="dxa" w:w="474"/>
            <w:tcBorders>
              <w:left w:sz="4.0" w:val="single" w:color="000000"/>
              <w:top w:sz="4.0"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4.0" w:val="single" w:color="000000"/>
              <w:right w:sz="4.0" w:val="single" w:color="000000"/>
              <w:bottom w:sz="3.200000047683716" w:val="single" w:color="000000"/>
            </w:tcBorders>
            <w:tcMar>
              <w:start w:w="0" w:type="dxa"/>
              <w:end w:w="0" w:type="dxa"/>
            </w:tcMar>
          </w:tcPr>
          <w:p/>
        </w:tc>
      </w:tr>
      <w:tr>
        <w:trPr>
          <w:trHeight w:hRule="exact" w:val="356"/>
        </w:trPr>
        <w:tc>
          <w:tcPr>
            <w:tcW w:type="dxa" w:w="1920"/>
            <w:gridSpan w:val="2"/>
            <w:vMerge/>
            <w:tcBorders>
              <w:left w:sz="3.200000047683716" w:val="single" w:color="000000"/>
              <w:top w:sz="4.0" w:val="single" w:color="000000"/>
              <w:right w:sz="4.0" w:val="single" w:color="000000"/>
              <w:bottom w:sz="3.200000047683716" w:val="single" w:color="000000"/>
            </w:tcBorders>
          </w:tcPr>
          <w:p/>
        </w:tc>
        <w:tc>
          <w:tcPr>
            <w:tcW w:type="dxa" w:w="1920"/>
            <w:gridSpan w:val="2"/>
            <w:vMerge/>
            <w:tcBorders>
              <w:left w:sz="4.0" w:val="single" w:color="000000"/>
              <w:top w:sz="4.0" w:val="single" w:color="000000"/>
              <w:right w:sz="4.0" w:val="single" w:color="000000"/>
              <w:bottom w:sz="3.200000047683716" w:val="single" w:color="000000"/>
            </w:tcBorders>
          </w:tcPr>
          <w:p/>
        </w:tc>
        <w:tc>
          <w:tcPr>
            <w:tcW w:type="dxa" w:w="101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考务人员满意率</w:t>
            </w:r>
          </w:p>
        </w:tc>
        <w:tc>
          <w:tcPr>
            <w:tcW w:type="dxa" w:w="1020"/>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894"/>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99%</w:t>
            </w:r>
          </w:p>
        </w:tc>
        <w:tc>
          <w:tcPr>
            <w:tcW w:type="dxa" w:w="1040"/>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w:t>
            </w:r>
          </w:p>
        </w:tc>
        <w:tc>
          <w:tcPr>
            <w:tcW w:type="dxa" w:w="1156"/>
            <w:gridSpan w:val="2"/>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2</w:t>
            </w:r>
          </w:p>
        </w:tc>
        <w:tc>
          <w:tcPr>
            <w:tcW w:type="dxa" w:w="474"/>
            <w:tcBorders>
              <w:left w:sz="4.0" w:val="single" w:color="000000"/>
              <w:top w:sz="3.200000047683716" w:val="single" w:color="000000"/>
              <w:right w:sz="4.0" w:val="single" w:color="000000"/>
              <w:bottom w:sz="3.200000047683716"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0.00</w:t>
            </w:r>
          </w:p>
        </w:tc>
        <w:tc>
          <w:tcPr>
            <w:tcW w:type="dxa" w:w="1582"/>
            <w:tcBorders>
              <w:left w:sz="4.0" w:val="single" w:color="000000"/>
              <w:top w:sz="3.200000047683716" w:val="single" w:color="000000"/>
              <w:right w:sz="4.0" w:val="single" w:color="000000"/>
              <w:bottom w:sz="3.200000047683716" w:val="single" w:color="000000"/>
            </w:tcBorders>
            <w:tcMar>
              <w:start w:w="0" w:type="dxa"/>
              <w:end w:w="0" w:type="dxa"/>
            </w:tcMar>
          </w:tcPr>
          <w:p/>
        </w:tc>
      </w:tr>
      <w:tr>
        <w:trPr>
          <w:trHeight w:hRule="exact" w:val="356"/>
        </w:trPr>
        <w:tc>
          <w:tcPr>
            <w:tcW w:type="dxa" w:w="6288"/>
            <w:gridSpan w:val="10"/>
            <w:tcBorders>
              <w:left w:sz="3.200000047683716"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总分</w:t>
            </w:r>
          </w:p>
        </w:tc>
        <w:tc>
          <w:tcPr>
            <w:tcW w:type="dxa" w:w="1040"/>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100</w:t>
            </w:r>
          </w:p>
        </w:tc>
        <w:tc>
          <w:tcPr>
            <w:tcW w:type="dxa" w:w="1156"/>
            <w:gridSpan w:val="2"/>
            <w:tcBorders>
              <w:left w:sz="4.0" w:val="single" w:color="000000"/>
              <w:top w:sz="3.200000047683716" w:val="single" w:color="000000"/>
              <w:right w:sz="4.0" w:val="single" w:color="000000"/>
              <w:bottom w:sz="4.0" w:val="single" w:color="000000"/>
            </w:tcBorders>
            <w:tcMar>
              <w:start w:w="0" w:type="dxa"/>
              <w:end w:w="0" w:type="dxa"/>
            </w:tcMar>
          </w:tcPr>
          <w:p>
            <w:pPr>
              <w:autoSpaceDN w:val="0"/>
              <w:autoSpaceDE w:val="0"/>
              <w:widowControl/>
              <w:spacing w:line="110" w:lineRule="exact" w:before="126" w:after="0"/>
              <w:ind w:left="0" w:right="0" w:firstLine="0"/>
              <w:jc w:val="center"/>
            </w:pPr>
            <w:r>
              <w:rPr>
                <w:w w:val="104.33205691250889"/>
                <w:rFonts w:ascii="ZwZeKZRB+SimSun" w:hAnsi="ZwZeKZRB+SimSun" w:eastAsia="ZwZeKZRB+SimSun"/>
                <w:color w:val="000000"/>
                <w:sz w:val="11"/>
              </w:rPr>
              <w:t>82.77</w:t>
            </w:r>
          </w:p>
        </w:tc>
        <w:tc>
          <w:tcPr>
            <w:tcW w:type="dxa" w:w="474"/>
            <w:tcBorders>
              <w:left w:sz="4.0" w:val="single" w:color="000000"/>
              <w:top w:sz="3.200000047683716" w:val="single" w:color="000000"/>
              <w:right w:sz="4.0" w:val="single" w:color="000000"/>
              <w:bottom w:sz="4.0" w:val="single" w:color="000000"/>
            </w:tcBorders>
            <w:tcMar>
              <w:start w:w="0" w:type="dxa"/>
              <w:end w:w="0" w:type="dxa"/>
            </w:tcMar>
          </w:tcPr>
          <w:p/>
        </w:tc>
        <w:tc>
          <w:tcPr>
            <w:tcW w:type="dxa" w:w="1582"/>
            <w:tcBorders>
              <w:left w:sz="4.0" w:val="single" w:color="000000"/>
              <w:top w:sz="3.200000047683716" w:val="single" w:color="000000"/>
              <w:right w:sz="4.0" w:val="single" w:color="000000"/>
              <w:bottom w:sz="4.0" w:val="single" w:color="000000"/>
            </w:tcBorders>
            <w:tcMar>
              <w:start w:w="0" w:type="dxa"/>
              <w:end w:w="0" w:type="dxa"/>
            </w:tcMar>
          </w:tcPr>
          <w:p/>
        </w:tc>
      </w:tr>
    </w:tbl>
    <w:p>
      <w:pPr>
        <w:autoSpaceDN w:val="0"/>
        <w:autoSpaceDE w:val="0"/>
        <w:widowControl/>
        <w:spacing w:line="198" w:lineRule="exact" w:before="1526" w:after="0"/>
        <w:ind w:left="0" w:right="6890" w:firstLine="0"/>
        <w:jc w:val="right"/>
      </w:pPr>
      <w:r>
        <w:rPr>
          <w:rFonts w:ascii="Ap9kiCzR+TimesNewRomanPSMT" w:hAnsi="Ap9kiCzR+TimesNewRomanPSMT" w:eastAsia="Ap9kiCzR+TimesNewRomanPSMT"/>
          <w:color w:val="000000"/>
          <w:sz w:val="18"/>
        </w:rPr>
        <w:t>32</w:t>
      </w:r>
    </w:p>
    <w:sectPr w:rsidR="00FC693F" w:rsidRPr="0006063C" w:rsidSect="00034616">
      <w:pgSz w:w="16839" w:h="12307"/>
      <w:pgMar w:top="204" w:right="1440" w:bottom="360" w:left="1000" w:header="720" w:footer="720" w:gutter="0"/>
      <w:cols w:num="1" w:equalWidth="0" w:space="720">
        <w:col w:w="14400" w:space="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X9K8VEFC+SimHei">
    <w:panose1 w:val="02000500000000000000"/>
    <w:charset w:val="00"/>
    <w:family w:val="auto"/>
    <w:pitch w:val="variable"/>
    <w:sig w:usb0="80000287" w:usb1="2ACF3C50" w:usb2="00000016" w:usb3="00000000" w:csb0="0004001F" w:csb1="00000000"/>
    <w:embedRegular r:id="rId1" w:fontKey="{94367071-9AB0-48B3-9CBD-A554B492B760}"/>
  </w:font>
  <w:font w:name="36YvJHM7+SimHei">
    <w:panose1 w:val="02000500000000000000"/>
    <w:charset w:val="00"/>
    <w:family w:val="auto"/>
    <w:pitch w:val="variable"/>
    <w:sig w:usb0="80000287" w:usb1="2ACF3C50" w:usb2="00000016" w:usb3="00000000" w:csb0="0004001F" w:csb1="00000000"/>
    <w:embedRegular r:id="rId2" w:fontKey="{0FDB598B-32DC-4D88-AC0C-DFF5AAD05A22}"/>
  </w:font>
  <w:font w:name="Ap9kiCzR+TimesNewRomanPSMT">
    <w:panose1 w:val="02000500000000000000"/>
    <w:charset w:val="00"/>
    <w:family w:val="auto"/>
    <w:pitch w:val="variable"/>
    <w:sig w:usb0="80000287" w:usb1="2ACF3C50" w:usb2="00000016" w:usb3="00000000" w:csb0="0004001F" w:csb1="00000000"/>
    <w:embedRegular r:id="rId3" w:fontKey="{85D4D9E0-B777-492B-A5B8-1C2F4CD82B01}"/>
  </w:font>
  <w:font w:name="EAFpapsV+SimSun">
    <w:panose1 w:val="02000500000000000000"/>
    <w:charset w:val="00"/>
    <w:family w:val="auto"/>
    <w:pitch w:val="variable"/>
    <w:sig w:usb0="80000287" w:usb1="2ACF3C50" w:usb2="00000016" w:usb3="00000000" w:csb0="0004001F" w:csb1="00000000"/>
    <w:embedRegular r:id="rId4" w:fontKey="{BA4C6784-42FE-4A4A-81EA-5E0AF98F1377}"/>
  </w:font>
  <w:font w:name="CHSf0Q3c+FangSong_GB2312">
    <w:panose1 w:val="02000500000000000000"/>
    <w:charset w:val="00"/>
    <w:family w:val="auto"/>
    <w:pitch w:val="variable"/>
    <w:sig w:usb0="80000287" w:usb1="2ACF3C50" w:usb2="00000016" w:usb3="00000000" w:csb0="0004001F" w:csb1="00000000"/>
    <w:embedRegular r:id="rId5" w:fontKey="{5E11DC63-87B8-4F9F-907B-7B817701E185}"/>
  </w:font>
  <w:font w:name="bs5IVuhn+FangSong_GB2312">
    <w:panose1 w:val="02000500000000000000"/>
    <w:charset w:val="00"/>
    <w:family w:val="auto"/>
    <w:pitch w:val="variable"/>
    <w:sig w:usb0="80000287" w:usb1="2ACF3C50" w:usb2="00000016" w:usb3="00000000" w:csb0="0004001F" w:csb1="00000000"/>
    <w:embedRegular r:id="rId6" w:fontKey="{2DD630B5-B45B-47FC-B0F7-2DD65B95C162}"/>
  </w:font>
  <w:font w:name="mCXV4gLU+STZhongsong">
    <w:panose1 w:val="02000500000000000000"/>
    <w:charset w:val="00"/>
    <w:family w:val="auto"/>
    <w:pitch w:val="variable"/>
    <w:sig w:usb0="80000287" w:usb1="2ACF3C50" w:usb2="00000016" w:usb3="00000000" w:csb0="0004001F" w:csb1="00000000"/>
    <w:embedRegular r:id="rId7" w:fontKey="{29B5709F-2AFE-4480-B3C2-FC48660ED613}"/>
  </w:font>
  <w:font w:name="EVYCJezs+SimSun">
    <w:panose1 w:val="02000500000000000000"/>
    <w:charset w:val="00"/>
    <w:family w:val="auto"/>
    <w:pitch w:val="variable"/>
    <w:sig w:usb0="80000287" w:usb1="2ACF3C50" w:usb2="00000016" w:usb3="00000000" w:csb0="0004001F" w:csb1="00000000"/>
    <w:embedRegular r:id="rId8" w:fontKey="{7B8BB7D7-6D99-4E37-B786-15AF14D43C7E}"/>
  </w:font>
  <w:font w:name="MI2VE7Zr+SimSun">
    <w:panose1 w:val="02000500000000000000"/>
    <w:charset w:val="00"/>
    <w:family w:val="auto"/>
    <w:pitch w:val="variable"/>
    <w:sig w:usb0="80000287" w:usb1="2ACF3C50" w:usb2="00000016" w:usb3="00000000" w:csb0="0004001F" w:csb1="00000000"/>
    <w:embedRegular r:id="rId9" w:fontKey="{1E0C8323-DD92-4160-B67B-D4C7EC5BA19E}"/>
  </w:font>
  <w:font w:name="Vvxjkz98+FangSong">
    <w:panose1 w:val="02000500000000000000"/>
    <w:charset w:val="00"/>
    <w:family w:val="auto"/>
    <w:pitch w:val="variable"/>
    <w:sig w:usb0="80000287" w:usb1="2ACF3C50" w:usb2="00000016" w:usb3="00000000" w:csb0="0004001F" w:csb1="00000000"/>
    <w:embedRegular r:id="rId10" w:fontKey="{538A0C4A-17D9-4C80-862F-17508F9BE9C4}"/>
  </w:font>
  <w:font w:name="JMF7coLC+FangSong">
    <w:panose1 w:val="02000500000000000000"/>
    <w:charset w:val="00"/>
    <w:family w:val="auto"/>
    <w:pitch w:val="variable"/>
    <w:sig w:usb0="80000287" w:usb1="2ACF3C50" w:usb2="00000016" w:usb3="00000000" w:csb0="0004001F" w:csb1="00000000"/>
    <w:embedRegular r:id="rId11" w:fontKey="{F08171E0-41DB-4999-AC34-6BDED25FFA84}"/>
  </w:font>
  <w:font w:name="AB5v0dox+KaiTi_GB2312">
    <w:panose1 w:val="02000500000000000000"/>
    <w:charset w:val="00"/>
    <w:family w:val="auto"/>
    <w:pitch w:val="variable"/>
    <w:sig w:usb0="80000287" w:usb1="2ACF3C50" w:usb2="00000016" w:usb3="00000000" w:csb0="0004001F" w:csb1="00000000"/>
    <w:embedRegular r:id="rId12" w:fontKey="{7C71A2B2-7289-4569-9692-411AFB6E7357}"/>
  </w:font>
  <w:font w:name="ScLDow9O+FangSong">
    <w:panose1 w:val="02000500000000000000"/>
    <w:charset w:val="00"/>
    <w:family w:val="auto"/>
    <w:pitch w:val="variable"/>
    <w:sig w:usb0="80000287" w:usb1="2ACF3C50" w:usb2="00000016" w:usb3="00000000" w:csb0="0004001F" w:csb1="00000000"/>
    <w:embedRegular r:id="rId13" w:fontKey="{DEF59892-63A5-42C2-9650-9B9E8E3A754B}"/>
  </w:font>
  <w:font w:name="riNl6dNf+KaiTi_GB2312">
    <w:panose1 w:val="02000500000000000000"/>
    <w:charset w:val="00"/>
    <w:family w:val="auto"/>
    <w:pitch w:val="variable"/>
    <w:sig w:usb0="80000287" w:usb1="2ACF3C50" w:usb2="00000016" w:usb3="00000000" w:csb0="0004001F" w:csb1="00000000"/>
    <w:embedRegular r:id="rId14" w:fontKey="{ACF10B08-661C-459E-A342-0F8B9D443E9C}"/>
  </w:font>
  <w:font w:name="DBdkV5Ts+FangSong_GB2312">
    <w:panose1 w:val="02000500000000000000"/>
    <w:charset w:val="00"/>
    <w:family w:val="auto"/>
    <w:pitch w:val="variable"/>
    <w:sig w:usb0="80000287" w:usb1="2ACF3C50" w:usb2="00000016" w:usb3="00000000" w:csb0="0004001F" w:csb1="00000000"/>
    <w:embedRegular r:id="rId15" w:fontKey="{B107213C-F28A-40C9-AA8E-B2D7F9F08D32}"/>
  </w:font>
  <w:font w:name="tjEbrkLy+FangSong_GB2312">
    <w:panose1 w:val="02000500000000000000"/>
    <w:charset w:val="00"/>
    <w:family w:val="auto"/>
    <w:pitch w:val="variable"/>
    <w:sig w:usb0="80000287" w:usb1="2ACF3C50" w:usb2="00000016" w:usb3="00000000" w:csb0="0004001F" w:csb1="00000000"/>
    <w:embedRegular r:id="rId16" w:fontKey="{6BAD075A-80F7-4F6B-BECF-32A3BE123027}"/>
  </w:font>
  <w:font w:name="ZwZeKZRB+SimSun">
    <w:panose1 w:val="02000500000000000000"/>
    <w:charset w:val="00"/>
    <w:family w:val="auto"/>
    <w:pitch w:val="variable"/>
    <w:sig w:usb0="80000287" w:usb1="2ACF3C50" w:usb2="00000016" w:usb3="00000000" w:csb0="0004001F" w:csb1="00000000"/>
    <w:embedRegular r:id="rId17" w:fontKey="{74AB0578-A2E7-4043-8730-0623356F81F6}"/>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