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许昌春秋楼文物管理处单位决算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许昌春秋楼文物管理处概况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许昌春秋楼文物管理处概况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1、加强对文物本体春秋楼（含文庙）的保护和研究，传承和弘扬历史文化遗产。</w:t>
      </w:r>
    </w:p>
    <w:p>
      <w:pPr>
        <w:widowControl/>
        <w:ind w:firstLine="640" w:firstLineChars="200"/>
        <w:jc w:val="left"/>
        <w:rPr>
          <w:rFonts w:hint="eastAsia" w:ascii="仿宋_GB2312" w:eastAsia="仿宋_GB2312"/>
          <w:sz w:val="32"/>
          <w:szCs w:val="32"/>
        </w:rPr>
      </w:pPr>
      <w:r>
        <w:rPr>
          <w:rFonts w:hint="eastAsia" w:ascii="仿宋_GB2312" w:eastAsia="仿宋_GB2312"/>
          <w:sz w:val="32"/>
          <w:szCs w:val="32"/>
        </w:rPr>
        <w:t>2、主要承担文物保护职能，负责春秋楼管理与文物保护工作。</w:t>
      </w:r>
    </w:p>
    <w:p>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3、依托文物资源对外参观服务，促进许昌经济文化发展。</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eastAsia="仿宋_GB2312"/>
          <w:sz w:val="32"/>
          <w:szCs w:val="32"/>
        </w:rPr>
      </w:pPr>
      <w:r>
        <w:rPr>
          <w:rFonts w:hint="eastAsia" w:ascii="仿宋_GB2312" w:hAnsi="仿宋_GB2312" w:eastAsia="仿宋_GB2312" w:cs="仿宋_GB2312"/>
          <w:kern w:val="0"/>
          <w:sz w:val="32"/>
          <w:szCs w:val="32"/>
        </w:rPr>
        <w:t>许昌春秋楼文物管理处内设机构5个，包括：办公室、后勤保卫科、社务一科、社务二科、市场科</w:t>
      </w:r>
      <w:r>
        <w:rPr>
          <w:rFonts w:hint="eastAsia" w:ascii="仿宋_GB2312" w:eastAsia="仿宋_GB2312"/>
          <w:sz w:val="32"/>
          <w:szCs w:val="32"/>
        </w:rPr>
        <w:t>。</w:t>
      </w:r>
    </w:p>
    <w:p>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从决算单位构成看，许昌春秋楼文物管理处单位决算包括：本级决算。</w:t>
      </w:r>
    </w:p>
    <w:p>
      <w:pPr>
        <w:widowControl/>
        <w:ind w:firstLine="640" w:firstLineChars="200"/>
        <w:jc w:val="left"/>
        <w:rPr>
          <w:rFonts w:hint="eastAsia" w:ascii="黑体" w:hAnsi="宋体" w:eastAsia="仿宋_GB2312" w:cs="宋体"/>
          <w:color w:val="000000"/>
          <w:kern w:val="0"/>
          <w:sz w:val="28"/>
          <w:szCs w:val="28"/>
        </w:rPr>
      </w:pPr>
      <w:r>
        <w:rPr>
          <w:rFonts w:hint="eastAsia" w:ascii="仿宋_GB2312" w:hAnsi="仿宋_GB2312" w:eastAsia="仿宋_GB2312" w:cs="仿宋_GB2312"/>
          <w:color w:val="000000"/>
          <w:kern w:val="0"/>
          <w:sz w:val="32"/>
          <w:szCs w:val="32"/>
        </w:rPr>
        <w:t>纳入本部门2021年度单位决算编制范围的单位共1个，具体是：</w:t>
      </w:r>
      <w:r>
        <w:rPr>
          <w:rFonts w:hint="eastAsia" w:ascii="仿宋_GB2312" w:eastAsia="仿宋_GB2312"/>
          <w:color w:val="000000"/>
          <w:sz w:val="32"/>
          <w:szCs w:val="32"/>
        </w:rPr>
        <w:t>许昌春秋楼文物管理处。</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color w:val="FF0000"/>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14070" w:type="dxa"/>
        <w:tblInd w:w="93" w:type="dxa"/>
        <w:tblLayout w:type="autofit"/>
        <w:tblCellMar>
          <w:top w:w="0" w:type="dxa"/>
          <w:left w:w="108" w:type="dxa"/>
          <w:bottom w:w="0" w:type="dxa"/>
          <w:right w:w="108" w:type="dxa"/>
        </w:tblCellMar>
      </w:tblPr>
      <w:tblGrid>
        <w:gridCol w:w="4749"/>
        <w:gridCol w:w="834"/>
        <w:gridCol w:w="1130"/>
        <w:gridCol w:w="4469"/>
        <w:gridCol w:w="834"/>
        <w:gridCol w:w="2054"/>
      </w:tblGrid>
      <w:tr>
        <w:tblPrEx>
          <w:tblCellMar>
            <w:top w:w="0" w:type="dxa"/>
            <w:left w:w="108" w:type="dxa"/>
            <w:bottom w:w="0" w:type="dxa"/>
            <w:right w:w="108" w:type="dxa"/>
          </w:tblCellMar>
        </w:tblPrEx>
        <w:trPr>
          <w:wBefore w:w="0" w:type="dxa"/>
          <w:wAfter w:w="0" w:type="dxa"/>
          <w:trHeight w:val="390" w:hRule="atLeast"/>
        </w:trPr>
        <w:tc>
          <w:tcPr>
            <w:tcW w:w="14070" w:type="dxa"/>
            <w:gridSpan w:val="6"/>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wBefore w:w="0" w:type="dxa"/>
          <w:wAfter w:w="0" w:type="dxa"/>
          <w:trHeight w:val="255" w:hRule="atLeast"/>
        </w:trPr>
        <w:tc>
          <w:tcPr>
            <w:tcW w:w="0" w:type="auto"/>
            <w:tcBorders>
              <w:top w:val="nil"/>
              <w:left w:val="nil"/>
              <w:right w:val="nil"/>
            </w:tcBorders>
            <w:noWrap/>
            <w:vAlign w:val="bottom"/>
          </w:tcPr>
          <w:p>
            <w:pPr>
              <w:rPr>
                <w:rFonts w:hint="eastAsia" w:ascii="Arial" w:hAnsi="Arial" w:cs="Arial"/>
                <w:color w:val="000000"/>
                <w:sz w:val="20"/>
                <w:szCs w:val="20"/>
              </w:rPr>
            </w:pPr>
          </w:p>
        </w:tc>
        <w:tc>
          <w:tcPr>
            <w:tcW w:w="0" w:type="auto"/>
            <w:tcBorders>
              <w:top w:val="nil"/>
              <w:left w:val="nil"/>
              <w:right w:val="nil"/>
            </w:tcBorders>
            <w:noWrap/>
            <w:vAlign w:val="bottom"/>
          </w:tcPr>
          <w:p>
            <w:pPr>
              <w:rPr>
                <w:rFonts w:ascii="Arial" w:hAnsi="Arial" w:cs="Arial"/>
                <w:color w:val="000000"/>
                <w:sz w:val="20"/>
                <w:szCs w:val="20"/>
              </w:rPr>
            </w:pPr>
          </w:p>
        </w:tc>
        <w:tc>
          <w:tcPr>
            <w:tcW w:w="0" w:type="auto"/>
            <w:tcBorders>
              <w:top w:val="nil"/>
              <w:left w:val="nil"/>
              <w:right w:val="nil"/>
            </w:tcBorders>
            <w:noWrap/>
            <w:vAlign w:val="bottom"/>
          </w:tcPr>
          <w:p>
            <w:pPr>
              <w:rPr>
                <w:rFonts w:ascii="Arial" w:hAnsi="Arial" w:cs="Arial"/>
                <w:color w:val="000000"/>
                <w:sz w:val="20"/>
                <w:szCs w:val="20"/>
              </w:rPr>
            </w:pPr>
          </w:p>
        </w:tc>
        <w:tc>
          <w:tcPr>
            <w:tcW w:w="0" w:type="auto"/>
            <w:tcBorders>
              <w:top w:val="nil"/>
              <w:left w:val="nil"/>
              <w:right w:val="nil"/>
            </w:tcBorders>
            <w:noWrap/>
            <w:vAlign w:val="bottom"/>
          </w:tcPr>
          <w:p>
            <w:pPr>
              <w:rPr>
                <w:rFonts w:ascii="Arial" w:hAnsi="Arial" w:cs="Arial"/>
                <w:color w:val="000000"/>
                <w:sz w:val="20"/>
                <w:szCs w:val="20"/>
              </w:rPr>
            </w:pPr>
          </w:p>
        </w:tc>
        <w:tc>
          <w:tcPr>
            <w:tcW w:w="0" w:type="auto"/>
            <w:tcBorders>
              <w:top w:val="nil"/>
              <w:left w:val="nil"/>
              <w:right w:val="nil"/>
            </w:tcBorders>
            <w:noWrap/>
            <w:vAlign w:val="bottom"/>
          </w:tcPr>
          <w:p>
            <w:pPr>
              <w:rPr>
                <w:rFonts w:ascii="Arial" w:hAnsi="Arial" w:cs="Arial"/>
                <w:color w:val="000000"/>
                <w:sz w:val="20"/>
                <w:szCs w:val="20"/>
              </w:rPr>
            </w:pPr>
          </w:p>
        </w:tc>
        <w:tc>
          <w:tcPr>
            <w:tcW w:w="0" w:type="auto"/>
            <w:tcBorders>
              <w:top w:val="nil"/>
              <w:left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wBefore w:w="0" w:type="dxa"/>
          <w:wAfter w:w="0" w:type="dxa"/>
          <w:trHeight w:val="255" w:hRule="atLeast"/>
        </w:trPr>
        <w:tc>
          <w:tcPr>
            <w:tcW w:w="0" w:type="auto"/>
            <w:tcBorders>
              <w:bottom w:val="single" w:color="000000" w:sz="4" w:space="0"/>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单位：许昌春秋楼文物管理处</w:t>
            </w:r>
          </w:p>
        </w:tc>
        <w:tc>
          <w:tcPr>
            <w:tcW w:w="0" w:type="auto"/>
            <w:tcBorders>
              <w:bottom w:val="single" w:color="000000" w:sz="4" w:space="0"/>
            </w:tcBorders>
            <w:noWrap/>
            <w:vAlign w:val="bottom"/>
          </w:tcPr>
          <w:p>
            <w:pPr>
              <w:rPr>
                <w:rFonts w:ascii="Arial" w:hAnsi="Arial" w:cs="Arial"/>
                <w:color w:val="000000"/>
                <w:sz w:val="20"/>
                <w:szCs w:val="20"/>
              </w:rPr>
            </w:pPr>
          </w:p>
        </w:tc>
        <w:tc>
          <w:tcPr>
            <w:tcW w:w="0" w:type="auto"/>
            <w:tcBorders>
              <w:bottom w:val="single" w:color="000000" w:sz="4" w:space="0"/>
            </w:tcBorders>
            <w:noWrap/>
            <w:vAlign w:val="bottom"/>
          </w:tcPr>
          <w:p>
            <w:pPr>
              <w:rPr>
                <w:rFonts w:ascii="Arial" w:hAnsi="Arial" w:cs="Arial"/>
                <w:color w:val="000000"/>
                <w:sz w:val="20"/>
                <w:szCs w:val="20"/>
              </w:rPr>
            </w:pPr>
          </w:p>
        </w:tc>
        <w:tc>
          <w:tcPr>
            <w:tcW w:w="0" w:type="auto"/>
            <w:tcBorders>
              <w:bottom w:val="single" w:color="000000" w:sz="4" w:space="0"/>
            </w:tcBorders>
            <w:noWrap/>
            <w:vAlign w:val="bottom"/>
          </w:tcPr>
          <w:p>
            <w:pPr>
              <w:rPr>
                <w:rFonts w:ascii="Arial" w:hAnsi="Arial" w:cs="Arial"/>
                <w:color w:val="000000"/>
                <w:sz w:val="20"/>
                <w:szCs w:val="20"/>
              </w:rPr>
            </w:pPr>
          </w:p>
        </w:tc>
        <w:tc>
          <w:tcPr>
            <w:tcW w:w="0" w:type="auto"/>
            <w:tcBorders>
              <w:bottom w:val="single" w:color="000000" w:sz="4" w:space="0"/>
            </w:tcBorders>
            <w:noWrap/>
            <w:vAlign w:val="bottom"/>
          </w:tcPr>
          <w:p>
            <w:pPr>
              <w:rPr>
                <w:rFonts w:ascii="Arial" w:hAnsi="Arial" w:cs="Arial"/>
                <w:color w:val="000000"/>
                <w:sz w:val="20"/>
                <w:szCs w:val="20"/>
              </w:rPr>
            </w:pPr>
          </w:p>
        </w:tc>
        <w:tc>
          <w:tcPr>
            <w:tcW w:w="0" w:type="auto"/>
            <w:tcBorders>
              <w:bottom w:val="single" w:color="000000" w:sz="4" w:space="0"/>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行次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金额</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行次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金额</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栏次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栏次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230.5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326.67</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38.41</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12.69</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49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0.54</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230.5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378.31</w:t>
            </w: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使用非财政拨款结余</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结余分配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59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年初结转和结余</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29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147.82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年末结转和结余</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60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61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rPr>
                <w:rFonts w:ascii="Arial" w:hAnsi="Arial"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31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378.31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Arial" w:hAnsi="Arial" w:cs="Arial"/>
                <w:color w:val="000000"/>
                <w:sz w:val="22"/>
              </w:rPr>
            </w:pPr>
            <w:r>
              <w:rPr>
                <w:rFonts w:ascii="Arial" w:hAnsi="Arial" w:cs="Arial"/>
                <w:color w:val="000000"/>
                <w:kern w:val="0"/>
                <w:sz w:val="22"/>
                <w:lang w:bidi="ar"/>
              </w:rPr>
              <w:t>62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Arial" w:hAnsi="Arial" w:cs="Arial"/>
                <w:color w:val="000000"/>
                <w:sz w:val="22"/>
              </w:rPr>
            </w:pPr>
            <w:r>
              <w:rPr>
                <w:rFonts w:ascii="Arial" w:hAnsi="Arial" w:cs="Arial"/>
                <w:color w:val="000000"/>
                <w:kern w:val="0"/>
                <w:sz w:val="22"/>
                <w:lang w:bidi="ar"/>
              </w:rPr>
              <w:t>378.31</w:t>
            </w:r>
          </w:p>
        </w:tc>
      </w:tr>
      <w:tr>
        <w:tblPrEx>
          <w:tblCellMar>
            <w:top w:w="0" w:type="dxa"/>
            <w:left w:w="108" w:type="dxa"/>
            <w:bottom w:w="0" w:type="dxa"/>
            <w:right w:w="108" w:type="dxa"/>
          </w:tblCellMar>
        </w:tblPrEx>
        <w:trPr>
          <w:wBefore w:w="0" w:type="dxa"/>
          <w:wAfter w:w="0" w:type="dxa"/>
          <w:trHeight w:val="308" w:hRule="atLeast"/>
        </w:trPr>
        <w:tc>
          <w:tcPr>
            <w:tcW w:w="0" w:type="auto"/>
            <w:gridSpan w:val="6"/>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14610" w:type="dxa"/>
        <w:tblInd w:w="93" w:type="dxa"/>
        <w:tblLayout w:type="autofit"/>
        <w:tblCellMar>
          <w:top w:w="0" w:type="dxa"/>
          <w:left w:w="108" w:type="dxa"/>
          <w:bottom w:w="0" w:type="dxa"/>
          <w:right w:w="108" w:type="dxa"/>
        </w:tblCellMar>
      </w:tblPr>
      <w:tblGrid>
        <w:gridCol w:w="2816"/>
        <w:gridCol w:w="222"/>
        <w:gridCol w:w="222"/>
        <w:gridCol w:w="3956"/>
        <w:gridCol w:w="1343"/>
        <w:gridCol w:w="1366"/>
        <w:gridCol w:w="750"/>
        <w:gridCol w:w="729"/>
        <w:gridCol w:w="785"/>
        <w:gridCol w:w="805"/>
        <w:gridCol w:w="1616"/>
      </w:tblGrid>
      <w:tr>
        <w:tblPrEx>
          <w:tblCellMar>
            <w:top w:w="0" w:type="dxa"/>
            <w:left w:w="108" w:type="dxa"/>
            <w:bottom w:w="0" w:type="dxa"/>
            <w:right w:w="108" w:type="dxa"/>
          </w:tblCellMar>
        </w:tblPrEx>
        <w:trPr>
          <w:trHeight w:val="390" w:hRule="atLeast"/>
        </w:trPr>
        <w:tc>
          <w:tcPr>
            <w:tcW w:w="14610" w:type="dxa"/>
            <w:gridSpan w:val="11"/>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单位：许昌春秋楼文物管理处</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50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62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11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10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136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147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124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0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8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6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4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24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230.50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230.50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189.64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189.64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文物保护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31.10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31.10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2" w:type="dxa"/>
        <w:tblInd w:w="93" w:type="dxa"/>
        <w:tblLayout w:type="fixed"/>
        <w:tblCellMar>
          <w:top w:w="0" w:type="dxa"/>
          <w:left w:w="108" w:type="dxa"/>
          <w:bottom w:w="0" w:type="dxa"/>
          <w:right w:w="108" w:type="dxa"/>
        </w:tblCellMar>
      </w:tblPr>
      <w:tblGrid>
        <w:gridCol w:w="1122"/>
        <w:gridCol w:w="240"/>
        <w:gridCol w:w="240"/>
        <w:gridCol w:w="3990"/>
        <w:gridCol w:w="1725"/>
        <w:gridCol w:w="1185"/>
        <w:gridCol w:w="1170"/>
        <w:gridCol w:w="1575"/>
        <w:gridCol w:w="1170"/>
        <w:gridCol w:w="1485"/>
      </w:tblGrid>
      <w:tr>
        <w:tblPrEx>
          <w:tblCellMar>
            <w:top w:w="0" w:type="dxa"/>
            <w:left w:w="108" w:type="dxa"/>
            <w:bottom w:w="0" w:type="dxa"/>
            <w:right w:w="108" w:type="dxa"/>
          </w:tblCellMar>
        </w:tblPrEx>
        <w:trPr>
          <w:trHeight w:val="390" w:hRule="atLeast"/>
        </w:trPr>
        <w:tc>
          <w:tcPr>
            <w:tcW w:w="13902"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55" w:hRule="atLeast"/>
        </w:trPr>
        <w:tc>
          <w:tcPr>
            <w:tcW w:w="1122" w:type="dxa"/>
            <w:tcBorders>
              <w:top w:val="nil"/>
              <w:left w:val="nil"/>
              <w:bottom w:val="nil"/>
              <w:right w:val="nil"/>
            </w:tcBorders>
            <w:noWrap/>
            <w:vAlign w:val="bottom"/>
          </w:tcPr>
          <w:p>
            <w:pPr>
              <w:rPr>
                <w:rFonts w:hint="eastAsia"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3990" w:type="dxa"/>
            <w:tcBorders>
              <w:top w:val="nil"/>
              <w:left w:val="nil"/>
              <w:bottom w:val="nil"/>
              <w:right w:val="nil"/>
            </w:tcBorders>
            <w:noWrap/>
            <w:vAlign w:val="bottom"/>
          </w:tcPr>
          <w:p>
            <w:pPr>
              <w:rPr>
                <w:rFonts w:ascii="Arial" w:hAnsi="Arial" w:cs="Arial"/>
                <w:color w:val="000000"/>
                <w:sz w:val="20"/>
                <w:szCs w:val="20"/>
              </w:rPr>
            </w:pPr>
          </w:p>
        </w:tc>
        <w:tc>
          <w:tcPr>
            <w:tcW w:w="1725" w:type="dxa"/>
            <w:tcBorders>
              <w:top w:val="nil"/>
              <w:left w:val="nil"/>
              <w:bottom w:val="nil"/>
              <w:right w:val="nil"/>
            </w:tcBorders>
            <w:noWrap/>
            <w:vAlign w:val="bottom"/>
          </w:tcPr>
          <w:p>
            <w:pPr>
              <w:rPr>
                <w:rFonts w:ascii="Arial" w:hAnsi="Arial" w:cs="Arial"/>
                <w:color w:val="000000"/>
                <w:sz w:val="20"/>
                <w:szCs w:val="20"/>
              </w:rPr>
            </w:pPr>
          </w:p>
        </w:tc>
        <w:tc>
          <w:tcPr>
            <w:tcW w:w="1185" w:type="dxa"/>
            <w:tcBorders>
              <w:top w:val="nil"/>
              <w:left w:val="nil"/>
              <w:bottom w:val="nil"/>
              <w:right w:val="nil"/>
            </w:tcBorders>
            <w:noWrap/>
            <w:vAlign w:val="bottom"/>
          </w:tcPr>
          <w:p>
            <w:pPr>
              <w:rPr>
                <w:rFonts w:ascii="Arial" w:hAnsi="Arial" w:cs="Arial"/>
                <w:color w:val="000000"/>
                <w:sz w:val="20"/>
                <w:szCs w:val="20"/>
              </w:rPr>
            </w:pPr>
          </w:p>
        </w:tc>
        <w:tc>
          <w:tcPr>
            <w:tcW w:w="1170" w:type="dxa"/>
            <w:tcBorders>
              <w:top w:val="nil"/>
              <w:left w:val="nil"/>
              <w:bottom w:val="nil"/>
              <w:right w:val="nil"/>
            </w:tcBorders>
            <w:noWrap/>
            <w:vAlign w:val="bottom"/>
          </w:tcPr>
          <w:p>
            <w:pPr>
              <w:rPr>
                <w:rFonts w:ascii="Arial" w:hAnsi="Arial" w:cs="Arial"/>
                <w:color w:val="000000"/>
                <w:sz w:val="20"/>
                <w:szCs w:val="20"/>
              </w:rPr>
            </w:pPr>
          </w:p>
        </w:tc>
        <w:tc>
          <w:tcPr>
            <w:tcW w:w="1575" w:type="dxa"/>
            <w:tcBorders>
              <w:top w:val="nil"/>
              <w:left w:val="nil"/>
              <w:bottom w:val="nil"/>
              <w:right w:val="nil"/>
            </w:tcBorders>
            <w:noWrap/>
            <w:vAlign w:val="bottom"/>
          </w:tcPr>
          <w:p>
            <w:pPr>
              <w:rPr>
                <w:rFonts w:ascii="Arial" w:hAnsi="Arial" w:cs="Arial"/>
                <w:color w:val="000000"/>
                <w:sz w:val="20"/>
                <w:szCs w:val="20"/>
              </w:rPr>
            </w:pPr>
          </w:p>
        </w:tc>
        <w:tc>
          <w:tcPr>
            <w:tcW w:w="2655"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55" w:hRule="atLeast"/>
        </w:trPr>
        <w:tc>
          <w:tcPr>
            <w:tcW w:w="5592" w:type="dxa"/>
            <w:gridSpan w:val="4"/>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单位：许昌春秋楼文物管理处</w:t>
            </w:r>
          </w:p>
        </w:tc>
        <w:tc>
          <w:tcPr>
            <w:tcW w:w="1725" w:type="dxa"/>
            <w:tcBorders>
              <w:top w:val="nil"/>
              <w:left w:val="nil"/>
              <w:bottom w:val="nil"/>
              <w:right w:val="nil"/>
            </w:tcBorders>
            <w:noWrap/>
            <w:vAlign w:val="bottom"/>
          </w:tcPr>
          <w:p>
            <w:pPr>
              <w:rPr>
                <w:rFonts w:ascii="Arial" w:hAnsi="Arial" w:cs="Arial"/>
                <w:color w:val="000000"/>
                <w:sz w:val="20"/>
                <w:szCs w:val="20"/>
              </w:rPr>
            </w:pPr>
          </w:p>
        </w:tc>
        <w:tc>
          <w:tcPr>
            <w:tcW w:w="1185" w:type="dxa"/>
            <w:tcBorders>
              <w:top w:val="nil"/>
              <w:left w:val="nil"/>
              <w:bottom w:val="nil"/>
              <w:right w:val="nil"/>
            </w:tcBorders>
            <w:noWrap/>
            <w:vAlign w:val="bottom"/>
          </w:tcPr>
          <w:p>
            <w:pPr>
              <w:rPr>
                <w:rFonts w:ascii="Arial" w:hAnsi="Arial" w:cs="Arial"/>
                <w:color w:val="000000"/>
                <w:sz w:val="20"/>
                <w:szCs w:val="20"/>
              </w:rPr>
            </w:pPr>
          </w:p>
        </w:tc>
        <w:tc>
          <w:tcPr>
            <w:tcW w:w="1170" w:type="dxa"/>
            <w:tcBorders>
              <w:top w:val="nil"/>
              <w:left w:val="nil"/>
              <w:bottom w:val="nil"/>
              <w:right w:val="nil"/>
            </w:tcBorders>
            <w:noWrap/>
            <w:vAlign w:val="bottom"/>
          </w:tcPr>
          <w:p>
            <w:pPr>
              <w:rPr>
                <w:rFonts w:ascii="Arial" w:hAnsi="Arial" w:cs="Arial"/>
                <w:color w:val="000000"/>
                <w:sz w:val="20"/>
                <w:szCs w:val="20"/>
              </w:rPr>
            </w:pPr>
          </w:p>
        </w:tc>
        <w:tc>
          <w:tcPr>
            <w:tcW w:w="1575" w:type="dxa"/>
            <w:tcBorders>
              <w:top w:val="nil"/>
              <w:left w:val="nil"/>
              <w:bottom w:val="nil"/>
              <w:right w:val="nil"/>
            </w:tcBorders>
            <w:noWrap/>
            <w:vAlign w:val="bottom"/>
          </w:tcPr>
          <w:p>
            <w:pPr>
              <w:rPr>
                <w:rFonts w:ascii="Arial" w:hAnsi="Arial" w:cs="Arial"/>
                <w:color w:val="000000"/>
                <w:sz w:val="20"/>
                <w:szCs w:val="20"/>
              </w:rPr>
            </w:pPr>
          </w:p>
        </w:tc>
        <w:tc>
          <w:tcPr>
            <w:tcW w:w="2655"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559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72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1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17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57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17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4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160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9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72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60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99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72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60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99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72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7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42" w:hRule="atLeast"/>
        </w:trPr>
        <w:tc>
          <w:tcPr>
            <w:tcW w:w="55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18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57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48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55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378.31</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282.33</w:t>
            </w:r>
          </w:p>
        </w:tc>
        <w:tc>
          <w:tcPr>
            <w:tcW w:w="117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95.99</w:t>
            </w:r>
          </w:p>
        </w:tc>
        <w:tc>
          <w:tcPr>
            <w:tcW w:w="15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14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326.67</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95.99</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文物</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2070204</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文物保护</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其他文化旅游体育与传媒支出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2079999</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其他文化旅游体育与传媒支出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5.22</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26.60</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26.60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2080506</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机关事业单位职业年金缴费支出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6.60</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6.60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60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2299999</w:t>
            </w:r>
          </w:p>
        </w:tc>
        <w:tc>
          <w:tcPr>
            <w:tcW w:w="399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1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3902" w:type="dxa"/>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93" w:type="dxa"/>
        <w:tblLayout w:type="fixed"/>
        <w:tblCellMar>
          <w:top w:w="0" w:type="dxa"/>
          <w:left w:w="108" w:type="dxa"/>
          <w:bottom w:w="0" w:type="dxa"/>
          <w:right w:w="108" w:type="dxa"/>
        </w:tblCellMar>
      </w:tblPr>
      <w:tblGrid>
        <w:gridCol w:w="3076"/>
        <w:gridCol w:w="436"/>
        <w:gridCol w:w="983"/>
        <w:gridCol w:w="3516"/>
        <w:gridCol w:w="486"/>
        <w:gridCol w:w="876"/>
        <w:gridCol w:w="1424"/>
        <w:gridCol w:w="1635"/>
        <w:gridCol w:w="1560"/>
      </w:tblGrid>
      <w:tr>
        <w:tblPrEx>
          <w:tblCellMar>
            <w:top w:w="0" w:type="dxa"/>
            <w:left w:w="108" w:type="dxa"/>
            <w:bottom w:w="0" w:type="dxa"/>
            <w:right w:w="108" w:type="dxa"/>
          </w:tblCellMar>
        </w:tblPrEx>
        <w:trPr>
          <w:trHeight w:val="390" w:hRule="atLeast"/>
        </w:trPr>
        <w:tc>
          <w:tcPr>
            <w:tcW w:w="13992"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55" w:hRule="atLeast"/>
        </w:trPr>
        <w:tc>
          <w:tcPr>
            <w:tcW w:w="3076" w:type="dxa"/>
            <w:tcBorders>
              <w:top w:val="nil"/>
              <w:left w:val="nil"/>
              <w:bottom w:val="nil"/>
              <w:right w:val="nil"/>
            </w:tcBorders>
            <w:noWrap/>
            <w:vAlign w:val="bottom"/>
          </w:tcPr>
          <w:p>
            <w:pPr>
              <w:rPr>
                <w:rFonts w:hint="eastAsia" w:ascii="Arial" w:hAnsi="Arial" w:cs="Arial"/>
                <w:color w:val="000000"/>
                <w:sz w:val="20"/>
                <w:szCs w:val="20"/>
              </w:rPr>
            </w:pPr>
          </w:p>
        </w:tc>
        <w:tc>
          <w:tcPr>
            <w:tcW w:w="436" w:type="dxa"/>
            <w:tcBorders>
              <w:top w:val="nil"/>
              <w:left w:val="nil"/>
              <w:bottom w:val="nil"/>
              <w:right w:val="nil"/>
            </w:tcBorders>
            <w:noWrap/>
            <w:vAlign w:val="bottom"/>
          </w:tcPr>
          <w:p>
            <w:pPr>
              <w:rPr>
                <w:rFonts w:ascii="Arial" w:hAnsi="Arial" w:cs="Arial"/>
                <w:color w:val="000000"/>
                <w:sz w:val="20"/>
                <w:szCs w:val="20"/>
              </w:rPr>
            </w:pPr>
          </w:p>
        </w:tc>
        <w:tc>
          <w:tcPr>
            <w:tcW w:w="983" w:type="dxa"/>
            <w:tcBorders>
              <w:top w:val="nil"/>
              <w:left w:val="nil"/>
              <w:bottom w:val="nil"/>
              <w:right w:val="nil"/>
            </w:tcBorders>
            <w:noWrap/>
            <w:vAlign w:val="bottom"/>
          </w:tcPr>
          <w:p>
            <w:pPr>
              <w:rPr>
                <w:rFonts w:ascii="Arial" w:hAnsi="Arial" w:cs="Arial"/>
                <w:color w:val="000000"/>
                <w:sz w:val="20"/>
                <w:szCs w:val="20"/>
              </w:rPr>
            </w:pPr>
          </w:p>
        </w:tc>
        <w:tc>
          <w:tcPr>
            <w:tcW w:w="3516" w:type="dxa"/>
            <w:tcBorders>
              <w:top w:val="nil"/>
              <w:left w:val="nil"/>
              <w:bottom w:val="nil"/>
              <w:right w:val="nil"/>
            </w:tcBorders>
            <w:noWrap/>
            <w:vAlign w:val="bottom"/>
          </w:tcPr>
          <w:p>
            <w:pPr>
              <w:rPr>
                <w:rFonts w:ascii="Arial" w:hAnsi="Arial" w:cs="Arial"/>
                <w:color w:val="000000"/>
                <w:sz w:val="20"/>
                <w:szCs w:val="20"/>
              </w:rPr>
            </w:pPr>
          </w:p>
        </w:tc>
        <w:tc>
          <w:tcPr>
            <w:tcW w:w="486" w:type="dxa"/>
            <w:tcBorders>
              <w:top w:val="nil"/>
              <w:left w:val="nil"/>
              <w:bottom w:val="nil"/>
              <w:right w:val="nil"/>
            </w:tcBorders>
            <w:noWrap/>
            <w:vAlign w:val="bottom"/>
          </w:tcPr>
          <w:p>
            <w:pPr>
              <w:rPr>
                <w:rFonts w:ascii="Arial" w:hAnsi="Arial" w:cs="Arial"/>
                <w:color w:val="000000"/>
                <w:sz w:val="20"/>
                <w:szCs w:val="20"/>
              </w:rPr>
            </w:pPr>
          </w:p>
        </w:tc>
        <w:tc>
          <w:tcPr>
            <w:tcW w:w="876" w:type="dxa"/>
            <w:tcBorders>
              <w:top w:val="nil"/>
              <w:left w:val="nil"/>
              <w:bottom w:val="nil"/>
              <w:right w:val="nil"/>
            </w:tcBorders>
            <w:noWrap/>
            <w:vAlign w:val="bottom"/>
          </w:tcPr>
          <w:p>
            <w:pPr>
              <w:rPr>
                <w:rFonts w:ascii="Arial" w:hAnsi="Arial" w:cs="Arial"/>
                <w:color w:val="000000"/>
                <w:sz w:val="20"/>
                <w:szCs w:val="20"/>
              </w:rPr>
            </w:pPr>
          </w:p>
        </w:tc>
        <w:tc>
          <w:tcPr>
            <w:tcW w:w="1424" w:type="dxa"/>
            <w:tcBorders>
              <w:top w:val="nil"/>
              <w:left w:val="nil"/>
              <w:bottom w:val="nil"/>
              <w:right w:val="nil"/>
            </w:tcBorders>
            <w:noWrap/>
            <w:vAlign w:val="bottom"/>
          </w:tcPr>
          <w:p>
            <w:pPr>
              <w:rPr>
                <w:rFonts w:ascii="Arial" w:hAnsi="Arial" w:cs="Arial"/>
                <w:color w:val="000000"/>
                <w:sz w:val="20"/>
                <w:szCs w:val="20"/>
              </w:rPr>
            </w:pPr>
          </w:p>
        </w:tc>
        <w:tc>
          <w:tcPr>
            <w:tcW w:w="1635" w:type="dxa"/>
            <w:tcBorders>
              <w:top w:val="nil"/>
              <w:left w:val="nil"/>
              <w:bottom w:val="nil"/>
              <w:right w:val="nil"/>
            </w:tcBorders>
            <w:noWrap/>
            <w:vAlign w:val="bottom"/>
          </w:tcPr>
          <w:p>
            <w:pPr>
              <w:rPr>
                <w:rFonts w:ascii="Arial" w:hAnsi="Arial" w:cs="Arial"/>
                <w:color w:val="000000"/>
                <w:sz w:val="20"/>
                <w:szCs w:val="20"/>
              </w:rPr>
            </w:pPr>
          </w:p>
        </w:tc>
        <w:tc>
          <w:tcPr>
            <w:tcW w:w="156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55" w:hRule="atLeast"/>
        </w:trPr>
        <w:tc>
          <w:tcPr>
            <w:tcW w:w="3076" w:type="dxa"/>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单位：许昌春秋楼文物管理处</w:t>
            </w:r>
          </w:p>
        </w:tc>
        <w:tc>
          <w:tcPr>
            <w:tcW w:w="436" w:type="dxa"/>
            <w:tcBorders>
              <w:top w:val="nil"/>
              <w:left w:val="nil"/>
              <w:bottom w:val="nil"/>
              <w:right w:val="nil"/>
            </w:tcBorders>
            <w:noWrap/>
            <w:vAlign w:val="bottom"/>
          </w:tcPr>
          <w:p>
            <w:pPr>
              <w:rPr>
                <w:rFonts w:ascii="Arial" w:hAnsi="Arial" w:cs="Arial"/>
                <w:color w:val="000000"/>
                <w:sz w:val="20"/>
                <w:szCs w:val="20"/>
              </w:rPr>
            </w:pPr>
          </w:p>
        </w:tc>
        <w:tc>
          <w:tcPr>
            <w:tcW w:w="983" w:type="dxa"/>
            <w:tcBorders>
              <w:top w:val="nil"/>
              <w:left w:val="nil"/>
              <w:bottom w:val="nil"/>
              <w:right w:val="nil"/>
            </w:tcBorders>
            <w:noWrap/>
            <w:vAlign w:val="bottom"/>
          </w:tcPr>
          <w:p>
            <w:pPr>
              <w:rPr>
                <w:rFonts w:ascii="Arial" w:hAnsi="Arial" w:cs="Arial"/>
                <w:color w:val="000000"/>
                <w:sz w:val="20"/>
                <w:szCs w:val="20"/>
              </w:rPr>
            </w:pPr>
          </w:p>
        </w:tc>
        <w:tc>
          <w:tcPr>
            <w:tcW w:w="3516" w:type="dxa"/>
            <w:tcBorders>
              <w:top w:val="nil"/>
              <w:left w:val="nil"/>
              <w:bottom w:val="nil"/>
              <w:right w:val="nil"/>
            </w:tcBorders>
            <w:noWrap/>
            <w:vAlign w:val="bottom"/>
          </w:tcPr>
          <w:p>
            <w:pPr>
              <w:rPr>
                <w:rFonts w:ascii="Arial" w:hAnsi="Arial" w:cs="Arial"/>
                <w:color w:val="000000"/>
                <w:sz w:val="20"/>
                <w:szCs w:val="20"/>
              </w:rPr>
            </w:pPr>
          </w:p>
        </w:tc>
        <w:tc>
          <w:tcPr>
            <w:tcW w:w="486" w:type="dxa"/>
            <w:tcBorders>
              <w:top w:val="nil"/>
              <w:left w:val="nil"/>
              <w:bottom w:val="nil"/>
              <w:right w:val="nil"/>
            </w:tcBorders>
            <w:noWrap/>
            <w:vAlign w:val="bottom"/>
          </w:tcPr>
          <w:p>
            <w:pPr>
              <w:rPr>
                <w:rFonts w:ascii="Arial" w:hAnsi="Arial" w:cs="Arial"/>
                <w:color w:val="000000"/>
                <w:sz w:val="20"/>
                <w:szCs w:val="20"/>
              </w:rPr>
            </w:pPr>
          </w:p>
        </w:tc>
        <w:tc>
          <w:tcPr>
            <w:tcW w:w="876" w:type="dxa"/>
            <w:tcBorders>
              <w:top w:val="nil"/>
              <w:left w:val="nil"/>
              <w:bottom w:val="nil"/>
              <w:right w:val="nil"/>
            </w:tcBorders>
            <w:noWrap/>
            <w:vAlign w:val="bottom"/>
          </w:tcPr>
          <w:p>
            <w:pPr>
              <w:rPr>
                <w:rFonts w:ascii="Arial" w:hAnsi="Arial" w:cs="Arial"/>
                <w:color w:val="000000"/>
                <w:sz w:val="20"/>
                <w:szCs w:val="20"/>
              </w:rPr>
            </w:pPr>
          </w:p>
        </w:tc>
        <w:tc>
          <w:tcPr>
            <w:tcW w:w="1424" w:type="dxa"/>
            <w:tcBorders>
              <w:top w:val="nil"/>
              <w:left w:val="nil"/>
              <w:bottom w:val="nil"/>
              <w:right w:val="nil"/>
            </w:tcBorders>
            <w:noWrap/>
            <w:vAlign w:val="bottom"/>
          </w:tcPr>
          <w:p>
            <w:pPr>
              <w:rPr>
                <w:rFonts w:ascii="Arial" w:hAnsi="Arial" w:cs="Arial"/>
                <w:color w:val="000000"/>
                <w:sz w:val="20"/>
                <w:szCs w:val="20"/>
              </w:rPr>
            </w:pPr>
          </w:p>
        </w:tc>
        <w:tc>
          <w:tcPr>
            <w:tcW w:w="1635" w:type="dxa"/>
            <w:tcBorders>
              <w:top w:val="nil"/>
              <w:left w:val="nil"/>
              <w:bottom w:val="nil"/>
              <w:right w:val="nil"/>
            </w:tcBorders>
            <w:noWrap/>
            <w:vAlign w:val="bottom"/>
          </w:tcPr>
          <w:p>
            <w:pPr>
              <w:rPr>
                <w:rFonts w:ascii="Arial" w:hAnsi="Arial" w:cs="Arial"/>
                <w:color w:val="000000"/>
                <w:sz w:val="20"/>
                <w:szCs w:val="20"/>
              </w:rPr>
            </w:pPr>
          </w:p>
        </w:tc>
        <w:tc>
          <w:tcPr>
            <w:tcW w:w="156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49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9497"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3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98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51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8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87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42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63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56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1060" w:hRule="atLeast"/>
        </w:trPr>
        <w:tc>
          <w:tcPr>
            <w:tcW w:w="307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4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98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5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48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87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42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5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36"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98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86"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87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42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63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56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98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230.50</w:t>
            </w: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三、国有资本经营财政拨款</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87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326.67</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326.67</w:t>
            </w: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87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87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87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cs="宋体"/>
                <w:b/>
                <w:bCs/>
                <w:color w:val="000000"/>
                <w:sz w:val="20"/>
                <w:szCs w:val="20"/>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0"/>
                <w:szCs w:val="20"/>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0"/>
                <w:szCs w:val="20"/>
              </w:rPr>
            </w:pP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98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230.50</w:t>
            </w: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87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378.31</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378.31</w:t>
            </w: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98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147.82</w:t>
            </w: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98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147.82</w:t>
            </w:r>
          </w:p>
        </w:tc>
        <w:tc>
          <w:tcPr>
            <w:tcW w:w="35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98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4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436" w:type="dxa"/>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98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378.31</w:t>
            </w:r>
          </w:p>
        </w:tc>
        <w:tc>
          <w:tcPr>
            <w:tcW w:w="351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4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87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378.31</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378.31</w:t>
            </w:r>
          </w:p>
        </w:tc>
        <w:tc>
          <w:tcPr>
            <w:tcW w:w="16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5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585" w:hRule="atLeast"/>
        </w:trPr>
        <w:tc>
          <w:tcPr>
            <w:tcW w:w="13992" w:type="dxa"/>
            <w:gridSpan w:val="9"/>
            <w:tcBorders>
              <w:top w:val="nil"/>
              <w:left w:val="nil"/>
              <w:bottom w:val="nil"/>
              <w:right w:val="nil"/>
            </w:tcBorders>
            <w:shd w:val="clear" w:color="auto"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62" w:type="dxa"/>
        <w:tblInd w:w="93" w:type="dxa"/>
        <w:tblLayout w:type="fixed"/>
        <w:tblCellMar>
          <w:top w:w="0" w:type="dxa"/>
          <w:left w:w="108" w:type="dxa"/>
          <w:bottom w:w="0" w:type="dxa"/>
          <w:right w:w="108" w:type="dxa"/>
        </w:tblCellMar>
      </w:tblPr>
      <w:tblGrid>
        <w:gridCol w:w="2810"/>
        <w:gridCol w:w="236"/>
        <w:gridCol w:w="236"/>
        <w:gridCol w:w="3947"/>
        <w:gridCol w:w="1538"/>
        <w:gridCol w:w="2200"/>
        <w:gridCol w:w="2095"/>
      </w:tblGrid>
      <w:tr>
        <w:tblPrEx>
          <w:tblCellMar>
            <w:top w:w="0" w:type="dxa"/>
            <w:left w:w="108" w:type="dxa"/>
            <w:bottom w:w="0" w:type="dxa"/>
            <w:right w:w="108" w:type="dxa"/>
          </w:tblCellMar>
        </w:tblPrEx>
        <w:trPr>
          <w:trHeight w:val="390" w:hRule="atLeast"/>
        </w:trPr>
        <w:tc>
          <w:tcPr>
            <w:tcW w:w="13062" w:type="dxa"/>
            <w:gridSpan w:val="7"/>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noWrap/>
            <w:vAlign w:val="bottom"/>
          </w:tcPr>
          <w:p>
            <w:pPr>
              <w:rPr>
                <w:rFonts w:hint="eastAsia"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541" w:type="dxa"/>
            <w:tcBorders>
              <w:top w:val="nil"/>
              <w:left w:val="nil"/>
              <w:bottom w:val="nil"/>
              <w:right w:val="nil"/>
            </w:tcBorders>
            <w:noWrap/>
            <w:vAlign w:val="bottom"/>
          </w:tcPr>
          <w:p>
            <w:pPr>
              <w:rPr>
                <w:rFonts w:ascii="Arial" w:hAnsi="Arial" w:cs="Arial"/>
                <w:color w:val="000000"/>
                <w:sz w:val="20"/>
                <w:szCs w:val="20"/>
              </w:rPr>
            </w:pPr>
          </w:p>
        </w:tc>
        <w:tc>
          <w:tcPr>
            <w:tcW w:w="2205" w:type="dxa"/>
            <w:tcBorders>
              <w:top w:val="nil"/>
              <w:left w:val="nil"/>
              <w:bottom w:val="nil"/>
              <w:right w:val="nil"/>
            </w:tcBorders>
            <w:noWrap/>
            <w:vAlign w:val="bottom"/>
          </w:tcPr>
          <w:p>
            <w:pPr>
              <w:rPr>
                <w:rFonts w:ascii="Arial" w:hAnsi="Arial" w:cs="Arial"/>
                <w:color w:val="000000"/>
                <w:sz w:val="20"/>
                <w:szCs w:val="20"/>
              </w:rPr>
            </w:pPr>
          </w:p>
        </w:tc>
        <w:tc>
          <w:tcPr>
            <w:tcW w:w="210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单位：许昌春秋楼文物管理处</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541" w:type="dxa"/>
            <w:tcBorders>
              <w:top w:val="nil"/>
              <w:left w:val="nil"/>
              <w:bottom w:val="nil"/>
              <w:right w:val="nil"/>
            </w:tcBorders>
            <w:noWrap/>
            <w:vAlign w:val="bottom"/>
          </w:tcPr>
          <w:p>
            <w:pPr>
              <w:rPr>
                <w:rFonts w:ascii="Arial" w:hAnsi="Arial" w:cs="Arial"/>
                <w:color w:val="000000"/>
                <w:sz w:val="20"/>
                <w:szCs w:val="20"/>
              </w:rPr>
            </w:pPr>
          </w:p>
        </w:tc>
        <w:tc>
          <w:tcPr>
            <w:tcW w:w="2205" w:type="dxa"/>
            <w:tcBorders>
              <w:top w:val="nil"/>
              <w:left w:val="nil"/>
              <w:bottom w:val="nil"/>
              <w:right w:val="nil"/>
            </w:tcBorders>
            <w:noWrap/>
            <w:vAlign w:val="bottom"/>
          </w:tcPr>
          <w:p>
            <w:pPr>
              <w:rPr>
                <w:rFonts w:ascii="Arial" w:hAnsi="Arial" w:cs="Arial"/>
                <w:color w:val="000000"/>
                <w:sz w:val="20"/>
                <w:szCs w:val="20"/>
              </w:rPr>
            </w:pPr>
          </w:p>
        </w:tc>
        <w:tc>
          <w:tcPr>
            <w:tcW w:w="210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846"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326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4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220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21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54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2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1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54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2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1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4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220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210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5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378.31</w:t>
            </w:r>
          </w:p>
        </w:tc>
        <w:tc>
          <w:tcPr>
            <w:tcW w:w="22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282.33</w:t>
            </w:r>
          </w:p>
        </w:tc>
        <w:tc>
          <w:tcPr>
            <w:tcW w:w="21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95.99</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326.67</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210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95.99</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10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10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文物</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2070204</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文物保护</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230.68</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其他文化旅游体育与传媒支出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10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其他文化旅游体育与传媒支出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210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74.99</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38.41</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5.22</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5.22</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26.60</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26.60</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机关事业单位职业年金缴费支出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6.60</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6.60</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12.69</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15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220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0.54</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3062" w:type="dxa"/>
            <w:gridSpan w:val="7"/>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1182"/>
        <w:gridCol w:w="3615"/>
        <w:gridCol w:w="915"/>
        <w:gridCol w:w="1095"/>
        <w:gridCol w:w="1740"/>
        <w:gridCol w:w="1005"/>
        <w:gridCol w:w="1080"/>
        <w:gridCol w:w="2550"/>
        <w:gridCol w:w="899"/>
      </w:tblGrid>
      <w:tr>
        <w:tblPrEx>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一般公共预算财政拨款基本支出决算明细表</w:t>
            </w:r>
          </w:p>
        </w:tc>
      </w:tr>
      <w:tr>
        <w:tblPrEx>
          <w:tblCellMar>
            <w:top w:w="0" w:type="dxa"/>
            <w:left w:w="108" w:type="dxa"/>
            <w:bottom w:w="0" w:type="dxa"/>
            <w:right w:w="108" w:type="dxa"/>
          </w:tblCellMar>
        </w:tblPrEx>
        <w:trPr>
          <w:trHeight w:val="255" w:hRule="atLeast"/>
        </w:trPr>
        <w:tc>
          <w:tcPr>
            <w:tcW w:w="1182" w:type="dxa"/>
            <w:tcBorders>
              <w:top w:val="nil"/>
              <w:left w:val="nil"/>
              <w:bottom w:val="nil"/>
              <w:right w:val="nil"/>
            </w:tcBorders>
            <w:noWrap/>
            <w:vAlign w:val="bottom"/>
          </w:tcPr>
          <w:p>
            <w:pPr>
              <w:rPr>
                <w:rFonts w:hint="eastAsia" w:ascii="Arial" w:hAnsi="Arial" w:cs="Arial"/>
                <w:color w:val="000000"/>
                <w:sz w:val="20"/>
                <w:szCs w:val="20"/>
              </w:rPr>
            </w:pPr>
          </w:p>
        </w:tc>
        <w:tc>
          <w:tcPr>
            <w:tcW w:w="3615" w:type="dxa"/>
            <w:tcBorders>
              <w:top w:val="nil"/>
              <w:left w:val="nil"/>
              <w:bottom w:val="nil"/>
              <w:right w:val="nil"/>
            </w:tcBorders>
            <w:noWrap/>
            <w:vAlign w:val="bottom"/>
          </w:tcPr>
          <w:p>
            <w:pPr>
              <w:rPr>
                <w:rFonts w:ascii="Arial" w:hAnsi="Arial" w:cs="Arial"/>
                <w:color w:val="000000"/>
                <w:sz w:val="20"/>
                <w:szCs w:val="20"/>
              </w:rPr>
            </w:pPr>
          </w:p>
        </w:tc>
        <w:tc>
          <w:tcPr>
            <w:tcW w:w="915"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1740"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3449"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55" w:hRule="atLeast"/>
        </w:trPr>
        <w:tc>
          <w:tcPr>
            <w:tcW w:w="4797"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单位：许昌春秋楼文物管理处</w:t>
            </w:r>
          </w:p>
        </w:tc>
        <w:tc>
          <w:tcPr>
            <w:tcW w:w="915"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1740"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3449"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712"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8369"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1182"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61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1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9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174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00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55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89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1182"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6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9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7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55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89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258.74</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11.38</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66.18</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3.66</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4.73</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0.61</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3.24</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27.08</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0.82</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24.34</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3.53</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4.97</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0.22</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10.79</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0.63</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7.15</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0.85</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109.63</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12.20</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5.97</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公务接待费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6.23</w:t>
            </w: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0.23</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0.44</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0.98</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255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255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361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0.05</w:t>
            </w:r>
          </w:p>
        </w:tc>
        <w:tc>
          <w:tcPr>
            <w:tcW w:w="108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255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361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1740"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255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cs="宋体"/>
                <w:color w:val="000000"/>
                <w:sz w:val="22"/>
              </w:rPr>
            </w:pP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479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9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270.94</w:t>
            </w:r>
          </w:p>
        </w:tc>
        <w:tc>
          <w:tcPr>
            <w:tcW w:w="7470" w:type="dxa"/>
            <w:gridSpan w:val="5"/>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8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11.38</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注：本表反映单位本年度一般公共预算财政拨款基本支出明细情况。本表金额转换为万元时，因四舍五入可能存在尾差。</w:t>
            </w:r>
          </w:p>
        </w:tc>
      </w:tr>
      <w:tr>
        <w:tblPrEx>
          <w:tblCellMar>
            <w:top w:w="0" w:type="dxa"/>
            <w:left w:w="108" w:type="dxa"/>
            <w:bottom w:w="0" w:type="dxa"/>
            <w:right w:w="108" w:type="dxa"/>
          </w:tblCellMar>
        </w:tblPrEx>
        <w:trPr>
          <w:trHeight w:val="255" w:hRule="atLeast"/>
        </w:trPr>
        <w:tc>
          <w:tcPr>
            <w:tcW w:w="1182" w:type="dxa"/>
            <w:tcBorders>
              <w:top w:val="nil"/>
              <w:left w:val="nil"/>
              <w:bottom w:val="nil"/>
              <w:right w:val="nil"/>
            </w:tcBorders>
            <w:noWrap/>
            <w:vAlign w:val="bottom"/>
          </w:tcPr>
          <w:p>
            <w:pPr>
              <w:rPr>
                <w:rFonts w:ascii="Arial" w:hAnsi="Arial" w:cs="Arial"/>
                <w:color w:val="000000"/>
                <w:sz w:val="20"/>
                <w:szCs w:val="20"/>
              </w:rPr>
            </w:pPr>
          </w:p>
        </w:tc>
        <w:tc>
          <w:tcPr>
            <w:tcW w:w="3615" w:type="dxa"/>
            <w:tcBorders>
              <w:top w:val="nil"/>
              <w:left w:val="nil"/>
              <w:bottom w:val="nil"/>
              <w:right w:val="nil"/>
            </w:tcBorders>
            <w:noWrap/>
            <w:vAlign w:val="bottom"/>
          </w:tcPr>
          <w:p>
            <w:pPr>
              <w:rPr>
                <w:rFonts w:ascii="Arial" w:hAnsi="Arial" w:cs="Arial"/>
                <w:color w:val="000000"/>
                <w:sz w:val="20"/>
                <w:szCs w:val="20"/>
              </w:rPr>
            </w:pPr>
          </w:p>
        </w:tc>
        <w:tc>
          <w:tcPr>
            <w:tcW w:w="915"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1740"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2550" w:type="dxa"/>
            <w:tcBorders>
              <w:top w:val="nil"/>
              <w:left w:val="nil"/>
              <w:bottom w:val="nil"/>
              <w:right w:val="nil"/>
            </w:tcBorders>
            <w:noWrap/>
            <w:vAlign w:val="bottom"/>
          </w:tcPr>
          <w:p>
            <w:pPr>
              <w:rPr>
                <w:rFonts w:ascii="Arial" w:hAnsi="Arial" w:cs="Arial"/>
                <w:color w:val="000000"/>
                <w:sz w:val="20"/>
                <w:szCs w:val="20"/>
              </w:rPr>
            </w:pPr>
          </w:p>
        </w:tc>
        <w:tc>
          <w:tcPr>
            <w:tcW w:w="899" w:type="dxa"/>
            <w:tcBorders>
              <w:top w:val="nil"/>
              <w:left w:val="nil"/>
              <w:bottom w:val="nil"/>
              <w:right w:val="nil"/>
            </w:tcBorders>
            <w:noWrap/>
            <w:vAlign w:val="bottom"/>
          </w:tcPr>
          <w:p>
            <w:pPr>
              <w:rPr>
                <w:rFonts w:ascii="Arial" w:hAnsi="Arial" w:cs="Arial"/>
                <w:color w:val="000000"/>
                <w:sz w:val="20"/>
                <w:szCs w:val="20"/>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925" w:type="dxa"/>
        <w:tblInd w:w="93" w:type="dxa"/>
        <w:tblLayout w:type="fixed"/>
        <w:tblCellMar>
          <w:top w:w="0" w:type="dxa"/>
          <w:left w:w="108" w:type="dxa"/>
          <w:bottom w:w="0" w:type="dxa"/>
          <w:right w:w="108" w:type="dxa"/>
        </w:tblCellMar>
      </w:tblPr>
      <w:tblGrid>
        <w:gridCol w:w="1410"/>
        <w:gridCol w:w="1485"/>
        <w:gridCol w:w="1035"/>
        <w:gridCol w:w="1395"/>
        <w:gridCol w:w="1275"/>
        <w:gridCol w:w="1263"/>
        <w:gridCol w:w="1005"/>
        <w:gridCol w:w="1182"/>
        <w:gridCol w:w="990"/>
        <w:gridCol w:w="1150"/>
        <w:gridCol w:w="1355"/>
        <w:gridCol w:w="1380"/>
      </w:tblGrid>
      <w:tr>
        <w:tblPrEx>
          <w:tblCellMar>
            <w:top w:w="0" w:type="dxa"/>
            <w:left w:w="108" w:type="dxa"/>
            <w:bottom w:w="0" w:type="dxa"/>
            <w:right w:w="108" w:type="dxa"/>
          </w:tblCellMar>
        </w:tblPrEx>
        <w:trPr>
          <w:trHeight w:val="540" w:hRule="atLeast"/>
        </w:trPr>
        <w:tc>
          <w:tcPr>
            <w:tcW w:w="14925" w:type="dxa"/>
            <w:gridSpan w:val="12"/>
            <w:tcBorders>
              <w:top w:val="nil"/>
              <w:left w:val="nil"/>
              <w:bottom w:val="nil"/>
              <w:right w:val="nil"/>
            </w:tcBorders>
            <w:noWrap/>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1410" w:type="dxa"/>
            <w:tcBorders>
              <w:top w:val="nil"/>
              <w:left w:val="nil"/>
              <w:bottom w:val="nil"/>
              <w:right w:val="nil"/>
            </w:tcBorders>
            <w:noWrap/>
            <w:vAlign w:val="bottom"/>
          </w:tcPr>
          <w:p>
            <w:pPr>
              <w:rPr>
                <w:rFonts w:hint="eastAsia" w:ascii="Arial" w:hAnsi="Arial" w:cs="Arial"/>
                <w:color w:val="000000"/>
                <w:sz w:val="20"/>
                <w:szCs w:val="20"/>
              </w:rPr>
            </w:pPr>
          </w:p>
        </w:tc>
        <w:tc>
          <w:tcPr>
            <w:tcW w:w="1485" w:type="dxa"/>
            <w:tcBorders>
              <w:top w:val="nil"/>
              <w:left w:val="nil"/>
              <w:bottom w:val="nil"/>
              <w:right w:val="nil"/>
            </w:tcBorders>
            <w:noWrap/>
            <w:vAlign w:val="bottom"/>
          </w:tcPr>
          <w:p>
            <w:pPr>
              <w:rPr>
                <w:rFonts w:ascii="Arial" w:hAnsi="Arial" w:cs="Arial"/>
                <w:color w:val="000000"/>
                <w:sz w:val="20"/>
                <w:szCs w:val="20"/>
              </w:rPr>
            </w:pPr>
          </w:p>
        </w:tc>
        <w:tc>
          <w:tcPr>
            <w:tcW w:w="1035" w:type="dxa"/>
            <w:tcBorders>
              <w:top w:val="nil"/>
              <w:left w:val="nil"/>
              <w:bottom w:val="nil"/>
              <w:right w:val="nil"/>
            </w:tcBorders>
            <w:noWrap/>
            <w:vAlign w:val="bottom"/>
          </w:tcPr>
          <w:p>
            <w:pPr>
              <w:rPr>
                <w:rFonts w:ascii="Arial" w:hAnsi="Arial" w:cs="Arial"/>
                <w:color w:val="000000"/>
                <w:sz w:val="20"/>
                <w:szCs w:val="20"/>
              </w:rPr>
            </w:pPr>
          </w:p>
        </w:tc>
        <w:tc>
          <w:tcPr>
            <w:tcW w:w="1395" w:type="dxa"/>
            <w:tcBorders>
              <w:top w:val="nil"/>
              <w:left w:val="nil"/>
              <w:bottom w:val="nil"/>
              <w:right w:val="nil"/>
            </w:tcBorders>
            <w:noWrap/>
            <w:vAlign w:val="bottom"/>
          </w:tcPr>
          <w:p>
            <w:pPr>
              <w:rPr>
                <w:rFonts w:ascii="Arial" w:hAnsi="Arial" w:cs="Arial"/>
                <w:color w:val="000000"/>
                <w:sz w:val="20"/>
                <w:szCs w:val="20"/>
              </w:rPr>
            </w:pPr>
          </w:p>
        </w:tc>
        <w:tc>
          <w:tcPr>
            <w:tcW w:w="1275" w:type="dxa"/>
            <w:tcBorders>
              <w:top w:val="nil"/>
              <w:left w:val="nil"/>
              <w:bottom w:val="nil"/>
              <w:right w:val="nil"/>
            </w:tcBorders>
            <w:noWrap/>
            <w:vAlign w:val="bottom"/>
          </w:tcPr>
          <w:p>
            <w:pPr>
              <w:rPr>
                <w:rFonts w:ascii="Arial" w:hAnsi="Arial" w:cs="Arial"/>
                <w:color w:val="000000"/>
                <w:sz w:val="20"/>
                <w:szCs w:val="20"/>
              </w:rPr>
            </w:pPr>
          </w:p>
        </w:tc>
        <w:tc>
          <w:tcPr>
            <w:tcW w:w="1263"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1182" w:type="dxa"/>
            <w:tcBorders>
              <w:top w:val="nil"/>
              <w:left w:val="nil"/>
              <w:bottom w:val="nil"/>
              <w:right w:val="nil"/>
            </w:tcBorders>
            <w:noWrap/>
            <w:vAlign w:val="bottom"/>
          </w:tcPr>
          <w:p>
            <w:pPr>
              <w:rPr>
                <w:rFonts w:ascii="Arial" w:hAnsi="Arial" w:cs="Arial"/>
                <w:color w:val="000000"/>
                <w:sz w:val="20"/>
                <w:szCs w:val="20"/>
              </w:rPr>
            </w:pPr>
          </w:p>
        </w:tc>
        <w:tc>
          <w:tcPr>
            <w:tcW w:w="990" w:type="dxa"/>
            <w:tcBorders>
              <w:top w:val="nil"/>
              <w:left w:val="nil"/>
              <w:bottom w:val="nil"/>
              <w:right w:val="nil"/>
            </w:tcBorders>
            <w:noWrap/>
            <w:vAlign w:val="bottom"/>
          </w:tcPr>
          <w:p>
            <w:pPr>
              <w:rPr>
                <w:rFonts w:ascii="Arial" w:hAnsi="Arial" w:cs="Arial"/>
                <w:color w:val="000000"/>
                <w:sz w:val="20"/>
                <w:szCs w:val="20"/>
              </w:rPr>
            </w:pPr>
          </w:p>
        </w:tc>
        <w:tc>
          <w:tcPr>
            <w:tcW w:w="1150" w:type="dxa"/>
            <w:tcBorders>
              <w:top w:val="nil"/>
              <w:left w:val="nil"/>
              <w:bottom w:val="nil"/>
              <w:right w:val="nil"/>
            </w:tcBorders>
            <w:noWrap/>
            <w:vAlign w:val="bottom"/>
          </w:tcPr>
          <w:p>
            <w:pPr>
              <w:rPr>
                <w:rFonts w:ascii="Arial" w:hAnsi="Arial" w:cs="Arial"/>
                <w:color w:val="000000"/>
                <w:sz w:val="20"/>
                <w:szCs w:val="20"/>
              </w:rPr>
            </w:pPr>
          </w:p>
        </w:tc>
        <w:tc>
          <w:tcPr>
            <w:tcW w:w="1355" w:type="dxa"/>
            <w:tcBorders>
              <w:top w:val="nil"/>
              <w:left w:val="nil"/>
              <w:bottom w:val="nil"/>
              <w:right w:val="nil"/>
            </w:tcBorders>
            <w:noWrap/>
            <w:vAlign w:val="bottom"/>
          </w:tcPr>
          <w:p>
            <w:pPr>
              <w:rPr>
                <w:rFonts w:ascii="Arial" w:hAnsi="Arial" w:cs="Arial"/>
                <w:color w:val="000000"/>
                <w:sz w:val="20"/>
                <w:szCs w:val="20"/>
              </w:rPr>
            </w:pPr>
          </w:p>
        </w:tc>
        <w:tc>
          <w:tcPr>
            <w:tcW w:w="1380"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55" w:hRule="atLeast"/>
        </w:trPr>
        <w:tc>
          <w:tcPr>
            <w:tcW w:w="2895"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单位：许昌春秋楼文物管理处</w:t>
            </w:r>
          </w:p>
        </w:tc>
        <w:tc>
          <w:tcPr>
            <w:tcW w:w="1035" w:type="dxa"/>
            <w:tcBorders>
              <w:top w:val="nil"/>
              <w:left w:val="nil"/>
              <w:bottom w:val="nil"/>
              <w:right w:val="nil"/>
            </w:tcBorders>
            <w:noWrap/>
            <w:vAlign w:val="bottom"/>
          </w:tcPr>
          <w:p>
            <w:pPr>
              <w:rPr>
                <w:rFonts w:ascii="Arial" w:hAnsi="Arial" w:cs="Arial"/>
                <w:color w:val="000000"/>
                <w:sz w:val="20"/>
                <w:szCs w:val="20"/>
              </w:rPr>
            </w:pPr>
          </w:p>
        </w:tc>
        <w:tc>
          <w:tcPr>
            <w:tcW w:w="1395" w:type="dxa"/>
            <w:tcBorders>
              <w:top w:val="nil"/>
              <w:left w:val="nil"/>
              <w:bottom w:val="nil"/>
              <w:right w:val="nil"/>
            </w:tcBorders>
            <w:noWrap/>
            <w:vAlign w:val="bottom"/>
          </w:tcPr>
          <w:p>
            <w:pPr>
              <w:rPr>
                <w:rFonts w:ascii="Arial" w:hAnsi="Arial" w:cs="Arial"/>
                <w:color w:val="000000"/>
                <w:sz w:val="20"/>
                <w:szCs w:val="20"/>
              </w:rPr>
            </w:pPr>
          </w:p>
        </w:tc>
        <w:tc>
          <w:tcPr>
            <w:tcW w:w="1275" w:type="dxa"/>
            <w:tcBorders>
              <w:top w:val="nil"/>
              <w:left w:val="nil"/>
              <w:bottom w:val="nil"/>
              <w:right w:val="nil"/>
            </w:tcBorders>
            <w:noWrap/>
            <w:vAlign w:val="bottom"/>
          </w:tcPr>
          <w:p>
            <w:pPr>
              <w:rPr>
                <w:rFonts w:ascii="Arial" w:hAnsi="Arial" w:cs="Arial"/>
                <w:color w:val="000000"/>
                <w:sz w:val="20"/>
                <w:szCs w:val="20"/>
              </w:rPr>
            </w:pPr>
          </w:p>
        </w:tc>
        <w:tc>
          <w:tcPr>
            <w:tcW w:w="1263"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1182" w:type="dxa"/>
            <w:tcBorders>
              <w:top w:val="nil"/>
              <w:left w:val="nil"/>
              <w:bottom w:val="nil"/>
              <w:right w:val="nil"/>
            </w:tcBorders>
            <w:noWrap/>
            <w:vAlign w:val="bottom"/>
          </w:tcPr>
          <w:p>
            <w:pPr>
              <w:rPr>
                <w:rFonts w:ascii="Arial" w:hAnsi="Arial" w:cs="Arial"/>
                <w:color w:val="000000"/>
                <w:sz w:val="20"/>
                <w:szCs w:val="20"/>
              </w:rPr>
            </w:pPr>
          </w:p>
        </w:tc>
        <w:tc>
          <w:tcPr>
            <w:tcW w:w="990" w:type="dxa"/>
            <w:tcBorders>
              <w:top w:val="nil"/>
              <w:left w:val="nil"/>
              <w:bottom w:val="nil"/>
              <w:right w:val="nil"/>
            </w:tcBorders>
            <w:noWrap/>
            <w:vAlign w:val="bottom"/>
          </w:tcPr>
          <w:p>
            <w:pPr>
              <w:rPr>
                <w:rFonts w:ascii="Arial" w:hAnsi="Arial" w:cs="Arial"/>
                <w:color w:val="000000"/>
                <w:sz w:val="20"/>
                <w:szCs w:val="20"/>
              </w:rPr>
            </w:pPr>
          </w:p>
        </w:tc>
        <w:tc>
          <w:tcPr>
            <w:tcW w:w="1150" w:type="dxa"/>
            <w:tcBorders>
              <w:top w:val="nil"/>
              <w:left w:val="nil"/>
              <w:bottom w:val="nil"/>
              <w:right w:val="nil"/>
            </w:tcBorders>
            <w:noWrap/>
            <w:vAlign w:val="bottom"/>
          </w:tcPr>
          <w:p>
            <w:pPr>
              <w:rPr>
                <w:rFonts w:ascii="Arial" w:hAnsi="Arial" w:cs="Arial"/>
                <w:color w:val="000000"/>
                <w:sz w:val="20"/>
                <w:szCs w:val="20"/>
              </w:rPr>
            </w:pPr>
          </w:p>
        </w:tc>
        <w:tc>
          <w:tcPr>
            <w:tcW w:w="2735"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863"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7062"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48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705"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26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00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18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495"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3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4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3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39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27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26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18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99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15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35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3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48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3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9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7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263"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0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182"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99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15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35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w:t>
            </w:r>
          </w:p>
        </w:tc>
        <w:tc>
          <w:tcPr>
            <w:tcW w:w="14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3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w:t>
            </w:r>
          </w:p>
        </w:tc>
        <w:tc>
          <w:tcPr>
            <w:tcW w:w="13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27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w:t>
            </w:r>
          </w:p>
        </w:tc>
        <w:tc>
          <w:tcPr>
            <w:tcW w:w="12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0.98</w:t>
            </w:r>
          </w:p>
        </w:tc>
        <w:tc>
          <w:tcPr>
            <w:tcW w:w="118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0.98</w:t>
            </w:r>
          </w:p>
        </w:tc>
        <w:tc>
          <w:tcPr>
            <w:tcW w:w="11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c>
          <w:tcPr>
            <w:tcW w:w="135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0.98</w:t>
            </w:r>
          </w:p>
        </w:tc>
        <w:tc>
          <w:tcPr>
            <w:tcW w:w="13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615" w:hRule="atLeast"/>
        </w:trPr>
        <w:tc>
          <w:tcPr>
            <w:tcW w:w="14925"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5000" w:type="dxa"/>
        <w:tblInd w:w="93" w:type="dxa"/>
        <w:tblLayout w:type="autofit"/>
        <w:tblCellMar>
          <w:top w:w="0" w:type="dxa"/>
          <w:left w:w="108" w:type="dxa"/>
          <w:bottom w:w="0" w:type="dxa"/>
          <w:right w:w="108" w:type="dxa"/>
        </w:tblCellMar>
      </w:tblPr>
      <w:tblGrid>
        <w:gridCol w:w="4152"/>
        <w:gridCol w:w="327"/>
        <w:gridCol w:w="327"/>
        <w:gridCol w:w="1616"/>
        <w:gridCol w:w="1233"/>
        <w:gridCol w:w="1233"/>
        <w:gridCol w:w="1233"/>
        <w:gridCol w:w="1233"/>
        <w:gridCol w:w="1233"/>
        <w:gridCol w:w="2413"/>
      </w:tblGrid>
      <w:tr>
        <w:tblPrEx>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单位：许昌春秋楼文物管理处</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504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2021年度收、支总计均为378.31万元。与上年度相比，收、支总计各减少119.88万元，下降24%。主要原因是项目经费减少。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2021年度收入合计230.50万元，其中：财政拨款收入230.50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2021年度支出合计378.31万元，其中：基本支出282.33万元，占74.63%；项目支出95.99万元，占25.37%；上缴上级支出0.00万元，占0.00%；经营支出0.00万元，占0.00%；对附属单位补助支出0.00万元，占0.00%。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2021年度财政拨款收、支总计均为378.31万元。与上年度相比，财政拨款收、支总计各减少119.88万元，下降24.00%。主要原因是项目经费减少。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ind w:firstLine="640" w:firstLineChars="200"/>
        <w:jc w:val="left"/>
        <w:rPr>
          <w:rFonts w:hint="eastAsia" w:ascii="宋体" w:hAnsi="宋体"/>
          <w:kern w:val="0"/>
          <w:sz w:val="18"/>
          <w:szCs w:val="24"/>
          <w:lang w:val="zh-CN"/>
        </w:rPr>
      </w:pPr>
      <w:r>
        <w:rPr>
          <w:rFonts w:hint="eastAsia" w:ascii="仿宋_GB2312" w:hAnsi="仿宋_GB2312" w:eastAsia="仿宋_GB2312"/>
          <w:sz w:val="32"/>
          <w:szCs w:val="24"/>
        </w:rPr>
        <w:t>2021年度一般公共预算财政拨款支出378.31万元，占支出合计的100.00%。与上年度相比，一般公共预算财政拨款支出增加29.99万元，增长8.60%。主要原因是人员经费增加。</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sz w:val="32"/>
          <w:szCs w:val="24"/>
        </w:rPr>
        <w:t>378.31</w:t>
      </w:r>
      <w:r>
        <w:rPr>
          <w:rFonts w:hint="eastAsia" w:ascii="仿宋_GB2312" w:hAnsi="仿宋_GB2312" w:eastAsia="仿宋_GB2312" w:cs="仿宋_GB2312"/>
          <w:sz w:val="32"/>
          <w:szCs w:val="32"/>
        </w:rPr>
        <w:t>万元，主要用于以下方面：文化旅游体育与传媒（类）支出326.67万元，占86.34%；社会保障和就业（类）支出38.41万元，占10.15%；卫生健康（类）支出12.69，占3.40%；其他支出0.54，占0.11%。</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sz w:val="32"/>
          <w:szCs w:val="24"/>
        </w:rPr>
        <w:t>429.91</w:t>
      </w:r>
      <w:r>
        <w:rPr>
          <w:rFonts w:hint="eastAsia" w:ascii="仿宋_GB2312" w:hAnsi="仿宋_GB2312" w:eastAsia="仿宋_GB2312" w:cs="仿宋_GB2312"/>
          <w:sz w:val="32"/>
          <w:szCs w:val="32"/>
        </w:rPr>
        <w:t>万元，支出决算为</w:t>
      </w:r>
      <w:r>
        <w:rPr>
          <w:rFonts w:hint="eastAsia" w:ascii="仿宋_GB2312" w:hAnsi="仿宋_GB2312" w:eastAsia="仿宋_GB2312"/>
          <w:sz w:val="32"/>
          <w:szCs w:val="24"/>
        </w:rPr>
        <w:t>378.31</w:t>
      </w:r>
      <w:r>
        <w:rPr>
          <w:rFonts w:hint="eastAsia" w:ascii="仿宋_GB2312" w:hAnsi="仿宋_GB2312" w:eastAsia="仿宋_GB2312" w:cs="仿宋_GB2312"/>
          <w:sz w:val="32"/>
          <w:szCs w:val="32"/>
        </w:rPr>
        <w:t>万元，完成年初预算的88.00%。其中：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宋体" w:eastAsia="仿宋_GB2312"/>
          <w:b/>
          <w:bCs/>
          <w:sz w:val="32"/>
          <w:szCs w:val="32"/>
        </w:rPr>
        <w:t>文化旅游体育与传媒支出</w:t>
      </w:r>
      <w:r>
        <w:rPr>
          <w:rFonts w:hint="eastAsia" w:ascii="仿宋_GB2312" w:hAnsi="仿宋_GB2312" w:eastAsia="仿宋_GB2312" w:cs="仿宋_GB2312"/>
          <w:b/>
          <w:bCs/>
          <w:sz w:val="32"/>
          <w:szCs w:val="32"/>
        </w:rPr>
        <w:t>（类）文化和旅游（款）其他文化和旅游支出（项）。</w:t>
      </w:r>
      <w:r>
        <w:rPr>
          <w:rFonts w:hint="eastAsia" w:ascii="仿宋_GB2312" w:hAnsi="仿宋_GB2312" w:eastAsia="仿宋_GB2312" w:cs="仿宋_GB2312"/>
          <w:sz w:val="32"/>
          <w:szCs w:val="32"/>
        </w:rPr>
        <w:t>年初预算为0.00万元，支出决算为21.00万元。决算数与年初预算数存在差异的主要原因是2021年</w:t>
      </w:r>
      <w:r>
        <w:rPr>
          <w:rFonts w:hint="eastAsia" w:ascii="仿宋_GB2312" w:hAnsi="宋体" w:eastAsia="仿宋_GB2312" w:cs="Courier New"/>
          <w:sz w:val="32"/>
          <w:szCs w:val="32"/>
        </w:rPr>
        <w:t>支出有2020年结余的项目资金</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宋体" w:eastAsia="仿宋_GB2312"/>
          <w:b/>
          <w:bCs/>
          <w:sz w:val="32"/>
          <w:szCs w:val="32"/>
        </w:rPr>
        <w:t>文化旅游体育与传媒支出</w:t>
      </w:r>
      <w:r>
        <w:rPr>
          <w:rFonts w:hint="eastAsia" w:ascii="仿宋_GB2312" w:hAnsi="仿宋_GB2312" w:eastAsia="仿宋_GB2312" w:cs="仿宋_GB2312"/>
          <w:b/>
          <w:bCs/>
          <w:sz w:val="32"/>
          <w:szCs w:val="32"/>
        </w:rPr>
        <w:t>（类）其他文化旅游体育与传媒支出（款）其他文化旅游体育与传媒支出（项）。</w:t>
      </w:r>
      <w:r>
        <w:rPr>
          <w:rFonts w:hint="eastAsia" w:ascii="仿宋_GB2312" w:hAnsi="仿宋_GB2312" w:eastAsia="仿宋_GB2312" w:cs="仿宋_GB2312"/>
          <w:sz w:val="32"/>
          <w:szCs w:val="32"/>
        </w:rPr>
        <w:t>年初预算为0.00万元，支出决算为74.99万元。决算数与年初预算数存在差异的主要原因是2021年</w:t>
      </w:r>
      <w:r>
        <w:rPr>
          <w:rFonts w:hint="eastAsia" w:ascii="仿宋_GB2312" w:hAnsi="宋体" w:eastAsia="仿宋_GB2312" w:cs="Courier New"/>
          <w:sz w:val="32"/>
          <w:szCs w:val="32"/>
        </w:rPr>
        <w:t>支出有2020年结余的项目资金</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3</w:t>
      </w:r>
      <w:r>
        <w:rPr>
          <w:rFonts w:hint="eastAsia" w:ascii="仿宋_GB2312" w:hAnsi="仿宋_GB2312" w:eastAsia="仿宋_GB2312" w:cs="仿宋_GB2312"/>
          <w:b/>
          <w:bCs/>
          <w:sz w:val="32"/>
          <w:szCs w:val="32"/>
        </w:rPr>
        <w:t>．</w:t>
      </w:r>
      <w:r>
        <w:rPr>
          <w:rFonts w:hint="eastAsia" w:ascii="仿宋_GB2312" w:hAnsi="宋体" w:eastAsia="仿宋_GB2312"/>
          <w:b/>
          <w:bCs/>
          <w:sz w:val="32"/>
          <w:szCs w:val="32"/>
        </w:rPr>
        <w:t>文化旅游体育与传媒支出</w:t>
      </w:r>
      <w:r>
        <w:rPr>
          <w:rFonts w:hint="eastAsia" w:ascii="仿宋_GB2312" w:hAnsi="仿宋_GB2312" w:eastAsia="仿宋_GB2312" w:cs="仿宋_GB2312"/>
          <w:b/>
          <w:bCs/>
          <w:sz w:val="32"/>
          <w:szCs w:val="32"/>
        </w:rPr>
        <w:t>（类）文物（款）文物保护（项）。</w:t>
      </w:r>
      <w:r>
        <w:rPr>
          <w:rFonts w:hint="eastAsia" w:ascii="仿宋_GB2312" w:hAnsi="仿宋_GB2312" w:eastAsia="仿宋_GB2312" w:cs="仿宋_GB2312"/>
          <w:sz w:val="32"/>
          <w:szCs w:val="32"/>
        </w:rPr>
        <w:t>年初预算为369.05万元，支出决算为230.68万元，</w:t>
      </w:r>
      <w:r>
        <w:rPr>
          <w:rFonts w:hint="eastAsia" w:ascii="仿宋_GB2312" w:hAnsi="仿宋_GB2312" w:eastAsia="仿宋_GB2312"/>
          <w:sz w:val="32"/>
          <w:szCs w:val="24"/>
        </w:rPr>
        <w:t>完成年初预算的62.50%。</w:t>
      </w:r>
      <w:r>
        <w:rPr>
          <w:rFonts w:hint="eastAsia" w:ascii="仿宋_GB2312" w:hAnsi="仿宋_GB2312" w:eastAsia="仿宋_GB2312" w:cs="仿宋_GB2312"/>
          <w:sz w:val="32"/>
          <w:szCs w:val="32"/>
        </w:rPr>
        <w:t>决算数与年初预算数存在差异的主要原因是</w:t>
      </w:r>
      <w:r>
        <w:rPr>
          <w:rFonts w:hint="eastAsia" w:ascii="仿宋_GB2312" w:hAnsi="宋体" w:eastAsia="仿宋_GB2312" w:cs="Courier New"/>
          <w:sz w:val="32"/>
          <w:szCs w:val="32"/>
        </w:rPr>
        <w:t>单位为差供事业单位，所有收入均纳入年初预算上缴财政，由于当年实际收入没有达到年初预算数，造成支出决算数小于年初预算数。</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4</w:t>
      </w:r>
      <w:r>
        <w:rPr>
          <w:rFonts w:hint="eastAsia" w:ascii="仿宋_GB2312" w:hAnsi="仿宋_GB2312" w:eastAsia="仿宋_GB2312" w:cs="仿宋_GB2312"/>
          <w:b/>
          <w:bCs/>
          <w:sz w:val="32"/>
          <w:szCs w:val="32"/>
        </w:rPr>
        <w:t>．</w:t>
      </w:r>
      <w:r>
        <w:rPr>
          <w:rFonts w:hint="eastAsia" w:ascii="仿宋_GB2312" w:hAnsi="宋体" w:eastAsia="仿宋_GB2312" w:cs="Courier New"/>
          <w:b/>
          <w:sz w:val="32"/>
          <w:szCs w:val="32"/>
        </w:rPr>
        <w:t>社会保障和就业支出（类）行政事业单位离退休（款）事业单位离退休（项）。</w:t>
      </w:r>
      <w:r>
        <w:rPr>
          <w:rFonts w:hint="eastAsia" w:ascii="仿宋_GB2312" w:hAnsi="仿宋_GB2312" w:eastAsia="仿宋_GB2312" w:cs="仿宋_GB2312"/>
          <w:sz w:val="32"/>
          <w:szCs w:val="32"/>
        </w:rPr>
        <w:t>年初预算为10.10万元，支出决算为5.22万元，完成年初预算的51.68%。决算数与年初预算数存在差异的主要原因</w:t>
      </w:r>
      <w:r>
        <w:rPr>
          <w:rFonts w:hint="eastAsia" w:ascii="仿宋_GB2312" w:hAnsi="宋体" w:eastAsia="仿宋_GB2312" w:cs="Courier New"/>
          <w:sz w:val="32"/>
          <w:szCs w:val="32"/>
        </w:rPr>
        <w:t>单位为差供事业单位，所有收入均纳入年初预算上缴财政，由于当年实际收入没有达到年初预算数，造成支出决算数小于年初预算数。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宋体" w:eastAsia="仿宋_GB2312" w:cs="Courier New"/>
          <w:b/>
          <w:sz w:val="32"/>
          <w:szCs w:val="32"/>
        </w:rPr>
        <w:t>社会保障和就业支出（类）行政事业单位离退休（款）机关事业单位基本养老保险缴费支出（项）。</w:t>
      </w:r>
      <w:r>
        <w:rPr>
          <w:rFonts w:hint="eastAsia" w:ascii="仿宋_GB2312" w:hAnsi="仿宋_GB2312" w:eastAsia="仿宋_GB2312" w:cs="仿宋_GB2312"/>
          <w:sz w:val="32"/>
          <w:szCs w:val="32"/>
        </w:rPr>
        <w:t>年初预算为30.00万元，支出决算为26.60万元，完成年初预算的88.67%。决算数与年初预算数存在差异的主要原因是</w:t>
      </w:r>
      <w:r>
        <w:rPr>
          <w:rFonts w:hint="eastAsia" w:ascii="仿宋_GB2312" w:hAnsi="宋体" w:eastAsia="仿宋_GB2312" w:cs="Courier New"/>
          <w:sz w:val="32"/>
          <w:szCs w:val="32"/>
        </w:rPr>
        <w:t>单位为差供事业单位，所有收入均纳入年初预算上缴财政，由于当年实际收入没有达到年初预算数，造成支出决算数小于年初预算数。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宋体" w:eastAsia="仿宋_GB2312" w:cs="Courier New"/>
          <w:b/>
          <w:sz w:val="32"/>
          <w:szCs w:val="32"/>
        </w:rPr>
        <w:t>社会保障和就业支出（类）行政事业单位离退休（款）机关事业单位职业年金缴费支出（项）。</w:t>
      </w:r>
      <w:r>
        <w:rPr>
          <w:rFonts w:hint="eastAsia" w:ascii="仿宋_GB2312" w:hAnsi="宋体" w:eastAsia="仿宋_GB2312" w:cs="Courier New"/>
          <w:sz w:val="32"/>
          <w:szCs w:val="32"/>
        </w:rPr>
        <w:t>年初预算为6.00万元，支出决算为6.60万元，完成年初预算的110.00</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决算数与年初预算数存在差异的主要原因是2021年</w:t>
      </w:r>
      <w:r>
        <w:rPr>
          <w:rFonts w:hint="eastAsia" w:ascii="仿宋_GB2312" w:hAnsi="宋体" w:eastAsia="仿宋_GB2312" w:cs="Courier New"/>
          <w:sz w:val="32"/>
          <w:szCs w:val="32"/>
        </w:rPr>
        <w:t>支出有2020年结余的资金</w:t>
      </w:r>
      <w:r>
        <w:rPr>
          <w:rFonts w:hint="eastAsia" w:ascii="仿宋_GB2312" w:hAnsi="仿宋_GB2312" w:eastAsia="仿宋_GB2312" w:cs="仿宋_GB2312"/>
          <w:sz w:val="32"/>
          <w:szCs w:val="32"/>
        </w:rPr>
        <w:t>。</w:t>
      </w:r>
    </w:p>
    <w:p>
      <w:pPr>
        <w:widowControl/>
        <w:spacing w:line="590" w:lineRule="exact"/>
        <w:ind w:firstLine="643" w:firstLineChars="200"/>
        <w:outlineLvl w:val="1"/>
        <w:rPr>
          <w:rFonts w:hint="eastAsia" w:ascii="仿宋_GB2312" w:hAnsi="宋体" w:eastAsia="仿宋_GB2312" w:cs="Courier New"/>
          <w:sz w:val="32"/>
          <w:szCs w:val="32"/>
        </w:rPr>
      </w:pPr>
      <w:r>
        <w:rPr>
          <w:rFonts w:hint="eastAsia" w:ascii="仿宋_GB2312" w:hAnsi="宋体" w:eastAsia="仿宋_GB2312" w:cs="Courier New"/>
          <w:b/>
          <w:bCs/>
          <w:sz w:val="32"/>
          <w:szCs w:val="32"/>
        </w:rPr>
        <w:t>7.卫生健康支出（类）行政事业单位医疗（款）事业单位医疗（项)。</w:t>
      </w:r>
      <w:r>
        <w:rPr>
          <w:rFonts w:hint="eastAsia" w:ascii="仿宋_GB2312" w:hAnsi="宋体" w:eastAsia="仿宋_GB2312" w:cs="Courier New"/>
          <w:sz w:val="32"/>
          <w:szCs w:val="32"/>
        </w:rPr>
        <w:t>年初预算为14.76万元，支出决算为12.69万元，完成年初预算的85.98</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决算数与年初预算数存在差异的主要原因：</w:t>
      </w:r>
      <w:r>
        <w:rPr>
          <w:rFonts w:hint="eastAsia" w:ascii="仿宋_GB2312" w:hAnsi="宋体" w:eastAsia="仿宋_GB2312" w:cs="Courier New"/>
          <w:sz w:val="32"/>
          <w:szCs w:val="32"/>
        </w:rPr>
        <w:t>单位为差供事业单位，所有收入均纳入年初预算上缴财政，由于当年实际收入没有达到年初预算数，造成支出决算数小于年初预算数。</w:t>
      </w:r>
    </w:p>
    <w:p>
      <w:pPr>
        <w:widowControl/>
        <w:spacing w:line="590" w:lineRule="exact"/>
        <w:ind w:firstLine="643" w:firstLineChars="200"/>
        <w:outlineLvl w:val="1"/>
        <w:rPr>
          <w:rFonts w:hint="eastAsia" w:ascii="仿宋_GB2312" w:hAnsi="仿宋_GB2312" w:eastAsia="仿宋_GB2312" w:cs="仿宋_GB2312"/>
          <w:sz w:val="32"/>
          <w:szCs w:val="32"/>
        </w:rPr>
      </w:pPr>
      <w:r>
        <w:rPr>
          <w:rFonts w:hint="eastAsia" w:ascii="仿宋_GB2312" w:hAnsi="宋体" w:eastAsia="仿宋_GB2312" w:cs="Courier New"/>
          <w:b/>
          <w:bCs/>
          <w:sz w:val="32"/>
          <w:szCs w:val="32"/>
        </w:rPr>
        <w:t>8.其他支出（类）其他支出（款）其他支出（项)。</w:t>
      </w:r>
      <w:r>
        <w:rPr>
          <w:rFonts w:hint="eastAsia" w:ascii="仿宋_GB2312" w:hAnsi="宋体" w:eastAsia="仿宋_GB2312" w:cs="Courier New"/>
          <w:sz w:val="32"/>
          <w:szCs w:val="32"/>
        </w:rPr>
        <w:t>年初预算为0.00万元，支出决算为0.54万元。</w:t>
      </w:r>
      <w:r>
        <w:rPr>
          <w:rFonts w:hint="eastAsia" w:ascii="仿宋_GB2312" w:hAnsi="仿宋_GB2312" w:eastAsia="仿宋_GB2312" w:cs="仿宋_GB2312"/>
          <w:sz w:val="32"/>
          <w:szCs w:val="32"/>
        </w:rPr>
        <w:t>决算数与年初预算数存在差异的主要原因是2021年</w:t>
      </w:r>
      <w:r>
        <w:rPr>
          <w:rFonts w:hint="eastAsia" w:ascii="仿宋_GB2312" w:hAnsi="宋体" w:eastAsia="仿宋_GB2312" w:cs="Courier New"/>
          <w:sz w:val="32"/>
          <w:szCs w:val="32"/>
        </w:rPr>
        <w:t>支出有2020年结余的资金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sz w:val="32"/>
          <w:szCs w:val="24"/>
        </w:rPr>
        <w:t>282.33</w:t>
      </w:r>
      <w:r>
        <w:rPr>
          <w:rFonts w:hint="eastAsia" w:ascii="仿宋_GB2312" w:hAnsi="仿宋_GB2312" w:eastAsia="仿宋_GB2312" w:cs="仿宋_GB2312"/>
          <w:sz w:val="32"/>
          <w:szCs w:val="32"/>
        </w:rPr>
        <w:t>万元。其中：人员经费</w:t>
      </w:r>
      <w:r>
        <w:rPr>
          <w:rFonts w:hint="eastAsia" w:ascii="仿宋_GB2312" w:hAnsi="仿宋_GB2312" w:eastAsia="仿宋_GB2312"/>
          <w:sz w:val="32"/>
          <w:szCs w:val="24"/>
        </w:rPr>
        <w:t>270.94</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其他社会保障缴费、住房公积金、其他工资福利支出、退休费、抚恤金；公用经费</w:t>
      </w:r>
      <w:r>
        <w:rPr>
          <w:rFonts w:hint="eastAsia" w:ascii="仿宋_GB2312" w:hAnsi="仿宋_GB2312" w:eastAsia="仿宋_GB2312"/>
          <w:sz w:val="32"/>
          <w:szCs w:val="24"/>
        </w:rPr>
        <w:t>11.38</w:t>
      </w:r>
      <w:r>
        <w:rPr>
          <w:rFonts w:hint="eastAsia" w:ascii="仿宋_GB2312" w:hAnsi="仿宋_GB2312" w:eastAsia="仿宋_GB2312" w:cs="仿宋_GB2312"/>
          <w:sz w:val="32"/>
          <w:szCs w:val="32"/>
        </w:rPr>
        <w:t>万元，主要包括：办公费、印刷费、水费、电费、邮电费、维修（护）费、委托业务费、福利费、公务用车运行维护费、税金及附加费用。</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年度“三公”经费财政拨款支出预算为1.00万元，支出决算为0.98万元，完成预算的98.00%。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年度“三公”经费支出决算数与预算数存在差异的主要原因是认真贯彻落实中央“八项规定”精神和厉行节约要求，从严控制“三公”经费开支，全年实际支出比预算有所节约。</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完成预算的0.00%，占0.00%；公务用车购置及运行费支出决算0.98万元，完成预算的98.00%，占100.00%；公务接待费支出决算0.00万元，完成预算的0.00%，占0.00%。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预算为0.00万元，支出决算为0.00万元，完成预算的0.00%。决算数与预算数无差异。全年因公出国（境）团组0个，累计0人次。</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预算为1.00万元，支出决算为0.98万元，完成预算的98.00%。决算数与预算数存在差异的主要原因是压缩公务用车购置及运行费。其中：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0.98万元。主要用于购汽油及公车维护。</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年期末，单位开支财政拨款的公务用车保有量为1量。</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预算为0.00万元，支出决算为0.00万元，完成预算的0.00%。决算数与预算数无差异。其中：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年度政府性基金预算财政拨款支出年初预算为0.00万元，支出决算为0.00万元，完成年初预算的0.00%。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1辆、应急保障车0辆、执法执勤用车0辆、特种专业技术用车0辆、离退休干部用车0辆、其他用车0辆；单位价值50万元以上通用设备1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完善绩效管理制度，根据文件对相关人员进行培训和宣传，通过自评结果汲取经验，提高专项资金的使用效益，进一步健全和完善财务管理制度及内部控制制度，创新管理手段，用新思想、新方法，改进完善财务管理方法，用制度管项目，用制度管资金。加强绩效评价管理与财政资金监管、财政监督检查工作的相互融合，绩效评价在预算分配、预算执行、结果应用的全过程管理机制不断完善。建立了部门整体支出绩效评价指标体系，初步建立了较为完整的绩效评价指标体系。组织机构方面，建立了由办公室牵头，其他业务科室积极配合的工作机制，明确了各责任科室工作重点及承担的具体工作职责;规范了工作程序，明确了分阶段工作任务，强化了预算绩效在预算编制、执行中的全过程管理。</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2021〕1号）等文件精神，我单位对本单位整体绩效目标和项目支出绩效目标进行了自评。一是单位整体绩效自评情况：为加强财政支出管理，强化支出责任，建立科学、合理的财政支出绩效评价管理体系，提高财政资金使用效益，根据《中华人民共和国预算法》等国家有关规定，单位结合实际情况，制定预算绩效管理制度，并依据制度开展绩效管理工作。二是项目绩效自评情况。我单位共有0个项目批复了绩效目标，项目金额0万元。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我单位选取0项目开展了部门重点评价。许昌市财政局选取我单位：0项目开展财政重点评价。</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Y2M2N2M2MTNkYzE5NjJhM2E5ODBmYTI1NmIxMjkifQ=="/>
  </w:docVars>
  <w:rsids>
    <w:rsidRoot w:val="000270E8"/>
    <w:rsid w:val="000270E8"/>
    <w:rsid w:val="000335B5"/>
    <w:rsid w:val="00057AFD"/>
    <w:rsid w:val="00076410"/>
    <w:rsid w:val="00081835"/>
    <w:rsid w:val="000904B3"/>
    <w:rsid w:val="000C073B"/>
    <w:rsid w:val="000C1142"/>
    <w:rsid w:val="000C5A27"/>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325CD"/>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6F4400"/>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FF2E59"/>
    <w:rsid w:val="10BD36F6"/>
    <w:rsid w:val="11BF0649"/>
    <w:rsid w:val="123E3E08"/>
    <w:rsid w:val="133212F4"/>
    <w:rsid w:val="13D22E22"/>
    <w:rsid w:val="161C2DFF"/>
    <w:rsid w:val="16373578"/>
    <w:rsid w:val="16D3336B"/>
    <w:rsid w:val="17200028"/>
    <w:rsid w:val="17806C36"/>
    <w:rsid w:val="17831C85"/>
    <w:rsid w:val="179618FE"/>
    <w:rsid w:val="17A74F62"/>
    <w:rsid w:val="18A47774"/>
    <w:rsid w:val="1A8D28EB"/>
    <w:rsid w:val="1A9F2D78"/>
    <w:rsid w:val="1B2E6FD8"/>
    <w:rsid w:val="1B877D21"/>
    <w:rsid w:val="1C4319A9"/>
    <w:rsid w:val="1E443B4B"/>
    <w:rsid w:val="1E994F4A"/>
    <w:rsid w:val="1EAF0224"/>
    <w:rsid w:val="1F2230A4"/>
    <w:rsid w:val="20117515"/>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331CF4"/>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761FB5"/>
    <w:rsid w:val="53906AE1"/>
    <w:rsid w:val="544115AF"/>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B3358AC"/>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1866</Words>
  <Characters>10637</Characters>
  <Lines>88</Lines>
  <Paragraphs>24</Paragraphs>
  <TotalTime>0</TotalTime>
  <ScaleCrop>false</ScaleCrop>
  <LinksUpToDate>false</LinksUpToDate>
  <CharactersWithSpaces>12479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2023-05-29T02:59:37Z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9DC79497F86B4EFA97AC675C36EA741F_13</vt:lpwstr>
  </property>
</Properties>
</file>