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b/>
          <w:bCs/>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b/>
          <w:bCs/>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2021年度</w:t>
      </w: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许昌市防汛通信分站</w:t>
      </w:r>
      <w:r>
        <w:rPr>
          <w:rFonts w:hint="eastAsia" w:ascii="黑体" w:hAnsi="黑体" w:eastAsia="黑体" w:cs="黑体"/>
          <w:b w:val="0"/>
          <w:bCs w:val="0"/>
          <w:sz w:val="52"/>
          <w:szCs w:val="52"/>
          <w:lang w:eastAsia="zh-CN"/>
        </w:rPr>
        <w:t>单位</w:t>
      </w:r>
      <w:r>
        <w:rPr>
          <w:rFonts w:hint="eastAsia" w:ascii="黑体" w:hAnsi="黑体" w:eastAsia="黑体" w:cs="黑体"/>
          <w:b w:val="0"/>
          <w:bCs w:val="0"/>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b w:val="0"/>
          <w:bCs w:val="0"/>
          <w:sz w:val="32"/>
          <w:szCs w:val="32"/>
        </w:rPr>
      </w:pPr>
      <w:r>
        <w:rPr>
          <w:rFonts w:hint="eastAsia" w:ascii="黑体" w:hAnsi="黑体" w:eastAsia="黑体" w:cs="黑体"/>
          <w:sz w:val="32"/>
          <w:szCs w:val="32"/>
        </w:rPr>
        <w:t>第一部分　</w:t>
      </w:r>
      <w:r>
        <w:rPr>
          <w:rFonts w:hint="eastAsia" w:ascii="黑体" w:hAnsi="黑体" w:eastAsia="黑体" w:cs="黑体"/>
          <w:b w:val="0"/>
          <w:bCs w:val="0"/>
          <w:sz w:val="32"/>
          <w:szCs w:val="32"/>
        </w:rPr>
        <w:t>许昌市防汛通信分站概况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b/>
          <w:bCs/>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b/>
          <w:bCs/>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48"/>
          <w:szCs w:val="48"/>
        </w:rPr>
      </w:pPr>
      <w:r>
        <w:rPr>
          <w:rFonts w:hint="eastAsia" w:ascii="黑体" w:hAnsi="黑体" w:eastAsia="黑体" w:cs="黑体"/>
          <w:sz w:val="48"/>
          <w:szCs w:val="48"/>
        </w:rPr>
        <w:t>第一部分  许昌市防汛通信分站概况</w:t>
      </w:r>
    </w:p>
    <w:p>
      <w:pPr>
        <w:widowControl/>
        <w:ind w:firstLine="960" w:firstLineChars="200"/>
        <w:jc w:val="left"/>
        <w:outlineLvl w:val="1"/>
        <w:rPr>
          <w:rFonts w:ascii="黑体" w:hAnsi="黑体" w:eastAsia="黑体" w:cs="黑体"/>
          <w:kern w:val="0"/>
          <w:sz w:val="48"/>
          <w:szCs w:val="48"/>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adjustRightInd w:val="0"/>
        <w:snapToGrid w:val="0"/>
        <w:spacing w:line="360" w:lineRule="auto"/>
        <w:ind w:firstLine="320" w:firstLineChars="100"/>
        <w:rPr>
          <w:rFonts w:hint="eastAsia" w:ascii="仿宋_GB2312" w:hAnsi="仿宋" w:eastAsia="仿宋_GB2312" w:cs="楷体_GB2312"/>
          <w:sz w:val="32"/>
          <w:szCs w:val="32"/>
        </w:rPr>
      </w:pPr>
      <w:r>
        <w:rPr>
          <w:rFonts w:hint="eastAsia" w:ascii="仿宋_GB2312" w:hAnsi="仿宋" w:eastAsia="仿宋_GB2312" w:cs="楷体_GB2312"/>
          <w:bCs/>
          <w:sz w:val="32"/>
          <w:szCs w:val="32"/>
        </w:rPr>
        <w:t>（一）</w:t>
      </w:r>
      <w:r>
        <w:rPr>
          <w:rFonts w:hint="eastAsia" w:ascii="仿宋_GB2312" w:hAnsi="仿宋" w:eastAsia="仿宋_GB2312" w:cs="仿宋"/>
          <w:color w:val="000000"/>
          <w:sz w:val="32"/>
          <w:szCs w:val="32"/>
          <w:shd w:val="clear" w:color="auto" w:fill="FFFFFF"/>
        </w:rPr>
        <w:t>承担我市防汛通信网的建设、运行和维护管理。</w:t>
      </w:r>
    </w:p>
    <w:p>
      <w:pPr>
        <w:adjustRightInd w:val="0"/>
        <w:snapToGrid w:val="0"/>
        <w:spacing w:line="360" w:lineRule="auto"/>
        <w:rPr>
          <w:rFonts w:hint="eastAsia" w:ascii="仿宋_GB2312" w:hAnsi="仿宋" w:eastAsia="仿宋_GB2312" w:cs="仿宋"/>
          <w:color w:val="000000"/>
          <w:sz w:val="32"/>
          <w:szCs w:val="32"/>
          <w:shd w:val="clear" w:color="auto" w:fill="FFFFFF"/>
        </w:rPr>
      </w:pPr>
      <w:r>
        <w:rPr>
          <w:rFonts w:hint="eastAsia" w:ascii="仿宋_GB2312" w:hAnsi="仿宋" w:eastAsia="仿宋_GB2312" w:cs="楷体_GB2312"/>
          <w:sz w:val="32"/>
          <w:szCs w:val="32"/>
        </w:rPr>
        <w:t xml:space="preserve">  </w:t>
      </w:r>
      <w:r>
        <w:rPr>
          <w:rFonts w:hint="eastAsia" w:ascii="仿宋_GB2312" w:hAnsi="仿宋" w:eastAsia="仿宋_GB2312" w:cs="楷体_GB2312"/>
          <w:bCs/>
          <w:sz w:val="32"/>
          <w:szCs w:val="32"/>
        </w:rPr>
        <w:t>（二）</w:t>
      </w:r>
      <w:r>
        <w:rPr>
          <w:rFonts w:hint="eastAsia" w:ascii="仿宋_GB2312" w:hAnsi="仿宋" w:eastAsia="仿宋_GB2312" w:cs="仿宋"/>
          <w:color w:val="000000"/>
          <w:sz w:val="32"/>
          <w:szCs w:val="32"/>
          <w:shd w:val="clear" w:color="auto" w:fill="FFFFFF"/>
        </w:rPr>
        <w:t>提供防汛抗旱通信保障，减轻灾害损失。</w:t>
      </w:r>
    </w:p>
    <w:p>
      <w:pPr>
        <w:adjustRightInd w:val="0"/>
        <w:snapToGrid w:val="0"/>
        <w:spacing w:line="360" w:lineRule="auto"/>
        <w:ind w:firstLine="320" w:firstLineChars="100"/>
        <w:rPr>
          <w:rFonts w:hint="eastAsia" w:ascii="仿宋_GB2312" w:hAnsi="仿宋" w:eastAsia="仿宋_GB2312" w:cs="楷体_GB2312"/>
          <w:sz w:val="32"/>
          <w:szCs w:val="32"/>
        </w:rPr>
      </w:pPr>
      <w:r>
        <w:rPr>
          <w:rFonts w:hint="eastAsia" w:ascii="仿宋_GB2312" w:hAnsi="仿宋" w:eastAsia="仿宋_GB2312" w:cs="楷体_GB2312"/>
          <w:sz w:val="32"/>
          <w:szCs w:val="32"/>
        </w:rPr>
        <w:t>（三）</w:t>
      </w:r>
      <w:r>
        <w:rPr>
          <w:rFonts w:hint="eastAsia" w:ascii="仿宋_GB2312" w:hAnsi="仿宋" w:eastAsia="仿宋_GB2312" w:cs="仿宋"/>
          <w:color w:val="000000"/>
          <w:sz w:val="32"/>
          <w:szCs w:val="32"/>
          <w:shd w:val="clear" w:color="auto" w:fill="FFFFFF"/>
        </w:rPr>
        <w:t>负责水利信息建设、运行和维护管理工作。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许昌市防汛通信分站内设机构3个，包括：办公室、业务室、财务室。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从决算单位构成看，许昌市防汛通信分站</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许昌市防汛通信分站</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32"/>
          <w:szCs w:val="32"/>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6"/>
        <w:tblW w:w="12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7"/>
        <w:gridCol w:w="828"/>
        <w:gridCol w:w="1037"/>
        <w:gridCol w:w="4439"/>
        <w:gridCol w:w="828"/>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885" w:type="dxa"/>
            <w:gridSpan w:val="6"/>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17" w:type="dxa"/>
            <w:tcBorders>
              <w:top w:val="nil"/>
              <w:left w:val="nil"/>
              <w:bottom w:val="nil"/>
              <w:right w:val="nil"/>
            </w:tcBorders>
            <w:shd w:val="clear" w:color="auto" w:fill="FFFFFF"/>
            <w:vAlign w:val="bottom"/>
          </w:tcPr>
          <w:p>
            <w:pPr>
              <w:rPr>
                <w:rFonts w:hint="eastAsia" w:ascii="Arial" w:hAnsi="Arial" w:cs="Arial"/>
                <w:color w:val="000000"/>
                <w:sz w:val="20"/>
                <w:szCs w:val="20"/>
              </w:rPr>
            </w:pPr>
          </w:p>
        </w:tc>
        <w:tc>
          <w:tcPr>
            <w:tcW w:w="828" w:type="dxa"/>
            <w:tcBorders>
              <w:top w:val="nil"/>
              <w:left w:val="nil"/>
              <w:bottom w:val="nil"/>
              <w:right w:val="nil"/>
            </w:tcBorders>
            <w:shd w:val="clear" w:color="auto" w:fill="FFFFFF"/>
            <w:vAlign w:val="bottom"/>
          </w:tcPr>
          <w:p>
            <w:pPr>
              <w:rPr>
                <w:rFonts w:ascii="Arial" w:hAnsi="Arial" w:cs="Arial"/>
                <w:color w:val="000000"/>
                <w:sz w:val="20"/>
                <w:szCs w:val="20"/>
              </w:rPr>
            </w:pPr>
          </w:p>
        </w:tc>
        <w:tc>
          <w:tcPr>
            <w:tcW w:w="1037" w:type="dxa"/>
            <w:tcBorders>
              <w:top w:val="nil"/>
              <w:left w:val="nil"/>
              <w:bottom w:val="nil"/>
              <w:right w:val="nil"/>
            </w:tcBorders>
            <w:shd w:val="clear" w:color="auto" w:fill="FFFFFF"/>
            <w:vAlign w:val="bottom"/>
          </w:tcPr>
          <w:p>
            <w:pPr>
              <w:rPr>
                <w:rFonts w:ascii="Arial" w:hAnsi="Arial" w:cs="Arial"/>
                <w:color w:val="000000"/>
                <w:sz w:val="20"/>
                <w:szCs w:val="20"/>
              </w:rPr>
            </w:pPr>
          </w:p>
        </w:tc>
        <w:tc>
          <w:tcPr>
            <w:tcW w:w="4439" w:type="dxa"/>
            <w:tcBorders>
              <w:top w:val="nil"/>
              <w:left w:val="nil"/>
              <w:bottom w:val="nil"/>
              <w:right w:val="nil"/>
            </w:tcBorders>
            <w:shd w:val="clear" w:color="auto" w:fill="FFFFFF"/>
            <w:vAlign w:val="bottom"/>
          </w:tcPr>
          <w:p>
            <w:pPr>
              <w:rPr>
                <w:rFonts w:ascii="Arial" w:hAnsi="Arial" w:cs="Arial"/>
                <w:color w:val="000000"/>
                <w:sz w:val="20"/>
                <w:szCs w:val="20"/>
              </w:rPr>
            </w:pPr>
          </w:p>
        </w:tc>
        <w:tc>
          <w:tcPr>
            <w:tcW w:w="1864"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021" w:type="dxa"/>
            <w:gridSpan w:val="4"/>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1864"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收入</w:t>
            </w:r>
          </w:p>
        </w:tc>
        <w:tc>
          <w:tcPr>
            <w:tcW w:w="630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03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443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03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828"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3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443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828"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3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037"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128.45</w:t>
            </w: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三、国有资本经营预算财政拨款收入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四、上级补助收入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五、事业收入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六、经营收入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七、附属单位上缴收入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七、文化旅游体育与传媒支出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八、其他收入</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九、卫生健康支出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十四、资源勘探工业信息等支出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十八、自然资源海洋气象等支出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二十一、国有资本经营预算支出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二十二、灾害防治及应急管理支出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二十三、其他支出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b/>
                <w:bCs/>
                <w:color w:val="000000"/>
                <w:sz w:val="20"/>
                <w:szCs w:val="20"/>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24</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二十四、债务还本支出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55</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25</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二十五、债务付息支出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56</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26</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二十六、抗疫特别国债安排的支出</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57</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本年收入合计</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1037"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128.45</w:t>
            </w:r>
          </w:p>
        </w:tc>
        <w:tc>
          <w:tcPr>
            <w:tcW w:w="443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本年支出合计</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58</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使用非财政拨款结余</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结余分配</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59</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1037"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13.98</w:t>
            </w:r>
          </w:p>
        </w:tc>
        <w:tc>
          <w:tcPr>
            <w:tcW w:w="4439"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年末结转和结余</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60</w:t>
            </w:r>
          </w:p>
        </w:tc>
        <w:tc>
          <w:tcPr>
            <w:tcW w:w="103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103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4439"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61</w:t>
            </w:r>
          </w:p>
        </w:tc>
        <w:tc>
          <w:tcPr>
            <w:tcW w:w="103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1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828" w:type="dxa"/>
            <w:tcBorders>
              <w:top w:val="nil"/>
              <w:left w:val="nil"/>
              <w:bottom w:val="single" w:color="000000" w:sz="8"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1037"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443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82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62</w:t>
            </w:r>
          </w:p>
        </w:tc>
        <w:tc>
          <w:tcPr>
            <w:tcW w:w="103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885" w:type="dxa"/>
            <w:gridSpan w:val="6"/>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5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110"/>
        <w:gridCol w:w="1110"/>
        <w:gridCol w:w="1075"/>
        <w:gridCol w:w="1075"/>
        <w:gridCol w:w="1075"/>
        <w:gridCol w:w="1075"/>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41" w:type="dxa"/>
            <w:gridSpan w:val="9"/>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541" w:type="dxa"/>
            <w:gridSpan w:val="9"/>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391" w:type="dxa"/>
            <w:gridSpan w:val="7"/>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2150"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1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11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财政拨款收入</w:t>
            </w:r>
          </w:p>
        </w:tc>
        <w:tc>
          <w:tcPr>
            <w:tcW w:w="10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上级补助收入</w:t>
            </w:r>
          </w:p>
        </w:tc>
        <w:tc>
          <w:tcPr>
            <w:tcW w:w="10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事业收入</w:t>
            </w:r>
          </w:p>
        </w:tc>
        <w:tc>
          <w:tcPr>
            <w:tcW w:w="10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经营收入</w:t>
            </w:r>
          </w:p>
        </w:tc>
        <w:tc>
          <w:tcPr>
            <w:tcW w:w="10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附属单位上缴收入</w:t>
            </w:r>
          </w:p>
        </w:tc>
        <w:tc>
          <w:tcPr>
            <w:tcW w:w="10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0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0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0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128.45</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128.45</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34.30</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34.30</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34.30</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34.30</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28.75</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28.75</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5.54</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5.54</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2.64</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90.91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39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541" w:type="dxa"/>
            <w:gridSpan w:val="9"/>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260"/>
        <w:gridCol w:w="1260"/>
        <w:gridCol w:w="1243"/>
        <w:gridCol w:w="1243"/>
        <w:gridCol w:w="1243"/>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438" w:type="dxa"/>
            <w:gridSpan w:val="8"/>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38" w:type="dxa"/>
            <w:gridSpan w:val="8"/>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52" w:type="dxa"/>
            <w:gridSpan w:val="6"/>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2486"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24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24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上缴上级支出</w:t>
            </w:r>
          </w:p>
        </w:tc>
        <w:tc>
          <w:tcPr>
            <w:tcW w:w="124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经营支出</w:t>
            </w:r>
          </w:p>
        </w:tc>
        <w:tc>
          <w:tcPr>
            <w:tcW w:w="124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24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24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24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24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142.43</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142.43</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6.42</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6.42</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6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39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6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438" w:type="dxa"/>
            <w:gridSpan w:val="8"/>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110"/>
        <w:gridCol w:w="3516"/>
        <w:gridCol w:w="570"/>
        <w:gridCol w:w="985"/>
        <w:gridCol w:w="961"/>
        <w:gridCol w:w="903"/>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25" w:type="dxa"/>
            <w:gridSpan w:val="9"/>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525" w:type="dxa"/>
            <w:gridSpan w:val="9"/>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788" w:type="dxa"/>
            <w:gridSpan w:val="7"/>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1737"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     入</w:t>
            </w:r>
          </w:p>
        </w:tc>
        <w:tc>
          <w:tcPr>
            <w:tcW w:w="7769"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1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351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98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96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一般公共预算财政拨款</w:t>
            </w:r>
          </w:p>
        </w:tc>
        <w:tc>
          <w:tcPr>
            <w:tcW w:w="90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政府性基金预算财政拨款</w:t>
            </w:r>
          </w:p>
        </w:tc>
        <w:tc>
          <w:tcPr>
            <w:tcW w:w="83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76"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1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98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961"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9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4"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351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98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6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90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834"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128.45</w:t>
            </w: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三、国有资本经营财政拨款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七、文化旅游体育与传媒支出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九、卫生健康支出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十四、资源勘探工业信息等支出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十八、自然资源海洋气象等支出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二十一、国有资本经营预算支出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二十二、灾害防治及应急管理支出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二十三、其他支出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55</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b/>
                <w:bCs/>
                <w:color w:val="000000"/>
                <w:sz w:val="20"/>
                <w:szCs w:val="20"/>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24</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二十四、债务还本支出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56</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25</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二十五、债务付息支出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57</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26</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二十六、抗疫特别国债安排的支出</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58</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本年收入合计</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128.45</w:t>
            </w:r>
          </w:p>
        </w:tc>
        <w:tc>
          <w:tcPr>
            <w:tcW w:w="351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本年支出合计</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59</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年初财政拨款结转和结余</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13.98</w:t>
            </w:r>
          </w:p>
        </w:tc>
        <w:tc>
          <w:tcPr>
            <w:tcW w:w="3516"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年末财政拨款结转和结余</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60</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一般公共预算财政拨款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13.98</w:t>
            </w:r>
          </w:p>
        </w:tc>
        <w:tc>
          <w:tcPr>
            <w:tcW w:w="3516"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61</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62</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63</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0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8"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11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351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64</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96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142.43</w:t>
            </w:r>
          </w:p>
        </w:tc>
        <w:tc>
          <w:tcPr>
            <w:tcW w:w="90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3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2525" w:type="dxa"/>
            <w:gridSpan w:val="9"/>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2625"/>
        <w:gridCol w:w="2599"/>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795" w:type="dxa"/>
            <w:gridSpan w:val="5"/>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795" w:type="dxa"/>
            <w:gridSpan w:val="5"/>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70" w:type="dxa"/>
            <w:gridSpan w:val="4"/>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2625"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784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262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259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262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6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59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6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6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59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6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26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259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26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142.43</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142.43</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36.20</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6.42</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6.42</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3.13</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2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59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102.49</w:t>
            </w: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39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259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26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5" w:type="dxa"/>
            <w:gridSpan w:val="5"/>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8"/>
        <w:gridCol w:w="3050"/>
        <w:gridCol w:w="1050"/>
        <w:gridCol w:w="825"/>
        <w:gridCol w:w="2424"/>
        <w:gridCol w:w="910"/>
        <w:gridCol w:w="825"/>
        <w:gridCol w:w="345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88" w:type="dxa"/>
            <w:gridSpan w:val="9"/>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30"/>
                <w:szCs w:val="30"/>
              </w:rPr>
              <w:t>一般公共预算财政拨款基本支出决算</w:t>
            </w:r>
            <w:r>
              <w:rPr>
                <w:rFonts w:hint="eastAsia" w:ascii="宋体" w:hAnsi="宋体" w:cs="宋体"/>
                <w:color w:val="000000"/>
                <w:kern w:val="0"/>
                <w:sz w:val="30"/>
                <w:szCs w:val="30"/>
                <w:lang w:eastAsia="zh-CN"/>
              </w:rPr>
              <w:t>明细</w:t>
            </w:r>
            <w:r>
              <w:rPr>
                <w:rFonts w:hint="eastAsia" w:ascii="宋体" w:hAnsi="宋体" w:cs="宋体"/>
                <w:color w:val="000000"/>
                <w:kern w:val="0"/>
                <w:sz w:val="30"/>
                <w:szCs w:val="3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88" w:type="dxa"/>
            <w:gridSpan w:val="9"/>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992" w:type="dxa"/>
            <w:gridSpan w:val="7"/>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4196"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人员经费</w:t>
            </w:r>
          </w:p>
        </w:tc>
        <w:tc>
          <w:tcPr>
            <w:tcW w:w="918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30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0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2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242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2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345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74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05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5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424"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91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45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4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工资福利支出</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106.68</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商品和服务支出</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5.97</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债务利息及费用支出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30101</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基本工资</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28.61</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30201</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30701</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国内债务付息</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30102</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津贴补贴</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22.67</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30202</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印刷费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30702</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国外债务付息</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30103</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奖金</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19.28</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30203</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咨询费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资本性支出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30106</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伙食补助费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30204</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手续费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31001</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房屋建筑物购建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30107</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绩效工资</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19.91</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30205</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0.04</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31002</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办公设备购置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30108</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6.61</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30206</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电费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0.74</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31003</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专用设备购置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30109</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职业年金缴费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30207</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邮电费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0.07</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31005</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基础设施建设</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30110</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职工基本医疗保险缴费</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3.27</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30208</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取暖费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0.22</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31006</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大型修缮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30111</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公务员医疗补助缴费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30209</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物业管理费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0.90</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31007</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信息网络及软件购置更新</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30112</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其他社会保障缴费</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0.37</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30211</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差旅费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31008</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物资储备</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30113</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住房公积金</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5.96</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30212</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因公出国（境）费用</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31009</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土地补偿</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30114</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30213</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维修（护）费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0.34</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31010</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安置补助</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30199</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其他工资福利支出</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30214</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租赁费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31011</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地上附着物和青苗补偿</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对个人和家庭的补助</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30215</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会议费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31012</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拆迁补偿</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30301</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离休费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30216</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0.03</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31013</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30302</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退休费</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29.78</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30217</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公务接待费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31019</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其他交通工具购置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30303</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退职（役）费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30218</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专用材料费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31021</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文物和陈列品购置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30304</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抚恤金</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30224</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被装购置费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31022</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无形资产购置</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30305</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生活补助</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30225</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专用燃料费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31099</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其他资本性支出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30306</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救济费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30226</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劳务费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30307</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医疗费补助</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30227</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委托业务费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39906</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赠与</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30308</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助学金</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30228</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工会经费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0.61</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39907</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国家赔偿费用支出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30309</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奖励金</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30229</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福利费</w:t>
            </w:r>
          </w:p>
        </w:tc>
        <w:tc>
          <w:tcPr>
            <w:tcW w:w="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1.31</w:t>
            </w: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39908</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30310</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个人农业生产补贴</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30231</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公务用车运行维护费</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39999</w:t>
            </w:r>
          </w:p>
        </w:tc>
        <w:tc>
          <w:tcPr>
            <w:tcW w:w="3453"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其他支出</w:t>
            </w: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30311</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代缴社会保险费</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30239</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其他交通费用</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3453"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30399</w:t>
            </w:r>
          </w:p>
        </w:tc>
        <w:tc>
          <w:tcPr>
            <w:tcW w:w="305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其他对个人和家庭的补助</w:t>
            </w: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30240</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税金及附加费用</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3453"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3050"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105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30299</w:t>
            </w:r>
          </w:p>
        </w:tc>
        <w:tc>
          <w:tcPr>
            <w:tcW w:w="2424"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其他商品和服务支出</w:t>
            </w:r>
          </w:p>
        </w:tc>
        <w:tc>
          <w:tcPr>
            <w:tcW w:w="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825"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3453"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8"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人员经费合计</w:t>
            </w:r>
          </w:p>
        </w:tc>
        <w:tc>
          <w:tcPr>
            <w:tcW w:w="105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136.46</w:t>
            </w:r>
          </w:p>
        </w:tc>
        <w:tc>
          <w:tcPr>
            <w:tcW w:w="8437" w:type="dxa"/>
            <w:gridSpan w:val="5"/>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公用经费合计</w:t>
            </w:r>
          </w:p>
        </w:tc>
        <w:tc>
          <w:tcPr>
            <w:tcW w:w="74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88" w:type="dxa"/>
            <w:gridSpan w:val="9"/>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gridCol w:w="1095"/>
        <w:gridCol w:w="109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140" w:type="dxa"/>
            <w:gridSpan w:val="12"/>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140" w:type="dxa"/>
            <w:gridSpan w:val="1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50" w:type="dxa"/>
            <w:gridSpan w:val="10"/>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2190"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预算数</w:t>
            </w:r>
          </w:p>
        </w:tc>
        <w:tc>
          <w:tcPr>
            <w:tcW w:w="657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28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28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0.10</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0.10</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40" w:type="dxa"/>
            <w:gridSpan w:val="12"/>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2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3"/>
        <w:gridCol w:w="1723"/>
        <w:gridCol w:w="1618"/>
        <w:gridCol w:w="1618"/>
        <w:gridCol w:w="1618"/>
        <w:gridCol w:w="1618"/>
        <w:gridCol w:w="1618"/>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02" w:type="dxa"/>
            <w:gridSpan w:val="8"/>
            <w:tcBorders>
              <w:top w:val="nil"/>
              <w:left w:val="nil"/>
              <w:bottom w:val="nil"/>
              <w:right w:val="nil"/>
            </w:tcBorders>
            <w:shd w:val="clear" w:color="auto" w:fill="FFFFFF"/>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902" w:type="dxa"/>
            <w:gridSpan w:val="8"/>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58" w:type="dxa"/>
            <w:gridSpan w:val="6"/>
            <w:tcBorders>
              <w:top w:val="nil"/>
              <w:left w:val="nil"/>
              <w:bottom w:val="nil"/>
              <w:right w:val="nil"/>
            </w:tcBorders>
            <w:shd w:val="clear" w:color="auto" w:fill="FFFFFF"/>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：许昌市防汛通信分站</w:t>
            </w:r>
          </w:p>
        </w:tc>
        <w:tc>
          <w:tcPr>
            <w:tcW w:w="3444"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61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161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w:t>
            </w:r>
          </w:p>
        </w:tc>
        <w:tc>
          <w:tcPr>
            <w:tcW w:w="485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c>
          <w:tcPr>
            <w:tcW w:w="182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172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61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61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8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72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8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3"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72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8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8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61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61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61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61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61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82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8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c>
          <w:tcPr>
            <w:tcW w:w="18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723"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8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723"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8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3"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723"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8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2" w:type="dxa"/>
            <w:gridSpan w:val="8"/>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本年度政府性基金预算财政拨款收入、支出及结转和结余情况。</w:t>
            </w:r>
            <w:r>
              <w:rPr>
                <w:rFonts w:hint="eastAsia" w:ascii="宋体" w:hAnsi="宋体" w:cs="宋体"/>
                <w:color w:val="000000"/>
                <w:kern w:val="0"/>
                <w:sz w:val="22"/>
                <w:szCs w:val="22"/>
                <w:highlight w:val="none"/>
              </w:rPr>
              <w:t>本表金额转换为万元时，因四舍五入可能存在尾差。</w:t>
            </w:r>
            <w:r>
              <w:rPr>
                <w:rFonts w:hint="eastAsia" w:ascii="宋体" w:hAnsi="宋体" w:cs="宋体"/>
                <w:color w:val="000000"/>
                <w:kern w:val="0"/>
                <w:sz w:val="22"/>
                <w:szCs w:val="22"/>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2" w:type="dxa"/>
            <w:gridSpan w:val="8"/>
            <w:tcBorders>
              <w:top w:val="nil"/>
              <w:left w:val="nil"/>
              <w:bottom w:val="nil"/>
              <w:right w:val="nil"/>
            </w:tcBorders>
            <w:shd w:val="clear" w:color="auto" w:fill="FFFFFF"/>
            <w:vAlign w:val="center"/>
          </w:tcPr>
          <w:p>
            <w:pPr>
              <w:widowControl/>
              <w:jc w:val="left"/>
              <w:textAlignment w:val="center"/>
              <w:rPr>
                <w:rFonts w:hint="eastAsia" w:ascii="宋体" w:hAnsi="宋体" w:cs="宋体"/>
                <w:color w:val="000000"/>
                <w:kern w:val="0"/>
                <w:sz w:val="22"/>
              </w:rPr>
            </w:pPr>
            <w:r>
              <w:rPr>
                <w:rFonts w:hint="eastAsia" w:ascii="宋体" w:hAnsi="宋体" w:eastAsia="宋体" w:cs="宋体"/>
                <w:sz w:val="22"/>
                <w:szCs w:val="22"/>
              </w:rPr>
              <w:t>说明：我</w:t>
            </w:r>
            <w:r>
              <w:rPr>
                <w:rFonts w:hint="eastAsia" w:ascii="宋体" w:hAnsi="宋体" w:cs="宋体"/>
                <w:sz w:val="22"/>
                <w:szCs w:val="22"/>
                <w:lang w:eastAsia="zh-CN"/>
              </w:rPr>
              <w:t>单位</w:t>
            </w:r>
            <w:r>
              <w:rPr>
                <w:rFonts w:hint="eastAsia" w:ascii="宋体" w:hAnsi="宋体" w:eastAsia="宋体" w:cs="宋体"/>
                <w:sz w:val="22"/>
                <w:szCs w:val="22"/>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年度收、支总计均为142.43万元。与上年度相比，收、支总计各减少6.14万元，下降4.13%。主要原因是2021年7月在职转退休一名</w:t>
      </w:r>
      <w:r>
        <w:rPr>
          <w:rFonts w:hint="eastAsia" w:ascii="仿宋_GB2312" w:hAnsi="仿宋_GB2312" w:eastAsia="仿宋_GB2312" w:cs="仿宋_GB2312"/>
          <w:sz w:val="32"/>
          <w:szCs w:val="32"/>
          <w:lang w:val="en-US" w:eastAsia="zh-CN"/>
        </w:rPr>
        <w:t>,人员经费减少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年度收入合计128.45万元，其中：财政拨款收入128.45万元，占</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年度支出合计142.43万元，其中：基本支出142.43万元，占</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年度财政拨款收、支总计均为142.43万元。与上年度相比，财政拨款收、支总计各减少6.14万元，下降4.13%。主要原因是2021年7月在职转退休一名</w:t>
      </w:r>
      <w:r>
        <w:rPr>
          <w:rFonts w:hint="eastAsia" w:ascii="仿宋_GB2312" w:hAnsi="仿宋_GB2312" w:eastAsia="仿宋_GB2312" w:cs="仿宋_GB2312"/>
          <w:sz w:val="32"/>
          <w:szCs w:val="32"/>
          <w:lang w:val="en-US" w:eastAsia="zh-CN"/>
        </w:rPr>
        <w:t>,人员经费减少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年度一般公共预算财政拨款支出142.43万元，占支出合计的</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。与上年度相比，一般公共预算财政拨款支出增加12.85万元，增长9.92%。主要原因是: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2021年30%绩效工资在当年发放;2.在职人员工资</w:t>
      </w:r>
      <w:r>
        <w:rPr>
          <w:rFonts w:hint="eastAsia" w:ascii="仿宋_GB2312" w:hAnsi="仿宋_GB2312" w:eastAsia="仿宋_GB2312" w:cs="仿宋_GB2312"/>
          <w:sz w:val="32"/>
          <w:szCs w:val="32"/>
          <w:lang w:eastAsia="zh-CN"/>
        </w:rPr>
        <w:t>提高标准</w:t>
      </w:r>
      <w:r>
        <w:rPr>
          <w:rFonts w:hint="eastAsia" w:ascii="仿宋_GB2312" w:hAnsi="仿宋_GB2312" w:eastAsia="仿宋_GB2312" w:cs="仿宋_GB2312"/>
          <w:sz w:val="32"/>
          <w:szCs w:val="32"/>
        </w:rPr>
        <w:t xml:space="preserve">。               </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142.43万元，主要用于以下方面：一般公共服务（类）支出0.61万元，占0.43%；社会保障和就业（类）支出36.20万元，占25.41%；卫生健康（类）支出3.13万元，占2.20%；农林水（类）支出102.49万元，占71.96%。</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年度一般公共预算财政拨款支出年初预算为138.25万元，支出决算为142.43万元，完成年初预算的103.02%。其中：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年初预算为0.61万元，支出决算为0.61万元，完成年初预算的</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年初预算为27.09万元，支出决算为29.78万元，完成年初预算的109.93%。决算数与年初预算数存在差异的主要原因是：</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2021年7月在职转退休一名，增加退休费支出;</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补发退休人员正式待遇。</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年初预算为6.97万元，支出决算为6.42万元，完成年初预算的92.11%。决算数与年初预算数存在差异的主要原因是2021年7月在职转退休一名，不再缴纳养老保险费。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年初预算为3.35万元，支出决算为3.13万元，完成年初预算的93.43%。决算数与年初预算数存在差异的主要原因是2021年7月在职转退休一名，不再缴纳医疗保险费。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5.农林水支出（类）水利（款）水利行业业务管理（项）。</w:t>
      </w:r>
      <w:r>
        <w:rPr>
          <w:rFonts w:hint="eastAsia" w:ascii="仿宋_GB2312" w:hAnsi="仿宋_GB2312" w:eastAsia="仿宋_GB2312" w:cs="仿宋_GB2312"/>
          <w:sz w:val="32"/>
          <w:szCs w:val="32"/>
        </w:rPr>
        <w:t>年初预算为100.23万元，支出决算为102.49万元，完成年初预算的102.25%。决算数与年初预算数存在差异的主要原因是在职人员工资</w:t>
      </w:r>
      <w:r>
        <w:rPr>
          <w:rFonts w:hint="eastAsia" w:ascii="仿宋_GB2312" w:hAnsi="仿宋_GB2312" w:eastAsia="仿宋_GB2312" w:cs="仿宋_GB2312"/>
          <w:sz w:val="32"/>
          <w:szCs w:val="32"/>
          <w:lang w:eastAsia="zh-CN"/>
        </w:rPr>
        <w:t>提高标准</w:t>
      </w:r>
      <w:r>
        <w:rPr>
          <w:rFonts w:hint="eastAsia" w:ascii="仿宋_GB2312" w:hAnsi="仿宋_GB2312" w:eastAsia="仿宋_GB2312" w:cs="仿宋_GB2312"/>
          <w:sz w:val="32"/>
          <w:szCs w:val="32"/>
        </w:rPr>
        <w:t xml:space="preserve">。               </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142.43万元。其中：人员经费136.46万元，主要包括：基本工资、津贴补贴、奖金、绩效工资、机关事业单位基本养老保险缴费、职工基本医疗保险缴费、其他社会保障缴费、退休费、住房公积金；公用经费5.97万元，主要包括：办公费、水费、电费、邮电费、取暖费、物业管理费、维修（护）费、培训费、工会经费、福利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年度“三公”经费财政拨款支出预算为0.10万元，支出决算为0.00万元，完成预算的0.00%。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年度“三公”经费支出决算数与预算数存在差异的主要原因是2021年没有发生“三公”经费支出。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“三公”经费支出</w:t>
      </w:r>
      <w:r>
        <w:rPr>
          <w:rFonts w:hint="eastAsia" w:ascii="仿宋_GB2312" w:hAnsi="仿宋_GB2312" w:eastAsia="仿宋_GB2312" w:cs="仿宋_GB2312"/>
          <w:sz w:val="32"/>
          <w:szCs w:val="32"/>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“三公”经费支出</w:t>
      </w:r>
      <w:r>
        <w:rPr>
          <w:rFonts w:hint="eastAsia" w:ascii="仿宋_GB2312" w:hAnsi="仿宋_GB2312" w:eastAsia="仿宋_GB2312" w:cs="仿宋_GB2312"/>
          <w:sz w:val="32"/>
          <w:szCs w:val="32"/>
        </w:rPr>
        <w:t>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预算为0.10万元，支出决算为0.00万元，完成预算的0.00%。决算数与预算数存在差异的主要原因是2021年没有公务接待任务。其中：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不存在项目年末结转和结余资金数额较大。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我单位以绩效目标实现为导向，加强组织领导，制定工作方案，认真组织开展绩效工作，按照年度目标任务，逐项落实责任人和完成时间节点。</w:t>
      </w:r>
      <w:r>
        <w:rPr>
          <w:rFonts w:hint="eastAsia" w:ascii="仿宋_GB2312" w:eastAsia="仿宋_GB2312"/>
          <w:sz w:val="32"/>
          <w:szCs w:val="32"/>
        </w:rPr>
        <w:t>对本单位预算绩效监控工作进行明确分工，明确工作要求，整体预算绩效做到日常监控，并对绩效运行监控信息进行收集、审核、分析、填报，分析偏离绩效目标的原因，并及时采取纠偏措施，</w:t>
      </w:r>
      <w:r>
        <w:rPr>
          <w:rFonts w:hint="eastAsia" w:ascii="仿宋_GB2312" w:hAnsi="仿宋_GB2312" w:eastAsia="仿宋_GB2312" w:cs="仿宋_GB2312"/>
          <w:sz w:val="32"/>
          <w:szCs w:val="32"/>
        </w:rPr>
        <w:t>定期对绩效目标完成情况开展自查，及时发现问题并解决问题，将绩效评价结果更好地应用到工作中。</w:t>
      </w:r>
    </w:p>
    <w:p>
      <w:pPr>
        <w:widowControl/>
        <w:spacing w:line="360" w:lineRule="auto"/>
        <w:ind w:firstLine="321" w:firstLineChars="1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w:t>
      </w:r>
      <w:bookmarkStart w:id="0" w:name="_GoBack"/>
      <w:bookmarkEnd w:id="0"/>
      <w:r>
        <w:rPr>
          <w:rFonts w:hint="eastAsia" w:ascii="楷体_GB2312" w:hAnsi="楷体_GB2312" w:eastAsia="楷体_GB2312" w:cs="楷体_GB2312"/>
          <w:b/>
          <w:bCs/>
          <w:sz w:val="32"/>
          <w:szCs w:val="32"/>
        </w:rPr>
        <w:t>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w:t>
      </w:r>
      <w:r>
        <w:rPr>
          <w:rFonts w:hint="eastAsia" w:ascii="仿宋_GB2312" w:eastAsia="仿宋_GB2312"/>
          <w:sz w:val="32"/>
          <w:szCs w:val="32"/>
        </w:rPr>
        <w:t>完成年度承担的防汛通信网的运行和维护管理任务，在汛期前对大陈闸、佛尔岗水库、化行闸、赵庄闸等主要防汛站点通讯设备及通讯铁塔开展检查，试机及故障排查；完成对许昌中继站和长葛中继站的微波通讯设备、天线的维护和保养；配合市应急管理局、许昌无线电管理局对无线电设备排查、无线电频率使用。全年单位各项工作任务完成，实现整体绩效目标</w:t>
      </w:r>
      <w:r>
        <w:rPr>
          <w:rFonts w:hint="eastAsia" w:ascii="仿宋_GB2312" w:eastAsia="仿宋_GB2312"/>
          <w:sz w:val="32"/>
          <w:szCs w:val="32"/>
          <w:lang w:val="en-US" w:eastAsia="zh-CN"/>
        </w:rPr>
        <w:t>,</w:t>
      </w:r>
      <w:r>
        <w:rPr>
          <w:rFonts w:hint="eastAsia" w:ascii="仿宋_GB2312" w:hAnsi="仿宋_GB2312" w:eastAsia="仿宋_GB2312" w:cs="仿宋_GB2312"/>
          <w:kern w:val="0"/>
          <w:sz w:val="32"/>
          <w:szCs w:val="32"/>
        </w:rPr>
        <w:t>评价结果为优秀。</w:t>
      </w:r>
      <w:r>
        <w:rPr>
          <w:rFonts w:hint="eastAsia" w:ascii="仿宋_GB2312" w:hAnsi="仿宋_GB2312" w:eastAsia="仿宋_GB2312" w:cs="仿宋_GB2312"/>
          <w:sz w:val="32"/>
          <w:szCs w:val="32"/>
        </w:rPr>
        <w:t>二是项目绩效自评情况:我单位共有0个项目批复了绩效目标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项目金额0.00万元</w:t>
      </w:r>
      <w:r>
        <w:rPr>
          <w:rFonts w:hint="eastAsia" w:ascii="仿宋_GB2312" w:hAnsi="仿宋_GB2312" w:eastAsia="仿宋_GB2312" w:cs="仿宋_GB2312"/>
          <w:sz w:val="32"/>
          <w:szCs w:val="32"/>
        </w:rPr>
        <w:t>。</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基于项目预期目标的实现程度，</w:t>
      </w:r>
      <w:r>
        <w:rPr>
          <w:rFonts w:hint="eastAsia" w:ascii="仿宋_GB2312" w:hAnsi="仿宋_GB2312" w:eastAsia="仿宋_GB2312" w:cs="仿宋_GB2312"/>
          <w:sz w:val="32"/>
          <w:szCs w:val="32"/>
          <w:highlight w:val="none"/>
        </w:rPr>
        <w:t>对2021年度项目支出绩效进行自评，绩效自评平均得分为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分。其中：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个项目评价等级为“优”、</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个项目评价等级为“良”、</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个项目评价等级为“差”。</w:t>
      </w:r>
    </w:p>
    <w:p>
      <w:pPr>
        <w:widowControl/>
        <w:spacing w:line="360" w:lineRule="auto"/>
        <w:ind w:firstLine="321" w:firstLineChars="1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Y1NGMwZGY1MGY4YzRkZDllZmU5YjNlNTNhOWE1ZTMifQ=="/>
  </w:docVars>
  <w:rsids>
    <w:rsidRoot w:val="00000000"/>
    <w:rsid w:val="2FCB709D"/>
    <w:rsid w:val="6F7E0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页脚 Char Char Char"/>
    <w:link w:val="4"/>
    <w:uiPriority w:val="99"/>
    <w:rPr>
      <w:kern w:val="2"/>
      <w:sz w:val="18"/>
      <w:szCs w:val="18"/>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批注框文本 Char Char Char"/>
    <w:link w:val="3"/>
    <w:uiPriority w:val="99"/>
    <w:rPr>
      <w:kern w:val="2"/>
      <w:sz w:val="18"/>
      <w:szCs w:val="18"/>
    </w:rPr>
  </w:style>
  <w:style w:type="character" w:customStyle="1" w:styleId="13">
    <w:name w:val="页眉 Char Char Char"/>
    <w:link w:val="5"/>
    <w:uiPriority w:val="99"/>
    <w:rPr>
      <w:kern w:val="2"/>
      <w:sz w:val="18"/>
      <w:szCs w:val="18"/>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28</Pages>
  <Words>7694</Words>
  <Characters>9271</Characters>
  <Lines>81</Lines>
  <Paragraphs>22</Paragraphs>
  <TotalTime>42</TotalTime>
  <ScaleCrop>false</ScaleCrop>
  <LinksUpToDate>false</LinksUpToDate>
  <CharactersWithSpaces>9514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2018-07-24T18:50:00Z</cp:lastPrinted>
  <dcterms:modified xsi:type="dcterms:W3CDTF">2023-05-09T03:25:36Z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EB423B5EA0E440ADBA4CE431439D5CBF</vt:lpwstr>
  </property>
</Properties>
</file>