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bookmarkStart w:id="0" w:name="_GoBack"/>
      <w:bookmarkEnd w:id="0"/>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许昌市质量技术监督局稽查支队</w:t>
      </w:r>
    </w:p>
    <w:p>
      <w:pPr>
        <w:jc w:val="center"/>
        <w:rPr>
          <w:rFonts w:hint="eastAsia" w:ascii="黑体" w:hAnsi="黑体" w:eastAsia="黑体" w:cs="黑体"/>
          <w:sz w:val="52"/>
          <w:szCs w:val="52"/>
        </w:rPr>
      </w:pP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许昌市质量技术监督局稽查支队概况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jc w:val="center"/>
        <w:rPr>
          <w:rFonts w:hint="eastAsia" w:ascii="黑体" w:hAnsi="黑体" w:eastAsia="黑体" w:cs="黑体"/>
          <w:sz w:val="48"/>
          <w:szCs w:val="48"/>
        </w:rPr>
      </w:pPr>
      <w:r>
        <w:rPr>
          <w:rFonts w:hint="eastAsia" w:ascii="黑体" w:hAnsi="黑体" w:eastAsia="黑体" w:cs="黑体"/>
          <w:sz w:val="48"/>
          <w:szCs w:val="48"/>
        </w:rPr>
        <w:t>第一部分  许昌市质量技术监督局</w:t>
      </w: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稽查支队概况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spacing w:line="560" w:lineRule="exact"/>
        <w:ind w:firstLine="640" w:firstLineChars="200"/>
        <w:rPr>
          <w:rFonts w:hint="eastAsia" w:ascii="仿宋" w:hAnsi="仿宋" w:eastAsia="仿宋" w:cs="仿宋"/>
          <w:kern w:val="0"/>
          <w:sz w:val="32"/>
          <w:szCs w:val="32"/>
        </w:rPr>
      </w:pPr>
      <w:r>
        <w:rPr>
          <w:rFonts w:hint="eastAsia" w:ascii="仿宋_GB2312" w:hAnsi="仿宋_GB2312" w:eastAsia="仿宋_GB2312" w:cs="仿宋_GB2312"/>
          <w:sz w:val="32"/>
          <w:szCs w:val="32"/>
        </w:rPr>
        <w:t>规范行政执法行为，依法查处管辖范围内的重大经济违法案件,会同市局相关科室协调办理跨区域案件;承办市政府、河南省市场监督管理局交办的案件。</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spacing w:line="360" w:lineRule="auto"/>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许昌市质量技术监督局稽查支队下设4个内设机构，分别为办公室、稽查一大队、稽查二大队和12365投诉举报中心。</w:t>
      </w:r>
    </w:p>
    <w:p>
      <w:pPr>
        <w:spacing w:line="360" w:lineRule="auto"/>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从决算单位构成看，许昌市质量技术监督局稽查支队</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决算包括：本级决算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spacing w:line="360" w:lineRule="auto"/>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2021年度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决算编制范围的单位共1个，具体是：</w:t>
      </w:r>
    </w:p>
    <w:p>
      <w:pPr>
        <w:widowControl/>
        <w:ind w:firstLine="640" w:firstLineChars="200"/>
        <w:jc w:val="left"/>
        <w:rPr>
          <w:rFonts w:hint="eastAsia" w:ascii="仿宋" w:hAnsi="仿宋" w:eastAsia="仿宋" w:cs="仿宋"/>
          <w:kern w:val="0"/>
          <w:sz w:val="28"/>
          <w:szCs w:val="28"/>
        </w:rPr>
      </w:pPr>
      <w:r>
        <w:rPr>
          <w:rFonts w:hint="eastAsia" w:ascii="仿宋_GB2312" w:hAnsi="仿宋_GB2312" w:eastAsia="仿宋_GB2312" w:cs="仿宋_GB2312"/>
          <w:sz w:val="32"/>
          <w:szCs w:val="32"/>
        </w:rPr>
        <w:t>1、许昌市质量技术监督局稽查支队。</w:t>
      </w: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pPr w:leftFromText="180" w:rightFromText="180" w:horzAnchor="margin" w:tblpXSpec="center" w:tblpY="225"/>
        <w:tblW w:w="12348" w:type="dxa"/>
        <w:tblInd w:w="0" w:type="dxa"/>
        <w:tblLayout w:type="autofit"/>
        <w:tblCellMar>
          <w:top w:w="0" w:type="dxa"/>
          <w:left w:w="108" w:type="dxa"/>
          <w:bottom w:w="0" w:type="dxa"/>
          <w:right w:w="108" w:type="dxa"/>
        </w:tblCellMar>
      </w:tblPr>
      <w:tblGrid>
        <w:gridCol w:w="4515"/>
        <w:gridCol w:w="598"/>
        <w:gridCol w:w="1423"/>
        <w:gridCol w:w="3690"/>
        <w:gridCol w:w="598"/>
        <w:gridCol w:w="1524"/>
      </w:tblGrid>
      <w:tr>
        <w:tblPrEx>
          <w:tblCellMar>
            <w:top w:w="0" w:type="dxa"/>
            <w:left w:w="108" w:type="dxa"/>
            <w:bottom w:w="0" w:type="dxa"/>
            <w:right w:w="108" w:type="dxa"/>
          </w:tblCellMar>
        </w:tblPrEx>
        <w:trPr>
          <w:trHeight w:val="390" w:hRule="atLeast"/>
        </w:trPr>
        <w:tc>
          <w:tcPr>
            <w:tcW w:w="12348" w:type="dxa"/>
            <w:gridSpan w:val="6"/>
            <w:tcBorders>
              <w:top w:val="nil"/>
              <w:left w:val="nil"/>
              <w:bottom w:val="nil"/>
              <w:right w:val="nil"/>
            </w:tcBorders>
            <w:noWrap/>
            <w:vAlign w:val="bottom"/>
          </w:tcPr>
          <w:p>
            <w:pPr>
              <w:widowControl/>
              <w:jc w:val="center"/>
              <w:rPr>
                <w:rFonts w:ascii="宋体" w:hAnsi="宋体" w:cs="Arial"/>
                <w:color w:val="000000"/>
                <w:kern w:val="0"/>
                <w:sz w:val="22"/>
                <w:szCs w:val="22"/>
              </w:rPr>
            </w:pPr>
            <w:r>
              <w:rPr>
                <w:rFonts w:hint="eastAsia" w:ascii="宋体" w:hAnsi="宋体" w:cs="Arial"/>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4515"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98"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423"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69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122" w:type="dxa"/>
            <w:gridSpan w:val="2"/>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公开01表</w:t>
            </w:r>
          </w:p>
        </w:tc>
      </w:tr>
      <w:tr>
        <w:tblPrEx>
          <w:tblCellMar>
            <w:top w:w="0" w:type="dxa"/>
            <w:left w:w="108" w:type="dxa"/>
            <w:bottom w:w="0" w:type="dxa"/>
            <w:right w:w="108" w:type="dxa"/>
          </w:tblCellMar>
        </w:tblPrEx>
        <w:trPr>
          <w:trHeight w:val="255" w:hRule="atLeast"/>
        </w:trPr>
        <w:tc>
          <w:tcPr>
            <w:tcW w:w="6536" w:type="dxa"/>
            <w:gridSpan w:val="3"/>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：许昌市质量技术监督局稽查支队</w:t>
            </w:r>
          </w:p>
        </w:tc>
        <w:tc>
          <w:tcPr>
            <w:tcW w:w="5812"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6536"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5812" w:type="dxa"/>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42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52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42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234.60</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223.62</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22.37</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13.02</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234.72</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259.01</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24.39</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0.09</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1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98"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42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259.11</w:t>
            </w:r>
          </w:p>
        </w:tc>
        <w:tc>
          <w:tcPr>
            <w:tcW w:w="369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52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259.11</w:t>
            </w:r>
          </w:p>
        </w:tc>
      </w:tr>
      <w:tr>
        <w:tblPrEx>
          <w:tblCellMar>
            <w:top w:w="0" w:type="dxa"/>
            <w:left w:w="108" w:type="dxa"/>
            <w:bottom w:w="0" w:type="dxa"/>
            <w:right w:w="108" w:type="dxa"/>
          </w:tblCellMar>
        </w:tblPrEx>
        <w:trPr>
          <w:trHeight w:val="308" w:hRule="atLeast"/>
        </w:trPr>
        <w:tc>
          <w:tcPr>
            <w:tcW w:w="12348" w:type="dxa"/>
            <w:gridSpan w:val="6"/>
            <w:tcBorders>
              <w:top w:val="nil"/>
              <w:left w:val="nil"/>
              <w:bottom w:val="nil"/>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5"/>
        <w:tblW w:w="13612" w:type="dxa"/>
        <w:tblInd w:w="250" w:type="dxa"/>
        <w:tblLayout w:type="autofit"/>
        <w:tblCellMar>
          <w:top w:w="0" w:type="dxa"/>
          <w:left w:w="108" w:type="dxa"/>
          <w:bottom w:w="0" w:type="dxa"/>
          <w:right w:w="108" w:type="dxa"/>
        </w:tblCellMar>
      </w:tblPr>
      <w:tblGrid>
        <w:gridCol w:w="236"/>
        <w:gridCol w:w="314"/>
        <w:gridCol w:w="282"/>
        <w:gridCol w:w="302"/>
        <w:gridCol w:w="4111"/>
        <w:gridCol w:w="591"/>
        <w:gridCol w:w="1256"/>
        <w:gridCol w:w="1741"/>
        <w:gridCol w:w="952"/>
        <w:gridCol w:w="850"/>
        <w:gridCol w:w="261"/>
        <w:gridCol w:w="590"/>
        <w:gridCol w:w="1276"/>
        <w:gridCol w:w="850"/>
      </w:tblGrid>
      <w:tr>
        <w:tblPrEx>
          <w:tblCellMar>
            <w:top w:w="0" w:type="dxa"/>
            <w:left w:w="108" w:type="dxa"/>
            <w:bottom w:w="0" w:type="dxa"/>
            <w:right w:w="108" w:type="dxa"/>
          </w:tblCellMar>
        </w:tblPrEx>
        <w:trPr>
          <w:trHeight w:val="390" w:hRule="atLeast"/>
        </w:trPr>
        <w:tc>
          <w:tcPr>
            <w:tcW w:w="13612" w:type="dxa"/>
            <w:gridSpan w:val="14"/>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236"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14"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82"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004" w:type="dxa"/>
            <w:gridSpan w:val="3"/>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56"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741"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952"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11"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716" w:type="dxa"/>
            <w:gridSpan w:val="3"/>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公开02表</w:t>
            </w:r>
          </w:p>
        </w:tc>
      </w:tr>
      <w:tr>
        <w:tblPrEx>
          <w:tblCellMar>
            <w:top w:w="0" w:type="dxa"/>
            <w:left w:w="108" w:type="dxa"/>
            <w:bottom w:w="0" w:type="dxa"/>
            <w:right w:w="108" w:type="dxa"/>
          </w:tblCellMar>
        </w:tblPrEx>
        <w:trPr>
          <w:trHeight w:val="255" w:hRule="atLeast"/>
        </w:trPr>
        <w:tc>
          <w:tcPr>
            <w:tcW w:w="7092" w:type="dxa"/>
            <w:gridSpan w:val="7"/>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：许昌市质量技术监督局稽查支队</w:t>
            </w:r>
          </w:p>
        </w:tc>
        <w:tc>
          <w:tcPr>
            <w:tcW w:w="1741"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952"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827" w:type="dxa"/>
            <w:gridSpan w:val="5"/>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5245"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847"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741"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952"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85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851"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127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85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1134" w:type="dxa"/>
            <w:gridSpan w:val="4"/>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111"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84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4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5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1"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134" w:type="dxa"/>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11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4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5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1"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134" w:type="dxa"/>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11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4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5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1"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5245" w:type="dxa"/>
            <w:gridSpan w:val="5"/>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847"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74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5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85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5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85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308" w:hRule="atLeast"/>
        </w:trPr>
        <w:tc>
          <w:tcPr>
            <w:tcW w:w="5245" w:type="dxa"/>
            <w:gridSpan w:val="5"/>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84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234.72</w:t>
            </w:r>
          </w:p>
        </w:tc>
        <w:tc>
          <w:tcPr>
            <w:tcW w:w="1741" w:type="dxa"/>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234.60</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0.12</w:t>
            </w:r>
          </w:p>
        </w:tc>
      </w:tr>
      <w:tr>
        <w:trPr>
          <w:trHeight w:val="308" w:hRule="atLeast"/>
        </w:trPr>
        <w:tc>
          <w:tcPr>
            <w:tcW w:w="1134"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411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84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211.20</w:t>
            </w:r>
          </w:p>
        </w:tc>
        <w:tc>
          <w:tcPr>
            <w:tcW w:w="174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211.08</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r>
      <w:tr>
        <w:tblPrEx>
          <w:tblCellMar>
            <w:top w:w="0" w:type="dxa"/>
            <w:left w:w="108" w:type="dxa"/>
            <w:bottom w:w="0" w:type="dxa"/>
            <w:right w:w="108" w:type="dxa"/>
          </w:tblCellMar>
        </w:tblPrEx>
        <w:trPr>
          <w:trHeight w:val="308" w:hRule="atLeast"/>
        </w:trPr>
        <w:tc>
          <w:tcPr>
            <w:tcW w:w="1134"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411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84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w:t>
            </w:r>
          </w:p>
        </w:tc>
        <w:tc>
          <w:tcPr>
            <w:tcW w:w="174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34"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411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84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w:t>
            </w:r>
          </w:p>
        </w:tc>
        <w:tc>
          <w:tcPr>
            <w:tcW w:w="174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34"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w:t>
            </w:r>
          </w:p>
        </w:tc>
        <w:tc>
          <w:tcPr>
            <w:tcW w:w="411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市场监督管理事务</w:t>
            </w:r>
          </w:p>
        </w:tc>
        <w:tc>
          <w:tcPr>
            <w:tcW w:w="184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209.86</w:t>
            </w:r>
          </w:p>
        </w:tc>
        <w:tc>
          <w:tcPr>
            <w:tcW w:w="174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209.74</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r>
      <w:tr>
        <w:tblPrEx>
          <w:tblCellMar>
            <w:top w:w="0" w:type="dxa"/>
            <w:left w:w="108" w:type="dxa"/>
            <w:bottom w:w="0" w:type="dxa"/>
            <w:right w:w="108" w:type="dxa"/>
          </w:tblCellMar>
        </w:tblPrEx>
        <w:trPr>
          <w:trHeight w:val="308" w:hRule="atLeast"/>
        </w:trPr>
        <w:tc>
          <w:tcPr>
            <w:tcW w:w="1134"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2013801</w:t>
            </w:r>
          </w:p>
        </w:tc>
        <w:tc>
          <w:tcPr>
            <w:tcW w:w="411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84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209.86</w:t>
            </w:r>
          </w:p>
        </w:tc>
        <w:tc>
          <w:tcPr>
            <w:tcW w:w="174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209.74</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r>
      <w:tr>
        <w:tblPrEx>
          <w:tblCellMar>
            <w:top w:w="0" w:type="dxa"/>
            <w:left w:w="108" w:type="dxa"/>
            <w:bottom w:w="0" w:type="dxa"/>
            <w:right w:w="108" w:type="dxa"/>
          </w:tblCellMar>
        </w:tblPrEx>
        <w:trPr>
          <w:trHeight w:val="308" w:hRule="atLeast"/>
        </w:trPr>
        <w:tc>
          <w:tcPr>
            <w:tcW w:w="1134"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411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84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16.32</w:t>
            </w:r>
          </w:p>
        </w:tc>
        <w:tc>
          <w:tcPr>
            <w:tcW w:w="174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16.32</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134"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411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84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16.32</w:t>
            </w:r>
          </w:p>
        </w:tc>
        <w:tc>
          <w:tcPr>
            <w:tcW w:w="174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16.32</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34"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411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184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8.86</w:t>
            </w:r>
          </w:p>
        </w:tc>
        <w:tc>
          <w:tcPr>
            <w:tcW w:w="174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8.86</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34"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411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84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7.46</w:t>
            </w:r>
          </w:p>
        </w:tc>
        <w:tc>
          <w:tcPr>
            <w:tcW w:w="174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7.46</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34"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411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84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7.20</w:t>
            </w:r>
          </w:p>
        </w:tc>
        <w:tc>
          <w:tcPr>
            <w:tcW w:w="174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7.20</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34"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411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84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7.20</w:t>
            </w:r>
          </w:p>
        </w:tc>
        <w:tc>
          <w:tcPr>
            <w:tcW w:w="174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7.20</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34"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411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184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3.77</w:t>
            </w:r>
          </w:p>
        </w:tc>
        <w:tc>
          <w:tcPr>
            <w:tcW w:w="174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3.77</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134"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411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184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3.43</w:t>
            </w:r>
          </w:p>
        </w:tc>
        <w:tc>
          <w:tcPr>
            <w:tcW w:w="174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3.43</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612" w:type="dxa"/>
            <w:gridSpan w:val="14"/>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5"/>
        <w:tblW w:w="14190" w:type="dxa"/>
        <w:tblInd w:w="93" w:type="dxa"/>
        <w:tblLayout w:type="autofit"/>
        <w:tblCellMar>
          <w:top w:w="0" w:type="dxa"/>
          <w:left w:w="108" w:type="dxa"/>
          <w:bottom w:w="0" w:type="dxa"/>
          <w:right w:w="108" w:type="dxa"/>
        </w:tblCellMar>
      </w:tblPr>
      <w:tblGrid>
        <w:gridCol w:w="401"/>
        <w:gridCol w:w="313"/>
        <w:gridCol w:w="272"/>
        <w:gridCol w:w="4558"/>
        <w:gridCol w:w="823"/>
        <w:gridCol w:w="1019"/>
        <w:gridCol w:w="1560"/>
        <w:gridCol w:w="1417"/>
        <w:gridCol w:w="1134"/>
        <w:gridCol w:w="1276"/>
        <w:gridCol w:w="1417"/>
      </w:tblGrid>
      <w:tr>
        <w:tblPrEx>
          <w:tblCellMar>
            <w:top w:w="0" w:type="dxa"/>
            <w:left w:w="108" w:type="dxa"/>
            <w:bottom w:w="0" w:type="dxa"/>
            <w:right w:w="108" w:type="dxa"/>
          </w:tblCellMar>
        </w:tblPrEx>
        <w:trPr>
          <w:trHeight w:val="390" w:hRule="atLeast"/>
        </w:trPr>
        <w:tc>
          <w:tcPr>
            <w:tcW w:w="14190" w:type="dxa"/>
            <w:gridSpan w:val="11"/>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401"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13"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72"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381"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019"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56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417"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827" w:type="dxa"/>
            <w:gridSpan w:val="3"/>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公开03表</w:t>
            </w:r>
          </w:p>
        </w:tc>
      </w:tr>
      <w:tr>
        <w:tblPrEx>
          <w:tblCellMar>
            <w:top w:w="0" w:type="dxa"/>
            <w:left w:w="108" w:type="dxa"/>
            <w:bottom w:w="0" w:type="dxa"/>
            <w:right w:w="108" w:type="dxa"/>
          </w:tblCellMar>
        </w:tblPrEx>
        <w:trPr>
          <w:trHeight w:val="255" w:hRule="atLeast"/>
        </w:trPr>
        <w:tc>
          <w:tcPr>
            <w:tcW w:w="7386" w:type="dxa"/>
            <w:gridSpan w:val="6"/>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：许昌市质量技术监督局稽查支队</w:t>
            </w:r>
          </w:p>
        </w:tc>
        <w:tc>
          <w:tcPr>
            <w:tcW w:w="156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417"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827"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554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842"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560"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417"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13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27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41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558"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84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1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55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1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55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1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5544"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84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5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41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3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41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5544"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84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259.01</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259.01</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455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84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223.62</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223.62</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455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84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455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84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w:t>
            </w:r>
          </w:p>
        </w:tc>
        <w:tc>
          <w:tcPr>
            <w:tcW w:w="455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市场监督管理事务</w:t>
            </w:r>
          </w:p>
        </w:tc>
        <w:tc>
          <w:tcPr>
            <w:tcW w:w="184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222.28</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222.28</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2013801</w:t>
            </w:r>
          </w:p>
        </w:tc>
        <w:tc>
          <w:tcPr>
            <w:tcW w:w="455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84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222.28</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222.28</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455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84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22.37</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22.37</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455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84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22.37</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22.37</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455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184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9.25</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9.25</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455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84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13.12</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13.12</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455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84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13.02</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13.02</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455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84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13.02</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13.02</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455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184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455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184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6.35</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6.35</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4190" w:type="dxa"/>
            <w:gridSpan w:val="11"/>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本年度各项支出情况。本表金额转换为万元时，因四舍五入可能存在尾差。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5"/>
        <w:tblW w:w="13980" w:type="dxa"/>
        <w:tblInd w:w="93" w:type="dxa"/>
        <w:tblLayout w:type="autofit"/>
        <w:tblCellMar>
          <w:top w:w="0" w:type="dxa"/>
          <w:left w:w="108" w:type="dxa"/>
          <w:bottom w:w="0" w:type="dxa"/>
          <w:right w:w="108" w:type="dxa"/>
        </w:tblCellMar>
      </w:tblPr>
      <w:tblGrid>
        <w:gridCol w:w="3538"/>
        <w:gridCol w:w="508"/>
        <w:gridCol w:w="1218"/>
        <w:gridCol w:w="4076"/>
        <w:gridCol w:w="508"/>
        <w:gridCol w:w="876"/>
        <w:gridCol w:w="1304"/>
        <w:gridCol w:w="961"/>
        <w:gridCol w:w="1022"/>
      </w:tblGrid>
      <w:tr>
        <w:tblPrEx>
          <w:tblCellMar>
            <w:top w:w="0" w:type="dxa"/>
            <w:left w:w="108" w:type="dxa"/>
            <w:bottom w:w="0" w:type="dxa"/>
            <w:right w:w="108" w:type="dxa"/>
          </w:tblCellMar>
        </w:tblPrEx>
        <w:trPr>
          <w:trHeight w:val="390" w:hRule="atLeast"/>
        </w:trPr>
        <w:tc>
          <w:tcPr>
            <w:tcW w:w="13980" w:type="dxa"/>
            <w:gridSpan w:val="9"/>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3538"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08"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18"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4076"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08"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845"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287" w:type="dxa"/>
            <w:gridSpan w:val="3"/>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55" w:hRule="atLeast"/>
        </w:trPr>
        <w:tc>
          <w:tcPr>
            <w:tcW w:w="9340" w:type="dxa"/>
            <w:gridSpan w:val="4"/>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：许昌市质量技术监督局稽查支队</w:t>
            </w:r>
          </w:p>
        </w:tc>
        <w:tc>
          <w:tcPr>
            <w:tcW w:w="508"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845"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287"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526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8716" w:type="dxa"/>
            <w:gridSpan w:val="6"/>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trHeight w:val="312" w:hRule="atLeast"/>
        </w:trPr>
        <w:tc>
          <w:tcPr>
            <w:tcW w:w="353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0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21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07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0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845"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30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96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102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353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1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0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4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0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6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2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2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0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845"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304"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96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022"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234.60</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223.50</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223.50</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22.37</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22.37</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13.02</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13.02</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234.60</w:t>
            </w:r>
          </w:p>
        </w:tc>
        <w:tc>
          <w:tcPr>
            <w:tcW w:w="4076" w:type="dxa"/>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258.89</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258.89</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24.29</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24.29</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7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38"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08" w:type="dxa"/>
            <w:tcBorders>
              <w:top w:val="nil"/>
              <w:left w:val="nil"/>
              <w:bottom w:val="single" w:color="000000" w:sz="8"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21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258.89</w:t>
            </w:r>
          </w:p>
        </w:tc>
        <w:tc>
          <w:tcPr>
            <w:tcW w:w="4076" w:type="dxa"/>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84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258.89</w:t>
            </w:r>
          </w:p>
        </w:tc>
        <w:tc>
          <w:tcPr>
            <w:tcW w:w="130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258.89</w:t>
            </w:r>
          </w:p>
        </w:tc>
        <w:tc>
          <w:tcPr>
            <w:tcW w:w="96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585" w:hRule="atLeast"/>
        </w:trPr>
        <w:tc>
          <w:tcPr>
            <w:tcW w:w="13980" w:type="dxa"/>
            <w:gridSpan w:val="9"/>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5"/>
        <w:tblpPr w:leftFromText="180" w:rightFromText="180" w:vertAnchor="page" w:horzAnchor="margin" w:tblpXSpec="center" w:tblpY="2146"/>
        <w:tblW w:w="12882" w:type="dxa"/>
        <w:tblInd w:w="0" w:type="dxa"/>
        <w:tblLayout w:type="autofit"/>
        <w:tblCellMar>
          <w:top w:w="0" w:type="dxa"/>
          <w:left w:w="108" w:type="dxa"/>
          <w:bottom w:w="0" w:type="dxa"/>
          <w:right w:w="108" w:type="dxa"/>
        </w:tblCellMar>
      </w:tblPr>
      <w:tblGrid>
        <w:gridCol w:w="411"/>
        <w:gridCol w:w="320"/>
        <w:gridCol w:w="279"/>
        <w:gridCol w:w="5222"/>
        <w:gridCol w:w="2047"/>
        <w:gridCol w:w="2047"/>
        <w:gridCol w:w="2556"/>
      </w:tblGrid>
      <w:tr>
        <w:tblPrEx>
          <w:tblCellMar>
            <w:top w:w="0" w:type="dxa"/>
            <w:left w:w="108" w:type="dxa"/>
            <w:bottom w:w="0" w:type="dxa"/>
            <w:right w:w="108" w:type="dxa"/>
          </w:tblCellMar>
        </w:tblPrEx>
        <w:trPr>
          <w:trHeight w:val="394" w:hRule="atLeast"/>
        </w:trPr>
        <w:tc>
          <w:tcPr>
            <w:tcW w:w="12882" w:type="dxa"/>
            <w:gridSpan w:val="7"/>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257" w:hRule="atLeast"/>
        </w:trPr>
        <w:tc>
          <w:tcPr>
            <w:tcW w:w="411"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2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79"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222"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047"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047"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556" w:type="dxa"/>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公开05表</w:t>
            </w:r>
          </w:p>
        </w:tc>
      </w:tr>
      <w:tr>
        <w:tblPrEx>
          <w:tblCellMar>
            <w:top w:w="0" w:type="dxa"/>
            <w:left w:w="108" w:type="dxa"/>
            <w:bottom w:w="0" w:type="dxa"/>
            <w:right w:w="108" w:type="dxa"/>
          </w:tblCellMar>
        </w:tblPrEx>
        <w:trPr>
          <w:trHeight w:val="257" w:hRule="atLeast"/>
        </w:trPr>
        <w:tc>
          <w:tcPr>
            <w:tcW w:w="6232" w:type="dxa"/>
            <w:gridSpan w:val="4"/>
            <w:tcBorders>
              <w:top w:val="nil"/>
              <w:left w:val="nil"/>
              <w:bottom w:val="nil"/>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：许昌市质量技术监督局稽查支队</w:t>
            </w:r>
          </w:p>
        </w:tc>
        <w:tc>
          <w:tcPr>
            <w:tcW w:w="2047"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047"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556" w:type="dxa"/>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11" w:hRule="atLeast"/>
        </w:trPr>
        <w:tc>
          <w:tcPr>
            <w:tcW w:w="623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650"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trHeight w:val="315" w:hRule="atLeast"/>
        </w:trPr>
        <w:tc>
          <w:tcPr>
            <w:tcW w:w="101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222"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04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204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55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315" w:hRule="atLeast"/>
        </w:trPr>
        <w:tc>
          <w:tcPr>
            <w:tcW w:w="1010"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22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55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5" w:hRule="atLeast"/>
        </w:trPr>
        <w:tc>
          <w:tcPr>
            <w:tcW w:w="1010"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22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55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1" w:hRule="atLeast"/>
        </w:trPr>
        <w:tc>
          <w:tcPr>
            <w:tcW w:w="6232"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047"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047"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55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311" w:hRule="atLeast"/>
        </w:trPr>
        <w:tc>
          <w:tcPr>
            <w:tcW w:w="6232"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258.89</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258.89</w:t>
            </w:r>
          </w:p>
        </w:tc>
        <w:tc>
          <w:tcPr>
            <w:tcW w:w="2556"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11" w:hRule="atLeast"/>
        </w:trPr>
        <w:tc>
          <w:tcPr>
            <w:tcW w:w="101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22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223.50</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223.50</w:t>
            </w:r>
          </w:p>
        </w:tc>
        <w:tc>
          <w:tcPr>
            <w:tcW w:w="25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1" w:hRule="atLeast"/>
        </w:trPr>
        <w:tc>
          <w:tcPr>
            <w:tcW w:w="101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22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w:t>
            </w:r>
          </w:p>
        </w:tc>
        <w:tc>
          <w:tcPr>
            <w:tcW w:w="25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1" w:hRule="atLeast"/>
        </w:trPr>
        <w:tc>
          <w:tcPr>
            <w:tcW w:w="101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22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w:t>
            </w:r>
          </w:p>
        </w:tc>
        <w:tc>
          <w:tcPr>
            <w:tcW w:w="25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1" w:hRule="atLeast"/>
        </w:trPr>
        <w:tc>
          <w:tcPr>
            <w:tcW w:w="101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w:t>
            </w:r>
          </w:p>
        </w:tc>
        <w:tc>
          <w:tcPr>
            <w:tcW w:w="522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市场监督管理事务</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222.16</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222.16</w:t>
            </w:r>
          </w:p>
        </w:tc>
        <w:tc>
          <w:tcPr>
            <w:tcW w:w="25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1" w:hRule="atLeast"/>
        </w:trPr>
        <w:tc>
          <w:tcPr>
            <w:tcW w:w="101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2013801</w:t>
            </w:r>
          </w:p>
        </w:tc>
        <w:tc>
          <w:tcPr>
            <w:tcW w:w="522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222.16</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222.16</w:t>
            </w:r>
          </w:p>
        </w:tc>
        <w:tc>
          <w:tcPr>
            <w:tcW w:w="25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1" w:hRule="atLeast"/>
        </w:trPr>
        <w:tc>
          <w:tcPr>
            <w:tcW w:w="101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22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22.37</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22.37</w:t>
            </w:r>
          </w:p>
        </w:tc>
        <w:tc>
          <w:tcPr>
            <w:tcW w:w="25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1" w:hRule="atLeast"/>
        </w:trPr>
        <w:tc>
          <w:tcPr>
            <w:tcW w:w="101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22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22.37</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22.37</w:t>
            </w:r>
          </w:p>
        </w:tc>
        <w:tc>
          <w:tcPr>
            <w:tcW w:w="25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1" w:hRule="atLeast"/>
        </w:trPr>
        <w:tc>
          <w:tcPr>
            <w:tcW w:w="101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522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9.25</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9.25</w:t>
            </w:r>
          </w:p>
        </w:tc>
        <w:tc>
          <w:tcPr>
            <w:tcW w:w="25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1" w:hRule="atLeast"/>
        </w:trPr>
        <w:tc>
          <w:tcPr>
            <w:tcW w:w="101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22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13.12</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13.12</w:t>
            </w:r>
          </w:p>
        </w:tc>
        <w:tc>
          <w:tcPr>
            <w:tcW w:w="25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1" w:hRule="atLeast"/>
        </w:trPr>
        <w:tc>
          <w:tcPr>
            <w:tcW w:w="101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22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13.02</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13.02</w:t>
            </w:r>
          </w:p>
        </w:tc>
        <w:tc>
          <w:tcPr>
            <w:tcW w:w="25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1" w:hRule="atLeast"/>
        </w:trPr>
        <w:tc>
          <w:tcPr>
            <w:tcW w:w="101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22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13.02</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13.02</w:t>
            </w:r>
          </w:p>
        </w:tc>
        <w:tc>
          <w:tcPr>
            <w:tcW w:w="25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1" w:hRule="atLeast"/>
        </w:trPr>
        <w:tc>
          <w:tcPr>
            <w:tcW w:w="101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522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25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1" w:hRule="atLeast"/>
        </w:trPr>
        <w:tc>
          <w:tcPr>
            <w:tcW w:w="101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522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6.35</w:t>
            </w:r>
          </w:p>
        </w:tc>
        <w:tc>
          <w:tcPr>
            <w:tcW w:w="20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6.35</w:t>
            </w:r>
          </w:p>
        </w:tc>
        <w:tc>
          <w:tcPr>
            <w:tcW w:w="25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11" w:hRule="atLeast"/>
        </w:trPr>
        <w:tc>
          <w:tcPr>
            <w:tcW w:w="12882" w:type="dxa"/>
            <w:gridSpan w:val="7"/>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本年度一般公共预算财政拨款支出情况。本套报表金额单位转换时可能存在尾数误差。</w:t>
            </w:r>
          </w:p>
        </w:tc>
      </w:tr>
    </w:tbl>
    <w:p>
      <w:pPr>
        <w:rPr>
          <w:vanish/>
        </w:rPr>
      </w:pPr>
    </w:p>
    <w:tbl>
      <w:tblPr>
        <w:tblStyle w:val="5"/>
        <w:tblW w:w="14081" w:type="dxa"/>
        <w:tblInd w:w="93" w:type="dxa"/>
        <w:tblLayout w:type="autofit"/>
        <w:tblCellMar>
          <w:top w:w="0" w:type="dxa"/>
          <w:left w:w="108" w:type="dxa"/>
          <w:bottom w:w="0" w:type="dxa"/>
          <w:right w:w="108" w:type="dxa"/>
        </w:tblCellMar>
      </w:tblPr>
      <w:tblGrid>
        <w:gridCol w:w="742"/>
        <w:gridCol w:w="407"/>
        <w:gridCol w:w="2799"/>
        <w:gridCol w:w="876"/>
        <w:gridCol w:w="766"/>
        <w:gridCol w:w="379"/>
        <w:gridCol w:w="1771"/>
        <w:gridCol w:w="355"/>
        <w:gridCol w:w="411"/>
        <w:gridCol w:w="581"/>
        <w:gridCol w:w="184"/>
        <w:gridCol w:w="950"/>
        <w:gridCol w:w="2978"/>
        <w:gridCol w:w="882"/>
      </w:tblGrid>
      <w:tr>
        <w:tblPrEx>
          <w:tblCellMar>
            <w:top w:w="0" w:type="dxa"/>
            <w:left w:w="108" w:type="dxa"/>
            <w:bottom w:w="0" w:type="dxa"/>
            <w:right w:w="108" w:type="dxa"/>
          </w:tblCellMar>
        </w:tblPrEx>
        <w:trPr>
          <w:trHeight w:val="390" w:hRule="atLeast"/>
        </w:trPr>
        <w:tc>
          <w:tcPr>
            <w:tcW w:w="14081" w:type="dxa"/>
            <w:gridSpan w:val="14"/>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w:t>
            </w:r>
            <w:r>
              <w:rPr>
                <w:rFonts w:hint="eastAsia" w:ascii="宋体" w:hAnsi="宋体" w:cs="Arial"/>
                <w:color w:val="000000"/>
                <w:kern w:val="0"/>
                <w:sz w:val="30"/>
                <w:szCs w:val="30"/>
                <w:lang w:eastAsia="zh-CN"/>
              </w:rPr>
              <w:t>明细</w:t>
            </w:r>
            <w:r>
              <w:rPr>
                <w:rFonts w:hint="eastAsia" w:ascii="宋体" w:hAnsi="宋体" w:cs="Arial"/>
                <w:color w:val="000000"/>
                <w:kern w:val="0"/>
                <w:sz w:val="30"/>
                <w:szCs w:val="30"/>
              </w:rPr>
              <w:t>表</w:t>
            </w:r>
          </w:p>
        </w:tc>
      </w:tr>
      <w:tr>
        <w:tblPrEx>
          <w:tblCellMar>
            <w:top w:w="0" w:type="dxa"/>
            <w:left w:w="108" w:type="dxa"/>
            <w:bottom w:w="0" w:type="dxa"/>
            <w:right w:w="108" w:type="dxa"/>
          </w:tblCellMar>
        </w:tblPrEx>
        <w:trPr>
          <w:trHeight w:val="255" w:hRule="atLeast"/>
        </w:trPr>
        <w:tc>
          <w:tcPr>
            <w:tcW w:w="742"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206"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876"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766"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150"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766"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765"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4810" w:type="dxa"/>
            <w:gridSpan w:val="3"/>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CellMar>
            <w:top w:w="0" w:type="dxa"/>
            <w:left w:w="108" w:type="dxa"/>
            <w:bottom w:w="0" w:type="dxa"/>
            <w:right w:w="108" w:type="dxa"/>
          </w:tblCellMar>
        </w:tblPrEx>
        <w:trPr>
          <w:trHeight w:val="255" w:hRule="atLeast"/>
        </w:trPr>
        <w:tc>
          <w:tcPr>
            <w:tcW w:w="4824" w:type="dxa"/>
            <w:gridSpan w:val="4"/>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：许昌市质量技术监督局稽查支队</w:t>
            </w:r>
          </w:p>
        </w:tc>
        <w:tc>
          <w:tcPr>
            <w:tcW w:w="766"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150"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766"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765"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4810"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482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9257" w:type="dxa"/>
            <w:gridSpan w:val="10"/>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trHeight w:val="312" w:hRule="atLeast"/>
        </w:trPr>
        <w:tc>
          <w:tcPr>
            <w:tcW w:w="1149"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79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87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1145"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126"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992"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113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97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88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12" w:hRule="atLeast"/>
        </w:trPr>
        <w:tc>
          <w:tcPr>
            <w:tcW w:w="1149"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79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45"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12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9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8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231.60</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17.69</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54.19</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3.58</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48.50</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89.08</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13.52</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6.35</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0.09</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1.51</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13.12</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因公出国（境）费用</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0.08</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9.60</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9.55</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0.31</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0.16</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1.34</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0.05</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0.74</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2"/>
              </w:rPr>
              <w:t xml:space="preserve"> </w:t>
            </w:r>
            <w:r>
              <w:rPr>
                <w:rFonts w:hint="eastAsia" w:ascii="宋体" w:hAnsi="宋体" w:cs="Arial"/>
                <w:color w:val="000000"/>
                <w:kern w:val="0"/>
                <w:sz w:val="20"/>
                <w:szCs w:val="20"/>
              </w:rPr>
              <w:t>公务用车运行维护费</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9.78</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49" w:type="dxa"/>
            <w:gridSpan w:val="2"/>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79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45"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126"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2"/>
              </w:rPr>
              <w:t xml:space="preserve"> </w:t>
            </w:r>
            <w:r>
              <w:rPr>
                <w:rFonts w:hint="eastAsia" w:ascii="宋体" w:hAnsi="宋体" w:cs="Arial"/>
                <w:color w:val="000000"/>
                <w:kern w:val="0"/>
                <w:sz w:val="20"/>
                <w:szCs w:val="20"/>
              </w:rPr>
              <w:t>其他商品和服务支出</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0.09</w:t>
            </w:r>
          </w:p>
        </w:tc>
        <w:tc>
          <w:tcPr>
            <w:tcW w:w="113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978"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48" w:type="dxa"/>
            <w:gridSpan w:val="3"/>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87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241.19</w:t>
            </w:r>
          </w:p>
        </w:tc>
        <w:tc>
          <w:tcPr>
            <w:tcW w:w="8375" w:type="dxa"/>
            <w:gridSpan w:val="9"/>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8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17.69</w:t>
            </w:r>
          </w:p>
        </w:tc>
      </w:tr>
      <w:tr>
        <w:tblPrEx>
          <w:tblCellMar>
            <w:top w:w="0" w:type="dxa"/>
            <w:left w:w="108" w:type="dxa"/>
            <w:bottom w:w="0" w:type="dxa"/>
            <w:right w:w="108" w:type="dxa"/>
          </w:tblCellMar>
        </w:tblPrEx>
        <w:trPr>
          <w:trHeight w:val="308" w:hRule="atLeast"/>
        </w:trPr>
        <w:tc>
          <w:tcPr>
            <w:tcW w:w="14081" w:type="dxa"/>
            <w:gridSpan w:val="14"/>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5"/>
        <w:tblW w:w="14000" w:type="dxa"/>
        <w:tblInd w:w="93" w:type="dxa"/>
        <w:tblLayout w:type="autofit"/>
        <w:tblCellMar>
          <w:top w:w="0" w:type="dxa"/>
          <w:left w:w="108" w:type="dxa"/>
          <w:bottom w:w="0" w:type="dxa"/>
          <w:right w:w="108" w:type="dxa"/>
        </w:tblCellMar>
      </w:tblPr>
      <w:tblGrid>
        <w:gridCol w:w="1240"/>
        <w:gridCol w:w="1120"/>
        <w:gridCol w:w="1180"/>
        <w:gridCol w:w="1240"/>
        <w:gridCol w:w="1160"/>
        <w:gridCol w:w="1200"/>
        <w:gridCol w:w="1020"/>
        <w:gridCol w:w="1220"/>
        <w:gridCol w:w="1080"/>
        <w:gridCol w:w="1240"/>
        <w:gridCol w:w="1120"/>
        <w:gridCol w:w="1180"/>
      </w:tblGrid>
      <w:tr>
        <w:tblPrEx>
          <w:tblCellMar>
            <w:top w:w="0" w:type="dxa"/>
            <w:left w:w="108" w:type="dxa"/>
            <w:bottom w:w="0" w:type="dxa"/>
            <w:right w:w="108" w:type="dxa"/>
          </w:tblCellMar>
        </w:tblPrEx>
        <w:trPr>
          <w:trHeight w:val="540" w:hRule="atLeast"/>
        </w:trPr>
        <w:tc>
          <w:tcPr>
            <w:tcW w:w="14000" w:type="dxa"/>
            <w:gridSpan w:val="12"/>
            <w:tcBorders>
              <w:top w:val="nil"/>
              <w:left w:val="nil"/>
              <w:bottom w:val="nil"/>
              <w:right w:val="nil"/>
            </w:tcBorders>
            <w:noWrap/>
            <w:vAlign w:val="bottom"/>
          </w:tcPr>
          <w:p>
            <w:pPr>
              <w:widowControl/>
              <w:jc w:val="center"/>
              <w:rPr>
                <w:rFonts w:ascii="宋体" w:hAnsi="宋体" w:cs="Arial"/>
                <w:color w:val="000000"/>
                <w:kern w:val="0"/>
                <w:sz w:val="44"/>
                <w:szCs w:val="44"/>
              </w:rPr>
            </w:pPr>
            <w:r>
              <w:rPr>
                <w:rFonts w:hint="eastAsia" w:ascii="宋体" w:hAnsi="宋体" w:cs="Arial"/>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124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2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4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6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0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02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2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0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540" w:type="dxa"/>
            <w:gridSpan w:val="3"/>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公开07表</w:t>
            </w:r>
          </w:p>
        </w:tc>
      </w:tr>
      <w:tr>
        <w:tblPrEx>
          <w:tblCellMar>
            <w:top w:w="0" w:type="dxa"/>
            <w:left w:w="108" w:type="dxa"/>
            <w:bottom w:w="0" w:type="dxa"/>
            <w:right w:w="108" w:type="dxa"/>
          </w:tblCellMar>
        </w:tblPrEx>
        <w:trPr>
          <w:trHeight w:val="255" w:hRule="atLeast"/>
        </w:trPr>
        <w:tc>
          <w:tcPr>
            <w:tcW w:w="7140" w:type="dxa"/>
            <w:gridSpan w:val="6"/>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：许昌市质量技术监督局稽查支队</w:t>
            </w:r>
          </w:p>
        </w:tc>
        <w:tc>
          <w:tcPr>
            <w:tcW w:w="102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2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0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540"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714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6860" w:type="dxa"/>
            <w:gridSpan w:val="6"/>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08" w:hRule="atLeast"/>
        </w:trPr>
        <w:tc>
          <w:tcPr>
            <w:tcW w:w="124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2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580"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02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2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440"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8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trHeight w:val="615" w:hRule="atLeast"/>
        </w:trPr>
        <w:tc>
          <w:tcPr>
            <w:tcW w:w="124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2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2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8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124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0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0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2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0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1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trHeight w:val="308" w:hRule="atLeast"/>
        </w:trPr>
        <w:tc>
          <w:tcPr>
            <w:tcW w:w="1240" w:type="dxa"/>
            <w:tcBorders>
              <w:top w:val="nil"/>
              <w:left w:val="single" w:color="000000" w:sz="4" w:space="0"/>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1.00</w:t>
            </w:r>
          </w:p>
        </w:tc>
        <w:tc>
          <w:tcPr>
            <w:tcW w:w="11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4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1.00</w:t>
            </w:r>
          </w:p>
        </w:tc>
        <w:tc>
          <w:tcPr>
            <w:tcW w:w="10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4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615" w:hRule="atLeast"/>
        </w:trPr>
        <w:tc>
          <w:tcPr>
            <w:tcW w:w="14000" w:type="dxa"/>
            <w:gridSpan w:val="12"/>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horzAnchor="margin" w:tblpXSpec="center" w:tblpY="210"/>
        <w:tblW w:w="13010" w:type="dxa"/>
        <w:tblInd w:w="0" w:type="dxa"/>
        <w:tblLayout w:type="autofit"/>
        <w:tblCellMar>
          <w:top w:w="0" w:type="dxa"/>
          <w:left w:w="108" w:type="dxa"/>
          <w:bottom w:w="0" w:type="dxa"/>
          <w:right w:w="108" w:type="dxa"/>
        </w:tblCellMar>
      </w:tblPr>
      <w:tblGrid>
        <w:gridCol w:w="226"/>
        <w:gridCol w:w="222"/>
        <w:gridCol w:w="222"/>
        <w:gridCol w:w="1953"/>
        <w:gridCol w:w="1813"/>
        <w:gridCol w:w="1598"/>
        <w:gridCol w:w="1664"/>
        <w:gridCol w:w="1792"/>
        <w:gridCol w:w="1664"/>
        <w:gridCol w:w="1856"/>
      </w:tblGrid>
      <w:tr>
        <w:tblPrEx>
          <w:tblCellMar>
            <w:top w:w="0" w:type="dxa"/>
            <w:left w:w="108" w:type="dxa"/>
            <w:bottom w:w="0" w:type="dxa"/>
            <w:right w:w="108" w:type="dxa"/>
          </w:tblCellMar>
        </w:tblPrEx>
        <w:trPr>
          <w:trHeight w:val="390" w:hRule="atLeast"/>
        </w:trPr>
        <w:tc>
          <w:tcPr>
            <w:tcW w:w="13010" w:type="dxa"/>
            <w:gridSpan w:val="10"/>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226"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22"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22"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953"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813"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598"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664"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312" w:type="dxa"/>
            <w:gridSpan w:val="3"/>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公开08表</w:t>
            </w:r>
          </w:p>
        </w:tc>
      </w:tr>
      <w:tr>
        <w:tblPrEx>
          <w:tblCellMar>
            <w:top w:w="0" w:type="dxa"/>
            <w:left w:w="108" w:type="dxa"/>
            <w:bottom w:w="0" w:type="dxa"/>
            <w:right w:w="108" w:type="dxa"/>
          </w:tblCellMar>
        </w:tblPrEx>
        <w:trPr>
          <w:trHeight w:val="255" w:hRule="atLeast"/>
        </w:trPr>
        <w:tc>
          <w:tcPr>
            <w:tcW w:w="4436" w:type="dxa"/>
            <w:gridSpan w:val="5"/>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：许昌市质量技术监督局稽查支队</w:t>
            </w:r>
          </w:p>
        </w:tc>
        <w:tc>
          <w:tcPr>
            <w:tcW w:w="1598"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664"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312"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2623"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81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598"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5120"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185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312" w:hRule="atLeast"/>
        </w:trPr>
        <w:tc>
          <w:tcPr>
            <w:tcW w:w="67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953"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81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98"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6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79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66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85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670"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95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1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98"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6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9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6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5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670"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95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1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98"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6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9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6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5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2623"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813"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59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664"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792"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664"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85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2623"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813"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598"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92"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56"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67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5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9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70"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5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9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6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10" w:type="dxa"/>
            <w:gridSpan w:val="10"/>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本年度政府性基金预算财政拨款收入、支出及结转和结余情况。本表金额转换为万元时，因四舍五入可能存在尾差。</w:t>
            </w:r>
          </w:p>
        </w:tc>
      </w:tr>
    </w:tbl>
    <w:p>
      <w:pPr>
        <w:widowControl/>
        <w:ind w:firstLine="440" w:firstLineChars="200"/>
        <w:jc w:val="left"/>
        <w:textAlignment w:val="center"/>
        <w:rPr>
          <w:rFonts w:ascii="宋体" w:hAnsi="宋体" w:cs="宋体"/>
          <w:color w:val="000000"/>
          <w:sz w:val="32"/>
          <w:szCs w:val="32"/>
          <w:highlight w:val="none"/>
        </w:rPr>
      </w:pPr>
      <w:r>
        <w:rPr>
          <w:rFonts w:hint="eastAsia" w:ascii="宋体" w:hAnsi="宋体" w:cs="Arial"/>
          <w:color w:val="000000"/>
          <w:kern w:val="0"/>
          <w:sz w:val="22"/>
        </w:rPr>
        <w:t>说明：我</w:t>
      </w:r>
      <w:r>
        <w:rPr>
          <w:rFonts w:hint="eastAsia" w:ascii="宋体" w:hAnsi="宋体" w:cs="Arial"/>
          <w:color w:val="000000"/>
          <w:kern w:val="0"/>
          <w:sz w:val="22"/>
          <w:lang w:eastAsia="zh-CN"/>
        </w:rPr>
        <w:t>单位</w:t>
      </w:r>
      <w:r>
        <w:rPr>
          <w:rFonts w:hint="eastAsia" w:ascii="宋体" w:hAnsi="宋体" w:cs="Arial"/>
          <w:color w:val="000000"/>
          <w:kern w:val="0"/>
          <w:sz w:val="22"/>
        </w:rPr>
        <w:t>没有政府性基金收入，也没有使用政府性基金安排的支出，故本表无数据。</w:t>
      </w:r>
    </w:p>
    <w:p>
      <w:pPr>
        <w:widowControl/>
        <w:jc w:val="left"/>
        <w:rPr>
          <w:rFonts w:hint="eastAsia" w:ascii="黑体" w:hAnsi="黑体" w:eastAsia="黑体" w:cs="黑体"/>
          <w:sz w:val="48"/>
          <w:szCs w:val="48"/>
        </w:rPr>
        <w:sectPr>
          <w:pgSz w:w="16838" w:h="11906" w:orient="landscape"/>
          <w:pgMar w:top="1800" w:right="1440" w:bottom="1800" w:left="144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w:t>
      </w:r>
      <w:r>
        <w:rPr>
          <w:rFonts w:ascii="仿宋_GB2312" w:eastAsia="仿宋_GB2312" w:cs="仿宋_GB2312"/>
          <w:sz w:val="32"/>
          <w:szCs w:val="32"/>
        </w:rPr>
        <w:t>259.11</w:t>
      </w:r>
      <w:r>
        <w:rPr>
          <w:rFonts w:hint="eastAsia" w:ascii="仿宋_GB2312" w:hAnsi="仿宋_GB2312" w:eastAsia="仿宋_GB2312" w:cs="仿宋_GB2312"/>
          <w:sz w:val="32"/>
          <w:szCs w:val="32"/>
        </w:rPr>
        <w:t>万元。与上年度相比，收、支总计各减少</w:t>
      </w:r>
      <w:r>
        <w:rPr>
          <w:rFonts w:ascii="仿宋_GB2312" w:eastAsia="仿宋_GB2312" w:cs="仿宋_GB2312"/>
          <w:sz w:val="32"/>
          <w:szCs w:val="32"/>
        </w:rPr>
        <w:t>49.6</w:t>
      </w:r>
      <w:r>
        <w:rPr>
          <w:rFonts w:hint="eastAsia" w:ascii="仿宋_GB2312" w:eastAsia="仿宋_GB2312" w:cs="仿宋_GB2312"/>
          <w:sz w:val="32"/>
          <w:szCs w:val="32"/>
          <w:lang w:val="en-US" w:eastAsia="zh-CN"/>
        </w:rPr>
        <w:t>0</w:t>
      </w:r>
      <w:r>
        <w:rPr>
          <w:rFonts w:hint="eastAsia" w:ascii="仿宋_GB2312" w:hAnsi="仿宋_GB2312" w:eastAsia="仿宋_GB2312" w:cs="仿宋_GB2312"/>
          <w:sz w:val="32"/>
          <w:szCs w:val="32"/>
        </w:rPr>
        <w:t>万元，下降</w:t>
      </w:r>
      <w:r>
        <w:rPr>
          <w:rFonts w:ascii="仿宋_GB2312" w:eastAsia="仿宋_GB2312" w:cs="仿宋_GB2312"/>
          <w:sz w:val="32"/>
          <w:szCs w:val="32"/>
        </w:rPr>
        <w:t>16.07</w:t>
      </w:r>
      <w:r>
        <w:rPr>
          <w:rFonts w:hint="eastAsia" w:ascii="仿宋_GB2312" w:hAnsi="仿宋_GB2312" w:eastAsia="仿宋_GB2312" w:cs="仿宋_GB2312"/>
          <w:sz w:val="32"/>
          <w:szCs w:val="32"/>
        </w:rPr>
        <w:t>%。主要原因是按照上级要求，压缩了项目经费；严格按照中央“八项规定”精神，压减一般性支出。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ascii="仿宋_GB2312" w:eastAsia="仿宋_GB2312" w:cs="仿宋_GB2312"/>
          <w:sz w:val="32"/>
          <w:szCs w:val="32"/>
        </w:rPr>
        <w:t>2021</w:t>
      </w:r>
      <w:r>
        <w:rPr>
          <w:rFonts w:hint="eastAsia" w:ascii="仿宋_GB2312" w:eastAsia="仿宋_GB2312" w:cs="仿宋_GB2312"/>
          <w:sz w:val="32"/>
          <w:szCs w:val="32"/>
        </w:rPr>
        <w:t>年度收入合计</w:t>
      </w:r>
      <w:r>
        <w:rPr>
          <w:rFonts w:ascii="仿宋_GB2312" w:eastAsia="仿宋_GB2312" w:cs="仿宋_GB2312"/>
          <w:sz w:val="32"/>
          <w:szCs w:val="32"/>
        </w:rPr>
        <w:t>234.72</w:t>
      </w:r>
      <w:r>
        <w:rPr>
          <w:rFonts w:hint="eastAsia" w:ascii="仿宋_GB2312" w:eastAsia="仿宋_GB2312" w:cs="仿宋_GB2312"/>
          <w:sz w:val="32"/>
          <w:szCs w:val="32"/>
        </w:rPr>
        <w:t>万元，其中：财政拨款收入</w:t>
      </w:r>
      <w:r>
        <w:rPr>
          <w:rFonts w:ascii="仿宋_GB2312" w:eastAsia="仿宋_GB2312" w:cs="仿宋_GB2312"/>
          <w:sz w:val="32"/>
          <w:szCs w:val="32"/>
          <w:highlight w:val="none"/>
        </w:rPr>
        <w:t>234.6</w:t>
      </w:r>
      <w:r>
        <w:rPr>
          <w:rFonts w:hint="eastAsia" w:ascii="仿宋_GB2312" w:eastAsia="仿宋_GB2312" w:cs="仿宋_GB2312"/>
          <w:sz w:val="32"/>
          <w:szCs w:val="32"/>
        </w:rPr>
        <w:t>万元，占</w:t>
      </w:r>
      <w:r>
        <w:rPr>
          <w:rFonts w:ascii="仿宋_GB2312" w:eastAsia="仿宋_GB2312" w:cs="仿宋_GB2312"/>
          <w:sz w:val="32"/>
          <w:szCs w:val="32"/>
        </w:rPr>
        <w:t>99.95%</w:t>
      </w:r>
      <w:r>
        <w:rPr>
          <w:rFonts w:hint="eastAsia" w:ascii="仿宋_GB2312" w:eastAsia="仿宋_GB2312" w:cs="仿宋_GB2312"/>
          <w:sz w:val="32"/>
          <w:szCs w:val="32"/>
        </w:rPr>
        <w:t>；</w:t>
      </w:r>
      <w:r>
        <w:rPr>
          <w:rFonts w:hint="eastAsia" w:ascii="仿宋_GB2312" w:hAnsi="仿宋_GB2312" w:eastAsia="仿宋_GB2312" w:cs="仿宋_GB2312"/>
          <w:sz w:val="32"/>
          <w:szCs w:val="32"/>
        </w:rPr>
        <w:t>上级补助收入0.00万元，占0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%；事业收入0.00万元，占0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%；经营收入0.00万元，占0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%；附属单位上缴收入0.00万元，占0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%；其他收入0.</w:t>
      </w:r>
      <w:r>
        <w:rPr>
          <w:rFonts w:hint="default" w:ascii="仿宋_GB2312" w:hAnsi="仿宋_GB2312" w:eastAsia="仿宋_GB2312" w:cs="仿宋_GB2312"/>
          <w:sz w:val="32"/>
          <w:szCs w:val="32"/>
          <w:lang w:val="en"/>
        </w:rPr>
        <w:t>12</w:t>
      </w:r>
      <w:r>
        <w:rPr>
          <w:rFonts w:hint="eastAsia" w:ascii="仿宋_GB2312" w:hAnsi="仿宋_GB2312" w:eastAsia="仿宋_GB2312" w:cs="仿宋_GB2312"/>
          <w:sz w:val="32"/>
          <w:szCs w:val="32"/>
        </w:rPr>
        <w:t>万元，占0</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autoSpaceDE w:val="0"/>
        <w:autoSpaceDN w:val="0"/>
        <w:adjustRightInd w:val="0"/>
        <w:spacing w:line="590" w:lineRule="exact"/>
        <w:ind w:firstLine="640"/>
        <w:rPr>
          <w:rFonts w:hint="eastAsia" w:eastAsia="仿宋_GB2312"/>
          <w:kern w:val="0"/>
          <w:sz w:val="18"/>
          <w:szCs w:val="18"/>
          <w:lang w:val="zh-CN" w:eastAsia="zh-CN"/>
        </w:rPr>
      </w:pPr>
      <w:r>
        <w:rPr>
          <w:rFonts w:ascii="仿宋_GB2312" w:eastAsia="仿宋_GB2312" w:cs="仿宋_GB2312"/>
          <w:sz w:val="32"/>
          <w:szCs w:val="32"/>
        </w:rPr>
        <w:t>2021</w:t>
      </w:r>
      <w:r>
        <w:rPr>
          <w:rFonts w:hint="eastAsia" w:ascii="仿宋_GB2312" w:eastAsia="仿宋_GB2312" w:cs="仿宋_GB2312"/>
          <w:sz w:val="32"/>
          <w:szCs w:val="32"/>
        </w:rPr>
        <w:t>年度支出合计</w:t>
      </w:r>
      <w:r>
        <w:rPr>
          <w:rFonts w:ascii="仿宋_GB2312" w:eastAsia="仿宋_GB2312" w:cs="仿宋_GB2312"/>
          <w:sz w:val="32"/>
          <w:szCs w:val="32"/>
        </w:rPr>
        <w:t>259.01</w:t>
      </w:r>
      <w:r>
        <w:rPr>
          <w:rFonts w:hint="eastAsia" w:ascii="仿宋_GB2312" w:eastAsia="仿宋_GB2312" w:cs="仿宋_GB2312"/>
          <w:sz w:val="32"/>
          <w:szCs w:val="32"/>
        </w:rPr>
        <w:t>万元，其中：基本支出</w:t>
      </w:r>
      <w:r>
        <w:rPr>
          <w:rFonts w:ascii="仿宋_GB2312" w:eastAsia="仿宋_GB2312" w:cs="仿宋_GB2312"/>
          <w:sz w:val="32"/>
          <w:szCs w:val="32"/>
        </w:rPr>
        <w:t>259.01</w:t>
      </w:r>
      <w:r>
        <w:rPr>
          <w:rFonts w:hint="eastAsia" w:ascii="仿宋_GB2312" w:eastAsia="仿宋_GB2312" w:cs="仿宋_GB2312"/>
          <w:sz w:val="32"/>
          <w:szCs w:val="32"/>
        </w:rPr>
        <w:t>万元，占</w:t>
      </w:r>
      <w:r>
        <w:rPr>
          <w:rFonts w:ascii="仿宋_GB2312" w:eastAsia="仿宋_GB2312" w:cs="仿宋_GB2312"/>
          <w:sz w:val="32"/>
          <w:szCs w:val="32"/>
        </w:rPr>
        <w:t>100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；项目支出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w:t>
      </w:r>
      <w:r>
        <w:rPr>
          <w:rFonts w:hint="eastAsia" w:ascii="仿宋_GB2312" w:hAnsi="仿宋_GB2312" w:eastAsia="仿宋_GB2312" w:cs="仿宋_GB2312"/>
          <w:sz w:val="32"/>
          <w:szCs w:val="32"/>
        </w:rPr>
        <w:t>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r>
        <w:rPr>
          <w:rFonts w:hint="eastAsia" w:ascii="仿宋_GB2312" w:eastAsia="仿宋_GB2312" w:cs="仿宋_GB2312"/>
          <w:sz w:val="32"/>
          <w:szCs w:val="32"/>
        </w:rPr>
        <w:t>上缴上级支出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w:t>
      </w:r>
      <w:r>
        <w:rPr>
          <w:rFonts w:hint="eastAsia" w:ascii="仿宋_GB2312" w:hAnsi="仿宋_GB2312" w:eastAsia="仿宋_GB2312" w:cs="仿宋_GB2312"/>
          <w:sz w:val="32"/>
          <w:szCs w:val="32"/>
        </w:rPr>
        <w:t>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r>
        <w:rPr>
          <w:rFonts w:hint="eastAsia" w:ascii="仿宋_GB2312" w:eastAsia="仿宋_GB2312" w:cs="仿宋_GB2312"/>
          <w:sz w:val="32"/>
          <w:szCs w:val="32"/>
        </w:rPr>
        <w:t>经营支出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w:t>
      </w:r>
      <w:r>
        <w:rPr>
          <w:rFonts w:hint="eastAsia" w:ascii="仿宋_GB2312" w:hAnsi="仿宋_GB2312" w:eastAsia="仿宋_GB2312" w:cs="仿宋_GB2312"/>
          <w:sz w:val="32"/>
          <w:szCs w:val="32"/>
        </w:rPr>
        <w:t>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r>
        <w:rPr>
          <w:rFonts w:hint="eastAsia" w:ascii="仿宋_GB2312" w:eastAsia="仿宋_GB2312" w:cs="仿宋_GB2312"/>
          <w:sz w:val="32"/>
          <w:szCs w:val="32"/>
        </w:rPr>
        <w:t>对附属单位补助支出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w:t>
      </w:r>
      <w:r>
        <w:rPr>
          <w:rFonts w:hint="eastAsia" w:ascii="仿宋_GB2312" w:hAnsi="仿宋_GB2312" w:eastAsia="仿宋_GB2312" w:cs="仿宋_GB2312"/>
          <w:sz w:val="32"/>
          <w:szCs w:val="32"/>
        </w:rPr>
        <w:t>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w:t>
      </w:r>
      <w:r>
        <w:rPr>
          <w:rFonts w:ascii="仿宋_GB2312" w:eastAsia="仿宋_GB2312" w:cs="仿宋_GB2312"/>
          <w:sz w:val="32"/>
          <w:szCs w:val="32"/>
        </w:rPr>
        <w:t>258.89</w:t>
      </w:r>
      <w:r>
        <w:rPr>
          <w:rFonts w:hint="eastAsia" w:ascii="仿宋_GB2312" w:hAnsi="仿宋_GB2312" w:eastAsia="仿宋_GB2312" w:cs="仿宋_GB2312"/>
          <w:sz w:val="32"/>
          <w:szCs w:val="32"/>
        </w:rPr>
        <w:t>万元。与上年度相比，财政拨款收、支总计各减少</w:t>
      </w:r>
      <w:r>
        <w:rPr>
          <w:rFonts w:ascii="仿宋_GB2312" w:eastAsia="仿宋_GB2312" w:cs="仿宋_GB2312"/>
          <w:sz w:val="32"/>
          <w:szCs w:val="32"/>
        </w:rPr>
        <w:t>49.24</w:t>
      </w:r>
      <w:r>
        <w:rPr>
          <w:rFonts w:hint="eastAsia" w:ascii="仿宋_GB2312" w:hAnsi="仿宋_GB2312" w:eastAsia="仿宋_GB2312" w:cs="仿宋_GB2312"/>
          <w:sz w:val="32"/>
          <w:szCs w:val="32"/>
        </w:rPr>
        <w:t>万元，下降</w:t>
      </w:r>
      <w:r>
        <w:rPr>
          <w:rFonts w:ascii="仿宋_GB2312" w:eastAsia="仿宋_GB2312" w:cs="仿宋_GB2312"/>
          <w:sz w:val="32"/>
          <w:szCs w:val="32"/>
        </w:rPr>
        <w:t>15.98</w:t>
      </w:r>
      <w:r>
        <w:rPr>
          <w:rFonts w:hint="eastAsia" w:ascii="仿宋_GB2312" w:hAnsi="仿宋_GB2312" w:eastAsia="仿宋_GB2312" w:cs="仿宋_GB2312"/>
          <w:sz w:val="32"/>
          <w:szCs w:val="32"/>
        </w:rPr>
        <w:t>%。主要原因是按照上级要求，压缩了项目经费；严格按照中央“八项规定”精神，压减一般性支出。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eastAsia="仿宋_GB2312" w:cs="仿宋_GB2312"/>
          <w:sz w:val="32"/>
          <w:szCs w:val="32"/>
        </w:rPr>
        <w:t>258.89</w:t>
      </w:r>
      <w:r>
        <w:rPr>
          <w:rFonts w:hint="eastAsia" w:ascii="仿宋_GB2312" w:hAnsi="仿宋_GB2312" w:eastAsia="仿宋_GB2312" w:cs="仿宋_GB2312"/>
          <w:sz w:val="32"/>
          <w:szCs w:val="32"/>
        </w:rPr>
        <w:t>万元，占支出合计的</w:t>
      </w:r>
      <w:r>
        <w:rPr>
          <w:rFonts w:ascii="仿宋_GB2312" w:eastAsia="仿宋_GB2312" w:cs="仿宋_GB2312"/>
          <w:sz w:val="32"/>
          <w:szCs w:val="32"/>
        </w:rPr>
        <w:t>99.95%</w:t>
      </w:r>
      <w:r>
        <w:rPr>
          <w:rFonts w:hint="eastAsia" w:ascii="仿宋_GB2312" w:hAnsi="仿宋_GB2312" w:eastAsia="仿宋_GB2312" w:cs="仿宋_GB2312"/>
          <w:sz w:val="32"/>
          <w:szCs w:val="32"/>
        </w:rPr>
        <w:t>。与上年度相比，一般公共预算财政拨款支出</w:t>
      </w:r>
      <w:r>
        <w:rPr>
          <w:rFonts w:hint="eastAsia" w:ascii="仿宋_GB2312" w:eastAsia="仿宋_GB2312" w:cs="仿宋_GB2312"/>
          <w:sz w:val="32"/>
          <w:szCs w:val="32"/>
        </w:rPr>
        <w:t>减少</w:t>
      </w:r>
      <w:r>
        <w:rPr>
          <w:rFonts w:ascii="仿宋_GB2312" w:eastAsia="仿宋_GB2312" w:cs="仿宋_GB2312"/>
          <w:sz w:val="32"/>
          <w:szCs w:val="32"/>
        </w:rPr>
        <w:t>17.37</w:t>
      </w:r>
      <w:r>
        <w:rPr>
          <w:rFonts w:hint="eastAsia" w:ascii="仿宋_GB2312" w:eastAsia="仿宋_GB2312" w:cs="仿宋_GB2312"/>
          <w:sz w:val="32"/>
          <w:szCs w:val="32"/>
        </w:rPr>
        <w:t>万元，下降</w:t>
      </w:r>
      <w:r>
        <w:rPr>
          <w:rFonts w:ascii="仿宋_GB2312" w:eastAsia="仿宋_GB2312" w:cs="仿宋_GB2312"/>
          <w:sz w:val="32"/>
          <w:szCs w:val="32"/>
        </w:rPr>
        <w:t>6.29%</w:t>
      </w:r>
      <w:r>
        <w:rPr>
          <w:rFonts w:hint="eastAsia" w:ascii="仿宋_GB2312" w:eastAsia="仿宋_GB2312" w:cs="仿宋_GB2312"/>
          <w:sz w:val="32"/>
          <w:szCs w:val="32"/>
        </w:rPr>
        <w:t>。</w:t>
      </w:r>
      <w:r>
        <w:rPr>
          <w:rFonts w:hint="eastAsia" w:ascii="仿宋_GB2312" w:hAnsi="仿宋_GB2312" w:eastAsia="仿宋_GB2312" w:cs="仿宋_GB2312"/>
          <w:sz w:val="32"/>
          <w:szCs w:val="32"/>
        </w:rPr>
        <w:t>主要原因是2021年调出人员。</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autoSpaceDE w:val="0"/>
        <w:autoSpaceDN w:val="0"/>
        <w:adjustRightInd w:val="0"/>
        <w:spacing w:line="590" w:lineRule="exact"/>
        <w:ind w:firstLine="640"/>
        <w:rPr>
          <w:rFonts w:hint="eastAsia" w:ascii="仿宋_GB2312" w:hAnsi="仿宋_GB2312" w:eastAsia="仿宋_GB2312" w:cs="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w:t>
      </w:r>
      <w:r>
        <w:rPr>
          <w:rFonts w:ascii="仿宋_GB2312" w:eastAsia="仿宋_GB2312" w:cs="仿宋_GB2312"/>
          <w:sz w:val="32"/>
          <w:szCs w:val="32"/>
        </w:rPr>
        <w:t>258.89</w:t>
      </w:r>
      <w:r>
        <w:rPr>
          <w:rFonts w:hint="eastAsia" w:ascii="仿宋_GB2312" w:eastAsia="仿宋_GB2312" w:cs="仿宋_GB2312"/>
          <w:sz w:val="32"/>
          <w:szCs w:val="32"/>
        </w:rPr>
        <w:t>万元，主要用于以下方面：</w:t>
      </w:r>
      <w:r>
        <w:rPr>
          <w:rFonts w:hint="eastAsia" w:ascii="仿宋_GB2312" w:hAnsi="仿宋_GB2312" w:eastAsia="仿宋_GB2312" w:cs="仿宋_GB2312"/>
          <w:sz w:val="32"/>
          <w:szCs w:val="32"/>
        </w:rPr>
        <w:t>一般公共服务（类）支出223.50万元，占86.33%；社会保障和就业支出（类）支出22.37万元，占8.64%；卫生健康支出（类）支出13.02万元，占5.03%。</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autoSpaceDE w:val="0"/>
        <w:autoSpaceDN w:val="0"/>
        <w:adjustRightInd w:val="0"/>
        <w:spacing w:line="590" w:lineRule="exact"/>
        <w:ind w:firstLine="640"/>
        <w:rPr>
          <w:rFonts w:eastAsia="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年度一般公共预算财政拨款支出年初预算为</w:t>
      </w:r>
      <w:r>
        <w:rPr>
          <w:rFonts w:ascii="仿宋_GB2312" w:eastAsia="仿宋_GB2312" w:cs="仿宋_GB2312"/>
          <w:sz w:val="32"/>
          <w:szCs w:val="32"/>
        </w:rPr>
        <w:t>304.96</w:t>
      </w:r>
      <w:r>
        <w:rPr>
          <w:rFonts w:hint="eastAsia" w:ascii="仿宋_GB2312" w:eastAsia="仿宋_GB2312" w:cs="仿宋_GB2312"/>
          <w:sz w:val="32"/>
          <w:szCs w:val="32"/>
        </w:rPr>
        <w:t>万元，支出决算为</w:t>
      </w:r>
      <w:r>
        <w:rPr>
          <w:rFonts w:ascii="仿宋_GB2312" w:eastAsia="仿宋_GB2312" w:cs="仿宋_GB2312"/>
          <w:sz w:val="32"/>
          <w:szCs w:val="32"/>
          <w:highlight w:val="none"/>
        </w:rPr>
        <w:t>258.89</w:t>
      </w:r>
      <w:r>
        <w:rPr>
          <w:rFonts w:hint="eastAsia" w:ascii="仿宋_GB2312" w:eastAsia="仿宋_GB2312" w:cs="仿宋_GB2312"/>
          <w:sz w:val="32"/>
          <w:szCs w:val="32"/>
        </w:rPr>
        <w:t>万元，完成预算的</w:t>
      </w:r>
      <w:r>
        <w:rPr>
          <w:rFonts w:ascii="仿宋_GB2312" w:eastAsia="仿宋_GB2312" w:cs="仿宋_GB2312"/>
          <w:sz w:val="32"/>
          <w:szCs w:val="32"/>
        </w:rPr>
        <w:t>84.89%</w:t>
      </w:r>
      <w:r>
        <w:rPr>
          <w:rFonts w:hint="eastAsia" w:asci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w:t>
      </w:r>
      <w:r>
        <w:rPr>
          <w:rFonts w:hint="eastAsia" w:ascii="仿宋_GB2312" w:hAnsi="仿宋_GB2312" w:eastAsia="仿宋_GB2312" w:cs="仿宋_GB2312"/>
          <w:b/>
          <w:bCs/>
          <w:sz w:val="32"/>
          <w:szCs w:val="32"/>
          <w:highlight w:val="none"/>
        </w:rPr>
        <w:t>支出</w:t>
      </w:r>
      <w:r>
        <w:rPr>
          <w:rFonts w:hint="eastAsia" w:ascii="仿宋_GB2312" w:hAnsi="仿宋_GB2312" w:eastAsia="仿宋_GB2312" w:cs="仿宋_GB2312"/>
          <w:b/>
          <w:bCs/>
          <w:sz w:val="32"/>
          <w:szCs w:val="32"/>
        </w:rPr>
        <w:t>（类）群众团体事务（款）工会事务（项）。</w:t>
      </w:r>
      <w:r>
        <w:rPr>
          <w:rFonts w:hint="eastAsia" w:ascii="仿宋_GB2312" w:hAnsi="仿宋_GB2312" w:eastAsia="仿宋_GB2312" w:cs="仿宋_GB2312"/>
          <w:sz w:val="32"/>
          <w:szCs w:val="32"/>
        </w:rPr>
        <w:t>预算为1.34万元，支出决算为1.34万元，完成预算的100%。决算数与预算数无差异。</w:t>
      </w:r>
    </w:p>
    <w:p>
      <w:pPr>
        <w:widowControl/>
        <w:spacing w:line="590" w:lineRule="exact"/>
        <w:ind w:firstLine="643" w:firstLineChars="200"/>
        <w:rPr>
          <w:rFonts w:hint="eastAsia" w:ascii="仿宋_GB2312" w:hAnsi="仿宋_GB2312" w:eastAsia="仿宋_GB2312" w:cs="仿宋_GB2312"/>
          <w:color w:val="FF0000"/>
          <w:sz w:val="32"/>
          <w:szCs w:val="32"/>
        </w:rPr>
      </w:pPr>
      <w:r>
        <w:rPr>
          <w:rFonts w:hint="eastAsia" w:ascii="仿宋_GB2312" w:hAnsi="宋体" w:eastAsia="仿宋_GB2312" w:cs="仿宋_GB2312"/>
          <w:b/>
          <w:bCs/>
          <w:sz w:val="32"/>
          <w:szCs w:val="32"/>
        </w:rPr>
        <w:t>2、一般公共服务支出（类）市场监督管理事务（款）行政运行（项）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预算为261.39万元，支出决算为222.</w:t>
      </w:r>
      <w:r>
        <w:rPr>
          <w:rFonts w:hint="default" w:ascii="仿宋_GB2312" w:hAnsi="仿宋_GB2312" w:eastAsia="仿宋_GB2312" w:cs="仿宋_GB2312"/>
          <w:sz w:val="32"/>
          <w:szCs w:val="32"/>
          <w:lang w:val="en"/>
        </w:rPr>
        <w:t>16</w:t>
      </w:r>
      <w:r>
        <w:rPr>
          <w:rFonts w:hint="eastAsia" w:ascii="仿宋_GB2312" w:hAnsi="仿宋_GB2312" w:eastAsia="仿宋_GB2312" w:cs="仿宋_GB2312"/>
          <w:sz w:val="32"/>
          <w:szCs w:val="32"/>
        </w:rPr>
        <w:t>万元，完成预算的</w:t>
      </w:r>
      <w:r>
        <w:rPr>
          <w:rFonts w:hint="default" w:ascii="仿宋_GB2312" w:hAnsi="仿宋_GB2312" w:eastAsia="仿宋_GB2312" w:cs="仿宋_GB2312"/>
          <w:sz w:val="32"/>
          <w:szCs w:val="32"/>
          <w:lang w:val="en" w:eastAsia="zh-CN"/>
        </w:rPr>
        <w:t>84.99</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sz w:val="32"/>
          <w:szCs w:val="32"/>
          <w:lang w:val="en-US" w:eastAsia="zh-CN"/>
        </w:rPr>
        <w:t>贯彻落实上级过紧日子要求，厉行节约，压减支出。</w:t>
      </w:r>
    </w:p>
    <w:p>
      <w:pPr>
        <w:keepNext w:val="0"/>
        <w:keepLines w:val="0"/>
        <w:pageBreakBefore w:val="0"/>
        <w:widowControl/>
        <w:kinsoku/>
        <w:wordWrap/>
        <w:overflowPunct/>
        <w:topLinePunct w:val="0"/>
        <w:autoSpaceDE/>
        <w:autoSpaceDN/>
        <w:bidi w:val="0"/>
        <w:adjustRightInd/>
        <w:snapToGrid w:val="0"/>
        <w:spacing w:line="59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rPr>
        <w:t>3．社会保障和就业支出（类）行政事业单位养老支出（款）行政单位离退休（项）。</w:t>
      </w:r>
      <w:r>
        <w:rPr>
          <w:rFonts w:hint="eastAsia" w:ascii="仿宋_GB2312" w:hAnsi="仿宋_GB2312" w:eastAsia="仿宋_GB2312" w:cs="仿宋_GB2312"/>
          <w:sz w:val="32"/>
          <w:szCs w:val="32"/>
        </w:rPr>
        <w:t>预算为9.30万元，支出决算为9.25万元，完成预算的</w:t>
      </w:r>
      <w:r>
        <w:rPr>
          <w:rFonts w:hint="eastAsia" w:ascii="仿宋_GB2312" w:hAnsi="仿宋_GB2312" w:eastAsia="仿宋_GB2312" w:cs="仿宋_GB2312"/>
          <w:sz w:val="32"/>
          <w:szCs w:val="32"/>
          <w:lang w:val="en-US" w:eastAsia="zh-CN"/>
        </w:rPr>
        <w:t>99.46</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eastAsia="zh-CN"/>
        </w:rPr>
        <w:t>基本持平。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lang w:val="en-US" w:eastAsia="zh-CN"/>
        </w:rPr>
        <w:tab/>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rPr>
        <w:t>预算为16.34万元，支出决算为13.12万元，完成预算的</w:t>
      </w:r>
      <w:r>
        <w:rPr>
          <w:rFonts w:hint="eastAsia" w:ascii="仿宋_GB2312" w:hAnsi="仿宋_GB2312" w:eastAsia="仿宋_GB2312" w:cs="仿宋_GB2312"/>
          <w:sz w:val="32"/>
          <w:szCs w:val="32"/>
          <w:lang w:val="en-US" w:eastAsia="zh-CN"/>
        </w:rPr>
        <w:t>80.29</w:t>
      </w:r>
      <w:r>
        <w:rPr>
          <w:rFonts w:hint="eastAsia" w:ascii="仿宋_GB2312" w:hAnsi="仿宋_GB2312" w:eastAsia="仿宋_GB2312" w:cs="仿宋_GB2312"/>
          <w:sz w:val="32"/>
          <w:szCs w:val="32"/>
        </w:rPr>
        <w:t>%。决算数与预算数存在差异的主要</w:t>
      </w:r>
      <w:r>
        <w:rPr>
          <w:rFonts w:hint="eastAsia" w:ascii="仿宋_GB2312" w:hAnsi="仿宋_GB2312" w:eastAsia="仿宋_GB2312" w:cs="仿宋_GB2312"/>
          <w:color w:val="auto"/>
          <w:sz w:val="32"/>
          <w:szCs w:val="32"/>
        </w:rPr>
        <w:t>原因</w:t>
      </w:r>
      <w:r>
        <w:rPr>
          <w:rFonts w:hint="eastAsia" w:ascii="仿宋_GB2312" w:hAnsi="仿宋_GB2312" w:eastAsia="仿宋_GB2312" w:cs="仿宋_GB2312"/>
          <w:color w:val="auto"/>
          <w:sz w:val="32"/>
          <w:szCs w:val="32"/>
          <w:lang w:eastAsia="zh-CN"/>
        </w:rPr>
        <w:t>是年中人员调整调出本单位。</w:t>
      </w:r>
    </w:p>
    <w:p>
      <w:pPr>
        <w:keepNext w:val="0"/>
        <w:keepLines w:val="0"/>
        <w:pageBreakBefore w:val="0"/>
        <w:widowControl/>
        <w:kinsoku/>
        <w:wordWrap/>
        <w:overflowPunct/>
        <w:topLinePunct w:val="0"/>
        <w:autoSpaceDE/>
        <w:autoSpaceDN/>
        <w:bidi w:val="0"/>
        <w:adjustRightInd/>
        <w:snapToGrid w:val="0"/>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．卫生健康支出（类）行政事业单位医疗（款）行政单位医疗（项）。</w:t>
      </w:r>
      <w:r>
        <w:rPr>
          <w:rFonts w:hint="eastAsia" w:ascii="仿宋_GB2312" w:hAnsi="仿宋_GB2312" w:eastAsia="仿宋_GB2312" w:cs="仿宋_GB2312"/>
          <w:sz w:val="32"/>
          <w:szCs w:val="32"/>
        </w:rPr>
        <w:t>预算为8.50万元，支出决算为6.67万元，完初预算的</w:t>
      </w:r>
      <w:r>
        <w:rPr>
          <w:rFonts w:hint="eastAsia" w:ascii="仿宋_GB2312" w:hAnsi="仿宋_GB2312" w:eastAsia="仿宋_GB2312" w:cs="仿宋_GB2312"/>
          <w:sz w:val="32"/>
          <w:szCs w:val="32"/>
          <w:lang w:val="en-US" w:eastAsia="zh-CN"/>
        </w:rPr>
        <w:t>78.47</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sz w:val="32"/>
          <w:szCs w:val="32"/>
          <w:lang w:eastAsia="zh-CN"/>
        </w:rPr>
        <w:t>年中人员调整调出本单位。</w:t>
      </w:r>
    </w:p>
    <w:p>
      <w:pPr>
        <w:keepNext w:val="0"/>
        <w:keepLines w:val="0"/>
        <w:pageBreakBefore w:val="0"/>
        <w:widowControl/>
        <w:kinsoku/>
        <w:wordWrap/>
        <w:overflowPunct/>
        <w:topLinePunct w:val="0"/>
        <w:autoSpaceDE/>
        <w:autoSpaceDN/>
        <w:bidi w:val="0"/>
        <w:adjustRightInd/>
        <w:snapToGrid w:val="0"/>
        <w:spacing w:line="59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 卫生健康支出（类）行政事业单位医疗（款）公务员医疗补助（项）。</w:t>
      </w:r>
      <w:r>
        <w:rPr>
          <w:rFonts w:hint="eastAsia" w:ascii="仿宋_GB2312" w:hAnsi="仿宋_GB2312" w:eastAsia="仿宋_GB2312" w:cs="仿宋_GB2312"/>
          <w:sz w:val="32"/>
          <w:szCs w:val="32"/>
        </w:rPr>
        <w:t>预算为8.09万元，支出决算为6.35万元，完成</w:t>
      </w:r>
      <w:r>
        <w:rPr>
          <w:rFonts w:hint="eastAsia" w:ascii="仿宋_GB2312" w:hAnsi="仿宋_GB2312" w:eastAsia="仿宋_GB2312" w:cs="仿宋_GB2312"/>
          <w:color w:val="auto"/>
          <w:sz w:val="32"/>
          <w:szCs w:val="32"/>
        </w:rPr>
        <w:t>预算的</w:t>
      </w:r>
      <w:r>
        <w:rPr>
          <w:rFonts w:hint="eastAsia" w:ascii="仿宋_GB2312" w:hAnsi="仿宋_GB2312" w:eastAsia="仿宋_GB2312" w:cs="仿宋_GB2312"/>
          <w:color w:val="auto"/>
          <w:sz w:val="32"/>
          <w:szCs w:val="32"/>
          <w:lang w:val="en-US" w:eastAsia="zh-CN"/>
        </w:rPr>
        <w:t>78.49</w:t>
      </w:r>
      <w:r>
        <w:rPr>
          <w:rFonts w:hint="eastAsia" w:ascii="仿宋_GB2312" w:hAnsi="仿宋_GB2312" w:eastAsia="仿宋_GB2312" w:cs="仿宋_GB2312"/>
          <w:color w:val="auto"/>
          <w:sz w:val="32"/>
          <w:szCs w:val="32"/>
        </w:rPr>
        <w:t>%。决算数与预算数存在差异的主要原因是</w:t>
      </w:r>
      <w:r>
        <w:rPr>
          <w:rFonts w:hint="eastAsia" w:ascii="仿宋_GB2312" w:hAnsi="仿宋_GB2312" w:eastAsia="仿宋_GB2312" w:cs="仿宋_GB2312"/>
          <w:color w:val="auto"/>
          <w:sz w:val="32"/>
          <w:szCs w:val="32"/>
          <w:lang w:eastAsia="zh-CN"/>
        </w:rPr>
        <w:t>年中人员调整调出本单位。</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ascii="仿宋_GB2312" w:eastAsia="仿宋_GB2312" w:cs="仿宋_GB2312"/>
          <w:sz w:val="32"/>
          <w:szCs w:val="32"/>
        </w:rPr>
        <w:t>258.89</w:t>
      </w:r>
      <w:r>
        <w:rPr>
          <w:rFonts w:hint="eastAsia" w:ascii="仿宋_GB2312" w:hAnsi="仿宋_GB2312" w:eastAsia="仿宋_GB2312" w:cs="仿宋_GB2312"/>
          <w:sz w:val="32"/>
          <w:szCs w:val="32"/>
        </w:rPr>
        <w:t>万元。其中：人员经费</w:t>
      </w:r>
      <w:r>
        <w:rPr>
          <w:rFonts w:ascii="仿宋_GB2312" w:eastAsia="仿宋_GB2312" w:cs="仿宋_GB2312"/>
          <w:sz w:val="32"/>
          <w:szCs w:val="32"/>
        </w:rPr>
        <w:t>241.19</w:t>
      </w:r>
      <w:r>
        <w:rPr>
          <w:rFonts w:hint="eastAsia" w:ascii="仿宋_GB2312" w:hAnsi="仿宋_GB2312" w:eastAsia="仿宋_GB2312" w:cs="仿宋_GB2312"/>
          <w:sz w:val="32"/>
          <w:szCs w:val="32"/>
        </w:rPr>
        <w:t>万元，主要包括：基本工资、津贴补贴、奖金、机关事业单位基本养老保险缴费、</w:t>
      </w:r>
      <w:r>
        <w:rPr>
          <w:rFonts w:hint="eastAsia" w:ascii="仿宋_GB2312" w:hAnsi="仿宋_GB2312" w:eastAsia="仿宋_GB2312" w:cs="仿宋_GB2312"/>
          <w:sz w:val="32"/>
          <w:szCs w:val="32"/>
          <w:lang w:val="en-US" w:eastAsia="zh-CN"/>
        </w:rPr>
        <w:t>职工基本医疗保险缴费、公务员医疗补助缴费、</w:t>
      </w:r>
      <w:r>
        <w:rPr>
          <w:rFonts w:hint="eastAsia" w:ascii="仿宋_GB2312" w:eastAsia="仿宋_GB2312" w:cs="仿宋_GB2312"/>
          <w:sz w:val="32"/>
          <w:szCs w:val="32"/>
        </w:rPr>
        <w:t>其他社会保障缴费、住房公积金</w:t>
      </w:r>
      <w:r>
        <w:rPr>
          <w:rFonts w:hint="eastAsia" w:ascii="仿宋_GB2312" w:eastAsia="仿宋_GB2312" w:cs="仿宋_GB2312"/>
          <w:sz w:val="32"/>
          <w:szCs w:val="32"/>
          <w:lang w:eastAsia="zh-CN"/>
        </w:rPr>
        <w:t>、</w:t>
      </w:r>
      <w:r>
        <w:rPr>
          <w:rFonts w:hint="eastAsia" w:ascii="仿宋_GB2312" w:eastAsia="仿宋_GB2312" w:cs="仿宋_GB2312"/>
          <w:sz w:val="32"/>
          <w:szCs w:val="32"/>
        </w:rPr>
        <w:t>其他工资福利支出、退休费、</w:t>
      </w:r>
      <w:r>
        <w:rPr>
          <w:rFonts w:hint="eastAsia" w:ascii="仿宋_GB2312" w:eastAsia="仿宋_GB2312" w:cs="仿宋_GB2312"/>
          <w:sz w:val="32"/>
          <w:szCs w:val="32"/>
          <w:lang w:val="en-US" w:eastAsia="zh-CN"/>
        </w:rPr>
        <w:t>奖励金；</w:t>
      </w:r>
      <w:r>
        <w:rPr>
          <w:rFonts w:hint="eastAsia" w:ascii="仿宋_GB2312" w:hAnsi="仿宋_GB2312" w:eastAsia="仿宋_GB2312" w:cs="仿宋_GB2312"/>
          <w:sz w:val="32"/>
          <w:szCs w:val="32"/>
        </w:rPr>
        <w:t>公用经费</w:t>
      </w:r>
      <w:r>
        <w:rPr>
          <w:rFonts w:ascii="仿宋_GB2312" w:eastAsia="仿宋_GB2312" w:cs="仿宋_GB2312"/>
          <w:sz w:val="32"/>
          <w:szCs w:val="32"/>
        </w:rPr>
        <w:t>17.69</w:t>
      </w:r>
      <w:r>
        <w:rPr>
          <w:rFonts w:hint="eastAsia" w:ascii="仿宋_GB2312" w:hAnsi="仿宋_GB2312" w:eastAsia="仿宋_GB2312" w:cs="仿宋_GB2312"/>
          <w:sz w:val="32"/>
          <w:szCs w:val="32"/>
        </w:rPr>
        <w:t>万元，主要包括：办公费、邮电费、差旅费、劳务费、委托业务费、工会经费、福利费、其他交通费用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其他商品和服务支出</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w:t>
      </w:r>
      <w:r>
        <w:rPr>
          <w:rFonts w:eastAsia="仿宋_GB2312"/>
          <w:sz w:val="32"/>
          <w:szCs w:val="32"/>
        </w:rPr>
        <w:t>“</w:t>
      </w:r>
      <w:r>
        <w:rPr>
          <w:rFonts w:hint="eastAsia" w:ascii="仿宋_GB2312" w:eastAsia="仿宋_GB2312" w:cs="仿宋_GB2312"/>
          <w:sz w:val="32"/>
          <w:szCs w:val="32"/>
        </w:rPr>
        <w:t>三公</w:t>
      </w:r>
      <w:r>
        <w:rPr>
          <w:rFonts w:eastAsia="仿宋_GB2312"/>
          <w:sz w:val="32"/>
          <w:szCs w:val="32"/>
        </w:rPr>
        <w:t>”</w:t>
      </w:r>
      <w:r>
        <w:rPr>
          <w:rFonts w:hint="eastAsia" w:ascii="仿宋_GB2312" w:eastAsia="仿宋_GB2312" w:cs="仿宋_GB2312"/>
          <w:sz w:val="32"/>
          <w:szCs w:val="32"/>
        </w:rPr>
        <w:t>经费财政拨款支出预算为</w:t>
      </w:r>
      <w:r>
        <w:rPr>
          <w:rFonts w:ascii="仿宋_GB2312" w:eastAsia="仿宋_GB2312" w:cs="仿宋_GB2312"/>
          <w:sz w:val="32"/>
          <w:szCs w:val="32"/>
        </w:rPr>
        <w:t>1</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万元，支出决算为</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万元，完成预算的</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2021</w:t>
      </w:r>
      <w:r>
        <w:rPr>
          <w:rFonts w:hint="eastAsia" w:ascii="仿宋_GB2312" w:eastAsia="仿宋_GB2312" w:cs="仿宋_GB2312"/>
          <w:sz w:val="32"/>
          <w:szCs w:val="32"/>
        </w:rPr>
        <w:t>年度</w:t>
      </w:r>
      <w:r>
        <w:rPr>
          <w:rFonts w:eastAsia="仿宋_GB2312"/>
          <w:sz w:val="32"/>
          <w:szCs w:val="32"/>
        </w:rPr>
        <w:t>“</w:t>
      </w:r>
      <w:r>
        <w:rPr>
          <w:rFonts w:hint="eastAsia" w:ascii="仿宋_GB2312" w:eastAsia="仿宋_GB2312" w:cs="仿宋_GB2312"/>
          <w:sz w:val="32"/>
          <w:szCs w:val="32"/>
        </w:rPr>
        <w:t>三公</w:t>
      </w:r>
      <w:r>
        <w:rPr>
          <w:rFonts w:eastAsia="仿宋_GB2312"/>
          <w:sz w:val="32"/>
          <w:szCs w:val="32"/>
        </w:rPr>
        <w:t>”</w:t>
      </w:r>
      <w:r>
        <w:rPr>
          <w:rFonts w:hint="eastAsia" w:ascii="仿宋_GB2312" w:eastAsia="仿宋_GB2312" w:cs="仿宋_GB2312"/>
          <w:sz w:val="32"/>
          <w:szCs w:val="32"/>
        </w:rPr>
        <w:t>经费支出决算数与预算数存在差异的主要原因是</w:t>
      </w:r>
      <w:r>
        <w:rPr>
          <w:rFonts w:hint="eastAsia" w:ascii="仿宋_GB2312" w:eastAsia="仿宋_GB2312"/>
          <w:sz w:val="32"/>
          <w:szCs w:val="32"/>
        </w:rPr>
        <w:t>本年度严格控制公务接待支出。</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autoSpaceDE w:val="0"/>
        <w:autoSpaceDN w:val="0"/>
        <w:adjustRightInd w:val="0"/>
        <w:spacing w:line="590" w:lineRule="exact"/>
        <w:ind w:firstLine="640"/>
        <w:rPr>
          <w:rFonts w:eastAsia="仿宋_GB2312"/>
          <w:kern w:val="0"/>
          <w:sz w:val="18"/>
          <w:szCs w:val="18"/>
        </w:rPr>
      </w:pPr>
      <w:r>
        <w:rPr>
          <w:rFonts w:ascii="仿宋_GB2312" w:eastAsia="仿宋_GB2312" w:cs="仿宋_GB2312"/>
          <w:sz w:val="32"/>
          <w:szCs w:val="32"/>
        </w:rPr>
        <w:t>2021</w:t>
      </w:r>
      <w:r>
        <w:rPr>
          <w:rFonts w:hint="eastAsia" w:ascii="仿宋_GB2312" w:eastAsia="仿宋_GB2312" w:cs="仿宋_GB2312"/>
          <w:sz w:val="32"/>
          <w:szCs w:val="32"/>
        </w:rPr>
        <w:t>年度</w:t>
      </w:r>
      <w:r>
        <w:rPr>
          <w:rFonts w:eastAsia="仿宋_GB2312"/>
          <w:sz w:val="32"/>
          <w:szCs w:val="32"/>
        </w:rPr>
        <w:t>“</w:t>
      </w:r>
      <w:r>
        <w:rPr>
          <w:rFonts w:hint="eastAsia" w:ascii="仿宋_GB2312" w:eastAsia="仿宋_GB2312" w:cs="仿宋_GB2312"/>
          <w:sz w:val="32"/>
          <w:szCs w:val="32"/>
        </w:rPr>
        <w:t>三公</w:t>
      </w:r>
      <w:r>
        <w:rPr>
          <w:rFonts w:eastAsia="仿宋_GB2312"/>
          <w:sz w:val="32"/>
          <w:szCs w:val="32"/>
        </w:rPr>
        <w:t>”</w:t>
      </w:r>
      <w:r>
        <w:rPr>
          <w:rFonts w:hint="eastAsia" w:ascii="仿宋_GB2312" w:eastAsia="仿宋_GB2312" w:cs="仿宋_GB2312"/>
          <w:sz w:val="32"/>
          <w:szCs w:val="32"/>
        </w:rPr>
        <w:t>经费财政拨款支出决算中，因公出国（境）费支出决算</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万元，完成预算的</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，占</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；公务用车购置及运行费支出决算</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万元，完成预算的</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，占</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；公务接待费支出决算</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万元，完成预算的</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，占</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%，决算数与预算数无差异。其中：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hint="eastAsia" w:ascii="仿宋_GB2312" w:hAnsi="仿宋_GB2312" w:eastAsia="仿宋_GB2312"/>
          <w:sz w:val="32"/>
          <w:szCs w:val="24"/>
        </w:rPr>
        <w:t>1</w:t>
      </w:r>
      <w:r>
        <w:rPr>
          <w:rFonts w:hint="eastAsia" w:ascii="仿宋_GB2312" w:hAnsi="仿宋_GB2312" w:eastAsia="仿宋_GB2312"/>
          <w:sz w:val="32"/>
          <w:szCs w:val="24"/>
          <w:lang w:val="en-US" w:eastAsia="zh-CN"/>
        </w:rPr>
        <w:t>.00</w:t>
      </w:r>
      <w:r>
        <w:rPr>
          <w:rFonts w:hint="eastAsia" w:ascii="仿宋_GB2312" w:hAnsi="仿宋_GB2312" w:eastAsia="仿宋_GB2312" w:cs="仿宋_GB2312"/>
          <w:sz w:val="32"/>
          <w:szCs w:val="32"/>
        </w:rPr>
        <w:t>万元，支出决算为0.00万元，完成预算的0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%。决算数与预算数存在差异的主要原因是严格执行中央“八项”规定，</w:t>
      </w:r>
      <w:r>
        <w:rPr>
          <w:rFonts w:hint="eastAsia" w:ascii="仿宋" w:hAnsi="仿宋" w:eastAsia="仿宋"/>
          <w:sz w:val="32"/>
          <w:szCs w:val="32"/>
        </w:rPr>
        <w:t>严格控制公务接待费用支出</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keepNext w:val="0"/>
        <w:keepLines w:val="0"/>
        <w:pageBreakBefore w:val="0"/>
        <w:widowControl/>
        <w:kinsoku/>
        <w:wordWrap/>
        <w:overflowPunct/>
        <w:topLinePunct w:val="0"/>
        <w:bidi w:val="0"/>
        <w:snapToGrid/>
        <w:spacing w:line="60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keepNext w:val="0"/>
        <w:keepLines w:val="0"/>
        <w:pageBreakBefore w:val="0"/>
        <w:widowControl/>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年度政府性基金预算财政拨款支出预算为0.00万元，支出决算为0.00万元。</w:t>
      </w:r>
      <w:r>
        <w:rPr>
          <w:rFonts w:hint="eastAsia" w:ascii="仿宋_GB2312" w:hAnsi="仿宋_GB2312" w:eastAsia="仿宋_GB2312" w:cs="仿宋_GB2312"/>
          <w:sz w:val="32"/>
          <w:szCs w:val="32"/>
          <w:highlight w:val="none"/>
        </w:rPr>
        <w:t>不存在项目年末结转和结余资金数额较大，</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val="en-US" w:eastAsia="zh-CN"/>
        </w:rPr>
        <w:t>单位2021年度</w:t>
      </w:r>
      <w:r>
        <w:rPr>
          <w:rFonts w:hint="eastAsia" w:ascii="仿宋_GB2312" w:hAnsi="仿宋_GB2312" w:eastAsia="仿宋_GB2312" w:cs="仿宋_GB2312"/>
          <w:sz w:val="32"/>
          <w:szCs w:val="32"/>
          <w:highlight w:val="none"/>
        </w:rPr>
        <w:t>没有政府性基金收入，也没有使用政府性基金安排的支出</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bidi w:val="0"/>
        <w:snapToGrid/>
        <w:spacing w:line="60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keepNext w:val="0"/>
        <w:keepLines w:val="0"/>
        <w:pageBreakBefore w:val="0"/>
        <w:widowControl/>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年度机关运行经费预算为34.31万元，支出决算为</w:t>
      </w:r>
      <w:r>
        <w:rPr>
          <w:rFonts w:hint="eastAsia" w:ascii="仿宋_GB2312" w:hAnsi="仿宋_GB2312" w:eastAsia="仿宋_GB2312"/>
          <w:sz w:val="32"/>
          <w:szCs w:val="24"/>
        </w:rPr>
        <w:t>17.69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51.56</w:t>
      </w:r>
      <w:r>
        <w:rPr>
          <w:rFonts w:hint="eastAsia" w:ascii="仿宋_GB2312" w:hAnsi="仿宋_GB2312" w:eastAsia="仿宋_GB2312" w:cs="仿宋_GB2312"/>
          <w:sz w:val="32"/>
          <w:szCs w:val="32"/>
        </w:rPr>
        <w:t>%。决算数与预算数存在差异的主要原因是严格执行中央“八项”规定,规范管理，杜绝浪费现象,</w:t>
      </w:r>
      <w:r>
        <w:rPr>
          <w:rFonts w:hint="eastAsia" w:ascii="仿宋_GB2312" w:eastAsia="仿宋_GB2312" w:cs="宋体"/>
          <w:kern w:val="0"/>
          <w:sz w:val="32"/>
          <w:szCs w:val="32"/>
          <w:lang w:val="zh-CN"/>
        </w:rPr>
        <w:t>压缩各项办公经费开支</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bidi w:val="0"/>
        <w:snapToGrid/>
        <w:spacing w:line="60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keepNext w:val="0"/>
        <w:keepLines w:val="0"/>
        <w:pageBreakBefore w:val="0"/>
        <w:widowControl/>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keepNext w:val="0"/>
        <w:keepLines w:val="0"/>
        <w:pageBreakBefore w:val="0"/>
        <w:widowControl/>
        <w:kinsoku/>
        <w:wordWrap/>
        <w:overflowPunct/>
        <w:topLinePunct w:val="0"/>
        <w:bidi w:val="0"/>
        <w:snapToGrid/>
        <w:spacing w:line="60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keepNext w:val="0"/>
        <w:keepLines w:val="0"/>
        <w:pageBreakBefore w:val="0"/>
        <w:kinsoku/>
        <w:wordWrap/>
        <w:overflowPunct/>
        <w:topLinePunct w:val="0"/>
        <w:autoSpaceDE w:val="0"/>
        <w:autoSpaceDN w:val="0"/>
        <w:bidi w:val="0"/>
        <w:adjustRightInd w:val="0"/>
        <w:snapToGrid/>
        <w:spacing w:line="600" w:lineRule="exact"/>
        <w:ind w:firstLine="640"/>
        <w:textAlignment w:val="auto"/>
        <w:rPr>
          <w:rFonts w:eastAsia="仿宋_GB2312"/>
          <w:kern w:val="0"/>
          <w:sz w:val="18"/>
          <w:szCs w:val="18"/>
        </w:rPr>
      </w:pPr>
      <w:r>
        <w:rPr>
          <w:rFonts w:ascii="仿宋_GB2312" w:eastAsia="仿宋_GB2312" w:cs="仿宋_GB2312"/>
          <w:sz w:val="32"/>
          <w:szCs w:val="32"/>
        </w:rPr>
        <w:t>2021</w:t>
      </w:r>
      <w:r>
        <w:rPr>
          <w:rFonts w:hint="eastAsia" w:ascii="仿宋_GB2312" w:eastAsia="仿宋_GB2312" w:cs="仿宋_GB2312"/>
          <w:sz w:val="32"/>
          <w:szCs w:val="32"/>
        </w:rPr>
        <w:t>年期末，我单位共有车辆</w:t>
      </w:r>
      <w:r>
        <w:rPr>
          <w:rFonts w:ascii="仿宋_GB2312" w:eastAsia="仿宋_GB2312" w:cs="仿宋_GB2312"/>
          <w:sz w:val="32"/>
          <w:szCs w:val="32"/>
        </w:rPr>
        <w:t>0</w:t>
      </w:r>
      <w:r>
        <w:rPr>
          <w:rFonts w:hint="eastAsia" w:ascii="仿宋_GB2312" w:eastAsia="仿宋_GB2312" w:cs="仿宋_GB2312"/>
          <w:sz w:val="32"/>
          <w:szCs w:val="32"/>
        </w:rPr>
        <w:t>辆，其中：省级领导干部用车</w:t>
      </w:r>
      <w:r>
        <w:rPr>
          <w:rFonts w:ascii="仿宋_GB2312" w:eastAsia="仿宋_GB2312" w:cs="仿宋_GB2312"/>
          <w:sz w:val="32"/>
          <w:szCs w:val="32"/>
        </w:rPr>
        <w:t>0</w:t>
      </w:r>
      <w:r>
        <w:rPr>
          <w:rFonts w:hint="eastAsia" w:ascii="仿宋_GB2312" w:eastAsia="仿宋_GB2312" w:cs="仿宋_GB2312"/>
          <w:sz w:val="32"/>
          <w:szCs w:val="32"/>
        </w:rPr>
        <w:t>辆、主要领导干部用车</w:t>
      </w:r>
      <w:r>
        <w:rPr>
          <w:rFonts w:ascii="仿宋_GB2312" w:eastAsia="仿宋_GB2312" w:cs="仿宋_GB2312"/>
          <w:sz w:val="32"/>
          <w:szCs w:val="32"/>
        </w:rPr>
        <w:t>0</w:t>
      </w:r>
      <w:r>
        <w:rPr>
          <w:rFonts w:hint="eastAsia" w:ascii="仿宋_GB2312" w:eastAsia="仿宋_GB2312" w:cs="仿宋_GB2312"/>
          <w:sz w:val="32"/>
          <w:szCs w:val="32"/>
        </w:rPr>
        <w:t>辆、机要通信用车</w:t>
      </w:r>
      <w:r>
        <w:rPr>
          <w:rFonts w:ascii="仿宋_GB2312" w:eastAsia="仿宋_GB2312" w:cs="仿宋_GB2312"/>
          <w:sz w:val="32"/>
          <w:szCs w:val="32"/>
        </w:rPr>
        <w:t>0</w:t>
      </w:r>
      <w:r>
        <w:rPr>
          <w:rFonts w:hint="eastAsia" w:ascii="仿宋_GB2312" w:eastAsia="仿宋_GB2312" w:cs="仿宋_GB2312"/>
          <w:sz w:val="32"/>
          <w:szCs w:val="32"/>
        </w:rPr>
        <w:t>辆、应急保障车</w:t>
      </w:r>
      <w:r>
        <w:rPr>
          <w:rFonts w:ascii="仿宋_GB2312" w:eastAsia="仿宋_GB2312" w:cs="仿宋_GB2312"/>
          <w:sz w:val="32"/>
          <w:szCs w:val="32"/>
        </w:rPr>
        <w:t>0</w:t>
      </w:r>
      <w:r>
        <w:rPr>
          <w:rFonts w:hint="eastAsia" w:ascii="仿宋_GB2312" w:eastAsia="仿宋_GB2312" w:cs="仿宋_GB2312"/>
          <w:sz w:val="32"/>
          <w:szCs w:val="32"/>
        </w:rPr>
        <w:t>辆、执法执勤用车</w:t>
      </w:r>
      <w:r>
        <w:rPr>
          <w:rFonts w:ascii="仿宋_GB2312" w:eastAsia="仿宋_GB2312" w:cs="仿宋_GB2312"/>
          <w:sz w:val="32"/>
          <w:szCs w:val="32"/>
        </w:rPr>
        <w:t>0</w:t>
      </w:r>
      <w:r>
        <w:rPr>
          <w:rFonts w:hint="eastAsia" w:ascii="仿宋_GB2312" w:eastAsia="仿宋_GB2312" w:cs="仿宋_GB2312"/>
          <w:sz w:val="32"/>
          <w:szCs w:val="32"/>
        </w:rPr>
        <w:t>辆、特种专业技术用车</w:t>
      </w:r>
      <w:r>
        <w:rPr>
          <w:rFonts w:ascii="仿宋_GB2312" w:eastAsia="仿宋_GB2312" w:cs="仿宋_GB2312"/>
          <w:sz w:val="32"/>
          <w:szCs w:val="32"/>
        </w:rPr>
        <w:t>0</w:t>
      </w:r>
      <w:r>
        <w:rPr>
          <w:rFonts w:hint="eastAsia" w:ascii="仿宋_GB2312" w:eastAsia="仿宋_GB2312" w:cs="仿宋_GB2312"/>
          <w:sz w:val="32"/>
          <w:szCs w:val="32"/>
        </w:rPr>
        <w:t>辆、离退休干部用车</w:t>
      </w:r>
      <w:r>
        <w:rPr>
          <w:rFonts w:ascii="仿宋_GB2312" w:eastAsia="仿宋_GB2312" w:cs="仿宋_GB2312"/>
          <w:sz w:val="32"/>
          <w:szCs w:val="32"/>
        </w:rPr>
        <w:t>0</w:t>
      </w:r>
      <w:r>
        <w:rPr>
          <w:rFonts w:hint="eastAsia" w:ascii="仿宋_GB2312" w:eastAsia="仿宋_GB2312" w:cs="仿宋_GB2312"/>
          <w:sz w:val="32"/>
          <w:szCs w:val="32"/>
        </w:rPr>
        <w:t>辆、其他用车</w:t>
      </w:r>
      <w:r>
        <w:rPr>
          <w:rFonts w:ascii="仿宋_GB2312" w:eastAsia="仿宋_GB2312" w:cs="仿宋_GB2312"/>
          <w:sz w:val="32"/>
          <w:szCs w:val="32"/>
        </w:rPr>
        <w:t>0</w:t>
      </w:r>
      <w:r>
        <w:rPr>
          <w:rFonts w:hint="eastAsia" w:ascii="仿宋_GB2312" w:eastAsia="仿宋_GB2312" w:cs="仿宋_GB2312"/>
          <w:sz w:val="32"/>
          <w:szCs w:val="32"/>
        </w:rPr>
        <w:t>辆；单位价值</w:t>
      </w:r>
      <w:r>
        <w:rPr>
          <w:rFonts w:ascii="仿宋_GB2312" w:eastAsia="仿宋_GB2312" w:cs="仿宋_GB2312"/>
          <w:sz w:val="32"/>
          <w:szCs w:val="32"/>
        </w:rPr>
        <w:t>50</w:t>
      </w:r>
      <w:r>
        <w:rPr>
          <w:rFonts w:hint="eastAsia" w:ascii="仿宋_GB2312" w:eastAsia="仿宋_GB2312" w:cs="仿宋_GB2312"/>
          <w:sz w:val="32"/>
          <w:szCs w:val="32"/>
        </w:rPr>
        <w:t>万元以上通用设备</w:t>
      </w:r>
      <w:r>
        <w:rPr>
          <w:rFonts w:ascii="仿宋_GB2312" w:eastAsia="仿宋_GB2312" w:cs="仿宋_GB2312"/>
          <w:sz w:val="32"/>
          <w:szCs w:val="32"/>
        </w:rPr>
        <w:t>0</w:t>
      </w:r>
      <w:r>
        <w:rPr>
          <w:rFonts w:hint="eastAsia" w:ascii="仿宋_GB2312" w:eastAsia="仿宋_GB2312" w:cs="仿宋_GB2312"/>
          <w:sz w:val="32"/>
          <w:szCs w:val="32"/>
        </w:rPr>
        <w:t>台（套），单位价值</w:t>
      </w:r>
      <w:r>
        <w:rPr>
          <w:rFonts w:ascii="仿宋_GB2312" w:eastAsia="仿宋_GB2312" w:cs="仿宋_GB2312"/>
          <w:sz w:val="32"/>
          <w:szCs w:val="32"/>
        </w:rPr>
        <w:t>100</w:t>
      </w:r>
      <w:r>
        <w:rPr>
          <w:rFonts w:hint="eastAsia" w:ascii="仿宋_GB2312" w:eastAsia="仿宋_GB2312" w:cs="仿宋_GB2312"/>
          <w:sz w:val="32"/>
          <w:szCs w:val="32"/>
        </w:rPr>
        <w:t>万元以上专用设备</w:t>
      </w:r>
      <w:r>
        <w:rPr>
          <w:rFonts w:ascii="仿宋_GB2312" w:eastAsia="仿宋_GB2312" w:cs="仿宋_GB2312"/>
          <w:sz w:val="32"/>
          <w:szCs w:val="32"/>
        </w:rPr>
        <w:t>0</w:t>
      </w:r>
      <w:r>
        <w:rPr>
          <w:rFonts w:hint="eastAsia" w:ascii="仿宋_GB2312" w:eastAsia="仿宋_GB2312" w:cs="仿宋_GB2312"/>
          <w:sz w:val="32"/>
          <w:szCs w:val="32"/>
        </w:rPr>
        <w:t>台（套）。</w:t>
      </w:r>
    </w:p>
    <w:p>
      <w:pPr>
        <w:keepNext w:val="0"/>
        <w:keepLines w:val="0"/>
        <w:pageBreakBefore w:val="0"/>
        <w:widowControl/>
        <w:kinsoku/>
        <w:wordWrap/>
        <w:overflowPunct/>
        <w:topLinePunct w:val="0"/>
        <w:bidi w:val="0"/>
        <w:snapToGrid/>
        <w:spacing w:line="60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keepNext w:val="0"/>
        <w:keepLines w:val="0"/>
        <w:pageBreakBefore w:val="0"/>
        <w:widowControl/>
        <w:kinsoku/>
        <w:wordWrap/>
        <w:overflowPunct/>
        <w:topLinePunct w:val="0"/>
        <w:bidi w:val="0"/>
        <w:snapToGrid/>
        <w:spacing w:line="600" w:lineRule="exact"/>
        <w:ind w:firstLine="964" w:firstLineChars="300"/>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按照《中共许昌市委 许昌市人民政府关于全面实施预算绩效管理的实施意见》（许发〔2021〕13号）文件要求，对本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整体支出和项目支出开展全过程预算绩效管理。</w:t>
      </w:r>
      <w:r>
        <w:rPr>
          <w:rFonts w:hint="eastAsia" w:ascii="仿宋_GB2312" w:hAnsi="仿宋_GB2312" w:eastAsia="仿宋_GB2312" w:cs="仿宋_GB2312"/>
          <w:color w:val="auto"/>
          <w:sz w:val="32"/>
          <w:szCs w:val="32"/>
          <w:highlight w:val="none"/>
          <w:lang w:val="en-US" w:eastAsia="zh-CN"/>
        </w:rPr>
        <w:t>我单位多次召开相关科室人员会议，加强学习预算绩效相关制度文件，提高对预算绩效管理工作的重视程度，提升预算绩效管理相关人员绩效管理意识和业务水平。并以单位职责为依据，确定单位预算项目和预算额度，清晰描述预算项目开支范围和内容，确定预算项目的绩效目标和评价标准，为预算绩效控制、绩效分析、绩效评价打下了基础。</w:t>
      </w:r>
    </w:p>
    <w:p>
      <w:pPr>
        <w:keepNext w:val="0"/>
        <w:keepLines w:val="0"/>
        <w:pageBreakBefore w:val="0"/>
        <w:widowControl/>
        <w:kinsoku/>
        <w:wordWrap/>
        <w:overflowPunct/>
        <w:topLinePunct w:val="0"/>
        <w:bidi w:val="0"/>
        <w:snapToGrid/>
        <w:spacing w:line="600" w:lineRule="exact"/>
        <w:ind w:firstLine="643" w:firstLineChars="200"/>
        <w:textAlignment w:val="auto"/>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（二）单位整体和项目绩效自评结果。</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按照《许昌市财政局关于开展2021年度市级预算绩效自评工作的通知》（许财效）〔202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rPr>
        <w:t>〕1号）等文件精神，我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对本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整体绩效目标和项目支出绩效目标进行了自评。一是</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整体绩效自评情况，</w:t>
      </w:r>
      <w:r>
        <w:rPr>
          <w:rFonts w:hint="eastAsia" w:ascii="仿宋_GB2312" w:hAnsi="仿宋_GB2312" w:eastAsia="仿宋_GB2312" w:cs="仿宋_GB2312"/>
          <w:color w:val="auto"/>
          <w:sz w:val="32"/>
          <w:szCs w:val="32"/>
          <w:highlight w:val="none"/>
          <w:lang w:val="en-US" w:eastAsia="zh-CN"/>
        </w:rPr>
        <w:t>整体绩效情况良好，预算执行总额控制在年初预算批复，年度绩效目标完成情况良好。</w:t>
      </w:r>
      <w:r>
        <w:rPr>
          <w:rFonts w:hint="eastAsia" w:ascii="仿宋_GB2312" w:hAnsi="仿宋_GB2312" w:eastAsia="仿宋_GB2312" w:cs="仿宋_GB2312"/>
          <w:color w:val="auto"/>
          <w:sz w:val="32"/>
          <w:szCs w:val="32"/>
        </w:rPr>
        <w:t>紧紧围绕加强执法办案，维护市场秩序的工作目标，提升资金使用效益。</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w:t>
      </w:r>
      <w:r>
        <w:rPr>
          <w:rFonts w:hint="eastAsia" w:ascii="仿宋_GB2312" w:hAnsi="仿宋_GB2312" w:eastAsia="仿宋_GB2312"/>
          <w:sz w:val="32"/>
          <w:szCs w:val="24"/>
          <w:lang w:val="en-US" w:eastAsia="zh-CN"/>
        </w:rPr>
        <w:t>0.00</w:t>
      </w:r>
      <w:r>
        <w:rPr>
          <w:rFonts w:hint="eastAsia" w:ascii="仿宋_GB2312" w:hAnsi="仿宋_GB2312" w:eastAsia="仿宋_GB2312" w:cs="仿宋_GB2312"/>
          <w:color w:val="auto"/>
          <w:sz w:val="32"/>
          <w:szCs w:val="32"/>
          <w:highlight w:val="none"/>
          <w:lang w:val="en-US" w:eastAsia="zh-CN"/>
        </w:rPr>
        <w:t>万元。</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基于项目预期目标的实现程度，对2021年度项目支出绩效进行自评，绩效自评平均得分为0分。其中：0个项目评价等级为“优”、0个项目评价等级为“良”、0个项目评价等级为“中”、0个项目评价等级为“差”。</w:t>
      </w:r>
    </w:p>
    <w:p>
      <w:pPr>
        <w:keepNext w:val="0"/>
        <w:keepLines w:val="0"/>
        <w:pageBreakBefore w:val="0"/>
        <w:widowControl/>
        <w:kinsoku/>
        <w:wordWrap/>
        <w:overflowPunct/>
        <w:topLinePunct w:val="0"/>
        <w:bidi w:val="0"/>
        <w:snapToGrid/>
        <w:spacing w:line="600" w:lineRule="exact"/>
        <w:ind w:firstLine="643" w:firstLineChars="200"/>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ascii="黑体" w:hAnsi="宋体" w:eastAsia="黑体" w:cs="宋体"/>
          <w:kern w:val="0"/>
          <w:sz w:val="28"/>
          <w:szCs w:val="28"/>
        </w:rPr>
      </w:pPr>
      <w:r>
        <w:rPr>
          <w:rFonts w:hint="eastAsia" w:ascii="仿宋_GB2312" w:hAnsi="仿宋_GB2312" w:eastAsia="仿宋_GB2312" w:cs="仿宋_GB2312"/>
          <w:sz w:val="32"/>
          <w:szCs w:val="32"/>
        </w:rPr>
        <w:t>2021年度我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Rv5eIBAADMAwAADgAAAGRycy9lMm9Eb2MueG1srVPNjtMwEL4j8Q6W&#10;7zTZI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kRv5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270E8"/>
    <w:rsid w:val="00003DC5"/>
    <w:rsid w:val="000270E8"/>
    <w:rsid w:val="000335B5"/>
    <w:rsid w:val="00034C29"/>
    <w:rsid w:val="00054C37"/>
    <w:rsid w:val="00057AFD"/>
    <w:rsid w:val="00076410"/>
    <w:rsid w:val="00081835"/>
    <w:rsid w:val="000904B3"/>
    <w:rsid w:val="000C073B"/>
    <w:rsid w:val="000C1142"/>
    <w:rsid w:val="001003F8"/>
    <w:rsid w:val="0010653F"/>
    <w:rsid w:val="001322C4"/>
    <w:rsid w:val="00144159"/>
    <w:rsid w:val="001718A8"/>
    <w:rsid w:val="00181CBC"/>
    <w:rsid w:val="00182842"/>
    <w:rsid w:val="00184D53"/>
    <w:rsid w:val="001905F2"/>
    <w:rsid w:val="00197592"/>
    <w:rsid w:val="001B7EFD"/>
    <w:rsid w:val="001C32F0"/>
    <w:rsid w:val="001D61B1"/>
    <w:rsid w:val="001F5040"/>
    <w:rsid w:val="002006EB"/>
    <w:rsid w:val="00214AE1"/>
    <w:rsid w:val="00216BCC"/>
    <w:rsid w:val="00230DBF"/>
    <w:rsid w:val="00250439"/>
    <w:rsid w:val="00260D70"/>
    <w:rsid w:val="00281114"/>
    <w:rsid w:val="00282C7F"/>
    <w:rsid w:val="00287811"/>
    <w:rsid w:val="00292B4B"/>
    <w:rsid w:val="00293850"/>
    <w:rsid w:val="002A6352"/>
    <w:rsid w:val="002B3F94"/>
    <w:rsid w:val="002C171D"/>
    <w:rsid w:val="002D31C0"/>
    <w:rsid w:val="002E6A86"/>
    <w:rsid w:val="00304D04"/>
    <w:rsid w:val="00305B88"/>
    <w:rsid w:val="00315FEB"/>
    <w:rsid w:val="0041489C"/>
    <w:rsid w:val="00416A57"/>
    <w:rsid w:val="0042585F"/>
    <w:rsid w:val="00433A1B"/>
    <w:rsid w:val="00445CAC"/>
    <w:rsid w:val="00472E19"/>
    <w:rsid w:val="00487869"/>
    <w:rsid w:val="004D5275"/>
    <w:rsid w:val="004F63DB"/>
    <w:rsid w:val="00505190"/>
    <w:rsid w:val="00507364"/>
    <w:rsid w:val="005134DE"/>
    <w:rsid w:val="00546F7C"/>
    <w:rsid w:val="00572BD6"/>
    <w:rsid w:val="00575EC0"/>
    <w:rsid w:val="005A0C2F"/>
    <w:rsid w:val="005B1AE2"/>
    <w:rsid w:val="005B7AF6"/>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A20A0"/>
    <w:rsid w:val="008B5427"/>
    <w:rsid w:val="008C7CD0"/>
    <w:rsid w:val="00903F6B"/>
    <w:rsid w:val="009173F9"/>
    <w:rsid w:val="009308CB"/>
    <w:rsid w:val="00950270"/>
    <w:rsid w:val="00962F58"/>
    <w:rsid w:val="00966ACE"/>
    <w:rsid w:val="00975A04"/>
    <w:rsid w:val="00987E71"/>
    <w:rsid w:val="009D0FB9"/>
    <w:rsid w:val="009E61F4"/>
    <w:rsid w:val="009E6C47"/>
    <w:rsid w:val="009F0FBB"/>
    <w:rsid w:val="009F546E"/>
    <w:rsid w:val="00A079F0"/>
    <w:rsid w:val="00A42F43"/>
    <w:rsid w:val="00A51982"/>
    <w:rsid w:val="00A57BF7"/>
    <w:rsid w:val="00A71DC1"/>
    <w:rsid w:val="00A73DCF"/>
    <w:rsid w:val="00A83D8A"/>
    <w:rsid w:val="00A93E7D"/>
    <w:rsid w:val="00AA1787"/>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B3B97"/>
    <w:rsid w:val="00CE212D"/>
    <w:rsid w:val="00CE4B38"/>
    <w:rsid w:val="00D1321A"/>
    <w:rsid w:val="00D30ADF"/>
    <w:rsid w:val="00D33CF8"/>
    <w:rsid w:val="00D55C21"/>
    <w:rsid w:val="00D6315E"/>
    <w:rsid w:val="00D652C2"/>
    <w:rsid w:val="00D74EE2"/>
    <w:rsid w:val="00D83E19"/>
    <w:rsid w:val="00D86CAD"/>
    <w:rsid w:val="00DA00C9"/>
    <w:rsid w:val="00DB200E"/>
    <w:rsid w:val="00DB65F5"/>
    <w:rsid w:val="00E01C3E"/>
    <w:rsid w:val="00E07FAF"/>
    <w:rsid w:val="00E12A75"/>
    <w:rsid w:val="00E13099"/>
    <w:rsid w:val="00E4339F"/>
    <w:rsid w:val="00E60B05"/>
    <w:rsid w:val="00E629EA"/>
    <w:rsid w:val="00E6777C"/>
    <w:rsid w:val="00E87367"/>
    <w:rsid w:val="00E975CB"/>
    <w:rsid w:val="00EB05A3"/>
    <w:rsid w:val="00ED38B7"/>
    <w:rsid w:val="00EE051D"/>
    <w:rsid w:val="00F0131A"/>
    <w:rsid w:val="00F14C17"/>
    <w:rsid w:val="00F17041"/>
    <w:rsid w:val="00F218CF"/>
    <w:rsid w:val="00F44937"/>
    <w:rsid w:val="00F61A47"/>
    <w:rsid w:val="00F84422"/>
    <w:rsid w:val="00F91B48"/>
    <w:rsid w:val="00F95455"/>
    <w:rsid w:val="00FA574D"/>
    <w:rsid w:val="00FA774C"/>
    <w:rsid w:val="00FB1185"/>
    <w:rsid w:val="00FB7CF0"/>
    <w:rsid w:val="00FC2588"/>
    <w:rsid w:val="00FE7AD9"/>
    <w:rsid w:val="00FF0116"/>
    <w:rsid w:val="01322275"/>
    <w:rsid w:val="015672D5"/>
    <w:rsid w:val="0160703B"/>
    <w:rsid w:val="01D31DF3"/>
    <w:rsid w:val="01DC6F05"/>
    <w:rsid w:val="02A3489A"/>
    <w:rsid w:val="02CA138D"/>
    <w:rsid w:val="02CB1FF6"/>
    <w:rsid w:val="033646FC"/>
    <w:rsid w:val="0366450A"/>
    <w:rsid w:val="03C75F80"/>
    <w:rsid w:val="03F51722"/>
    <w:rsid w:val="0478364D"/>
    <w:rsid w:val="053D4C0D"/>
    <w:rsid w:val="0557532E"/>
    <w:rsid w:val="05FC6C02"/>
    <w:rsid w:val="0799329C"/>
    <w:rsid w:val="08397436"/>
    <w:rsid w:val="086F16A7"/>
    <w:rsid w:val="08FA2007"/>
    <w:rsid w:val="097C01EF"/>
    <w:rsid w:val="0A0F7225"/>
    <w:rsid w:val="0A2B7D82"/>
    <w:rsid w:val="0ADC40E9"/>
    <w:rsid w:val="0AE607F4"/>
    <w:rsid w:val="0B386127"/>
    <w:rsid w:val="0B451598"/>
    <w:rsid w:val="0BC8771C"/>
    <w:rsid w:val="0BEC73F4"/>
    <w:rsid w:val="0C392698"/>
    <w:rsid w:val="0CAB3439"/>
    <w:rsid w:val="0D81699B"/>
    <w:rsid w:val="0F2736B8"/>
    <w:rsid w:val="10BD36F6"/>
    <w:rsid w:val="1184669A"/>
    <w:rsid w:val="11BF0649"/>
    <w:rsid w:val="123E3E08"/>
    <w:rsid w:val="12ED1B54"/>
    <w:rsid w:val="133212F4"/>
    <w:rsid w:val="13D22E22"/>
    <w:rsid w:val="14FE3881"/>
    <w:rsid w:val="161C2DFF"/>
    <w:rsid w:val="16373578"/>
    <w:rsid w:val="16D3336B"/>
    <w:rsid w:val="16EA6010"/>
    <w:rsid w:val="17200028"/>
    <w:rsid w:val="17806C36"/>
    <w:rsid w:val="17A74F62"/>
    <w:rsid w:val="186A7076"/>
    <w:rsid w:val="18A47774"/>
    <w:rsid w:val="198570B0"/>
    <w:rsid w:val="1A8D28EB"/>
    <w:rsid w:val="1A9F2D78"/>
    <w:rsid w:val="1B2E6FD8"/>
    <w:rsid w:val="1B877D21"/>
    <w:rsid w:val="1C4319A9"/>
    <w:rsid w:val="1CB41147"/>
    <w:rsid w:val="1D900C8C"/>
    <w:rsid w:val="1DFA8A12"/>
    <w:rsid w:val="1E443B4B"/>
    <w:rsid w:val="1E994F4A"/>
    <w:rsid w:val="1EAF0224"/>
    <w:rsid w:val="1F2230A4"/>
    <w:rsid w:val="20210932"/>
    <w:rsid w:val="202448E0"/>
    <w:rsid w:val="20F614FE"/>
    <w:rsid w:val="21302EEA"/>
    <w:rsid w:val="213D42E5"/>
    <w:rsid w:val="22376FB5"/>
    <w:rsid w:val="2264189C"/>
    <w:rsid w:val="23E152D7"/>
    <w:rsid w:val="23EE2489"/>
    <w:rsid w:val="255D43C8"/>
    <w:rsid w:val="26714EF8"/>
    <w:rsid w:val="26876BDD"/>
    <w:rsid w:val="2714632A"/>
    <w:rsid w:val="27541E73"/>
    <w:rsid w:val="27967189"/>
    <w:rsid w:val="27B0539E"/>
    <w:rsid w:val="27DC3F66"/>
    <w:rsid w:val="29365CF8"/>
    <w:rsid w:val="297C228E"/>
    <w:rsid w:val="299469B3"/>
    <w:rsid w:val="2A805789"/>
    <w:rsid w:val="2AAA2973"/>
    <w:rsid w:val="2ADC0D75"/>
    <w:rsid w:val="2B4A0E52"/>
    <w:rsid w:val="2BBF19D8"/>
    <w:rsid w:val="2BE45C46"/>
    <w:rsid w:val="2BF273ED"/>
    <w:rsid w:val="2C975890"/>
    <w:rsid w:val="2DA971FC"/>
    <w:rsid w:val="2DEF21BB"/>
    <w:rsid w:val="2E4A2F05"/>
    <w:rsid w:val="2EB7B07A"/>
    <w:rsid w:val="2ECC1061"/>
    <w:rsid w:val="2FA476AD"/>
    <w:rsid w:val="303F7540"/>
    <w:rsid w:val="310C0498"/>
    <w:rsid w:val="31B43B70"/>
    <w:rsid w:val="31DD00BF"/>
    <w:rsid w:val="327F0422"/>
    <w:rsid w:val="3293174C"/>
    <w:rsid w:val="32BB38D4"/>
    <w:rsid w:val="32C81C92"/>
    <w:rsid w:val="32C9376D"/>
    <w:rsid w:val="33033FDB"/>
    <w:rsid w:val="33780472"/>
    <w:rsid w:val="33AF0905"/>
    <w:rsid w:val="351E1AE9"/>
    <w:rsid w:val="353115DE"/>
    <w:rsid w:val="355932F4"/>
    <w:rsid w:val="35611882"/>
    <w:rsid w:val="36090189"/>
    <w:rsid w:val="36746FC3"/>
    <w:rsid w:val="368763AE"/>
    <w:rsid w:val="36A4178B"/>
    <w:rsid w:val="375C2C60"/>
    <w:rsid w:val="38661F15"/>
    <w:rsid w:val="395D59E7"/>
    <w:rsid w:val="39A93932"/>
    <w:rsid w:val="39B527DE"/>
    <w:rsid w:val="3A0F4851"/>
    <w:rsid w:val="3A915562"/>
    <w:rsid w:val="3AAD5A00"/>
    <w:rsid w:val="3B8D4765"/>
    <w:rsid w:val="3C000DBA"/>
    <w:rsid w:val="3DC045D3"/>
    <w:rsid w:val="3E504FFB"/>
    <w:rsid w:val="3E615CD0"/>
    <w:rsid w:val="3E9C47F6"/>
    <w:rsid w:val="3EFBD3C8"/>
    <w:rsid w:val="3F8B0112"/>
    <w:rsid w:val="3FAB3095"/>
    <w:rsid w:val="3FE45947"/>
    <w:rsid w:val="4067362D"/>
    <w:rsid w:val="41242965"/>
    <w:rsid w:val="42FA6050"/>
    <w:rsid w:val="433165D2"/>
    <w:rsid w:val="435671EA"/>
    <w:rsid w:val="440809E9"/>
    <w:rsid w:val="442407A6"/>
    <w:rsid w:val="44805EA1"/>
    <w:rsid w:val="453F3A7B"/>
    <w:rsid w:val="45710696"/>
    <w:rsid w:val="46142B1B"/>
    <w:rsid w:val="46716EEC"/>
    <w:rsid w:val="46CF6BF2"/>
    <w:rsid w:val="47E60DD0"/>
    <w:rsid w:val="48735039"/>
    <w:rsid w:val="4895319D"/>
    <w:rsid w:val="492C684B"/>
    <w:rsid w:val="49500594"/>
    <w:rsid w:val="499D7423"/>
    <w:rsid w:val="49E7604E"/>
    <w:rsid w:val="4BF67CDD"/>
    <w:rsid w:val="4D173441"/>
    <w:rsid w:val="4D603DD6"/>
    <w:rsid w:val="4EBF010F"/>
    <w:rsid w:val="4F471EB0"/>
    <w:rsid w:val="4FE93B7E"/>
    <w:rsid w:val="4FF96FA7"/>
    <w:rsid w:val="51331326"/>
    <w:rsid w:val="514C01F3"/>
    <w:rsid w:val="51740A7F"/>
    <w:rsid w:val="51A5541E"/>
    <w:rsid w:val="51C96242"/>
    <w:rsid w:val="51CB5E01"/>
    <w:rsid w:val="53906AE1"/>
    <w:rsid w:val="54002E67"/>
    <w:rsid w:val="54F46F60"/>
    <w:rsid w:val="55A37BEA"/>
    <w:rsid w:val="55FC1D01"/>
    <w:rsid w:val="56362CD2"/>
    <w:rsid w:val="571B7966"/>
    <w:rsid w:val="5784687B"/>
    <w:rsid w:val="57846959"/>
    <w:rsid w:val="578E6A87"/>
    <w:rsid w:val="5A1841F7"/>
    <w:rsid w:val="5A29667F"/>
    <w:rsid w:val="5AC2203A"/>
    <w:rsid w:val="5C9FB8A9"/>
    <w:rsid w:val="5CBB3334"/>
    <w:rsid w:val="5CFD5124"/>
    <w:rsid w:val="5D115FAF"/>
    <w:rsid w:val="5F7640A1"/>
    <w:rsid w:val="5F7BD0AE"/>
    <w:rsid w:val="5F8D3F42"/>
    <w:rsid w:val="5FDB6CAA"/>
    <w:rsid w:val="60661C5D"/>
    <w:rsid w:val="61112140"/>
    <w:rsid w:val="62811722"/>
    <w:rsid w:val="62E75A72"/>
    <w:rsid w:val="633B54A7"/>
    <w:rsid w:val="64044EB3"/>
    <w:rsid w:val="64571880"/>
    <w:rsid w:val="649125B6"/>
    <w:rsid w:val="652F4C1A"/>
    <w:rsid w:val="663501B4"/>
    <w:rsid w:val="666D37F1"/>
    <w:rsid w:val="67087D8F"/>
    <w:rsid w:val="67133864"/>
    <w:rsid w:val="671F687E"/>
    <w:rsid w:val="67F415F8"/>
    <w:rsid w:val="682640D1"/>
    <w:rsid w:val="684B73E5"/>
    <w:rsid w:val="693C702E"/>
    <w:rsid w:val="6A047A2A"/>
    <w:rsid w:val="6EFB7548"/>
    <w:rsid w:val="6F3831C3"/>
    <w:rsid w:val="6F8B71C1"/>
    <w:rsid w:val="6FBF52CC"/>
    <w:rsid w:val="70753482"/>
    <w:rsid w:val="707B522A"/>
    <w:rsid w:val="7090364B"/>
    <w:rsid w:val="72DA4A88"/>
    <w:rsid w:val="73162F91"/>
    <w:rsid w:val="73194D05"/>
    <w:rsid w:val="73A83B0E"/>
    <w:rsid w:val="744D3EF9"/>
    <w:rsid w:val="74794411"/>
    <w:rsid w:val="75585337"/>
    <w:rsid w:val="75856716"/>
    <w:rsid w:val="75867C40"/>
    <w:rsid w:val="75B10B26"/>
    <w:rsid w:val="75E07CF9"/>
    <w:rsid w:val="76432199"/>
    <w:rsid w:val="76F44829"/>
    <w:rsid w:val="774E7B78"/>
    <w:rsid w:val="77A267C0"/>
    <w:rsid w:val="77F92DF6"/>
    <w:rsid w:val="78882278"/>
    <w:rsid w:val="78B118A6"/>
    <w:rsid w:val="79135044"/>
    <w:rsid w:val="79F8049D"/>
    <w:rsid w:val="7A2D7B93"/>
    <w:rsid w:val="7A7D0F99"/>
    <w:rsid w:val="7BEF1D85"/>
    <w:rsid w:val="7C464F90"/>
    <w:rsid w:val="7CAA6FDC"/>
    <w:rsid w:val="7D27B5F1"/>
    <w:rsid w:val="7D465921"/>
    <w:rsid w:val="7D9534BC"/>
    <w:rsid w:val="7E4A0E7C"/>
    <w:rsid w:val="7E922262"/>
    <w:rsid w:val="7EBE29D9"/>
    <w:rsid w:val="7ED7B0FF"/>
    <w:rsid w:val="7EFD449D"/>
    <w:rsid w:val="7F230B4D"/>
    <w:rsid w:val="7F4C146A"/>
    <w:rsid w:val="7FBFBE8D"/>
    <w:rsid w:val="7FBFF68B"/>
    <w:rsid w:val="ADF72220"/>
    <w:rsid w:val="AED7C2C3"/>
    <w:rsid w:val="B37FE0F2"/>
    <w:rsid w:val="CBDF0073"/>
    <w:rsid w:val="CDE78305"/>
    <w:rsid w:val="DEF6F3C4"/>
    <w:rsid w:val="E5CF75E8"/>
    <w:rsid w:val="E6FBECE5"/>
    <w:rsid w:val="EF1E2E19"/>
    <w:rsid w:val="F7EF440F"/>
    <w:rsid w:val="FDDB2D6D"/>
    <w:rsid w:val="FE7E3285"/>
    <w:rsid w:val="FFF646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7747</Words>
  <Characters>9386</Characters>
  <Lines>87</Lines>
  <Paragraphs>24</Paragraphs>
  <TotalTime>1</TotalTime>
  <ScaleCrop>false</ScaleCrop>
  <LinksUpToDate>false</LinksUpToDate>
  <CharactersWithSpaces>10128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悟の</cp:lastModifiedBy>
  <cp:lastPrinted>2023-05-10T11:26:19Z</cp:lastPrinted>
  <dcterms:modified xsi:type="dcterms:W3CDTF">2023-05-29T03:11:23Z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11C5248A87224408B20D26CE55468904_13</vt:lpwstr>
  </property>
</Properties>
</file>