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bookmarkStart w:id="0" w:name="OLE_LINK1"/>
      <w:r>
        <w:rPr>
          <w:rFonts w:hint="eastAsia" w:ascii="黑体" w:hAnsi="黑体" w:eastAsia="黑体" w:cs="黑体"/>
          <w:sz w:val="52"/>
          <w:szCs w:val="52"/>
          <w:highlight w:val="none"/>
          <w:lang w:val="en-US" w:eastAsia="zh-CN"/>
        </w:rPr>
        <w:t>许昌市财政投资评审中心</w:t>
      </w:r>
      <w:bookmarkEnd w:id="0"/>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许昌市财政投资评审中心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许昌市财政投资评审中心</w:t>
      </w:r>
    </w:p>
    <w:p>
      <w:pPr>
        <w:widowControl/>
        <w:jc w:val="center"/>
        <w:outlineLvl w:val="0"/>
        <w:rPr>
          <w:rFonts w:hint="default" w:ascii="黑体" w:hAnsi="宋体" w:eastAsia="黑体" w:cs="宋体"/>
          <w:kern w:val="0"/>
          <w:sz w:val="28"/>
          <w:szCs w:val="28"/>
          <w:highlight w:val="none"/>
          <w:lang w:val="en-US" w:eastAsia="zh-CN"/>
        </w:rPr>
      </w:pPr>
      <w:r>
        <w:rPr>
          <w:rFonts w:hint="eastAsia" w:ascii="黑体" w:hAnsi="黑体" w:eastAsia="黑体" w:cs="黑体"/>
          <w:sz w:val="48"/>
          <w:szCs w:val="48"/>
          <w:highlight w:val="none"/>
          <w:lang w:val="en-US" w:eastAsia="zh-CN"/>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2"/>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按照预算管理规定，为强化政府投资监管，对财政资金投资的项目进行评审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组织实施财政性基建投资项目工程概预算的审核工作；配合市财政局有关业务</w:t>
      </w:r>
      <w:r>
        <w:rPr>
          <w:rFonts w:hint="eastAsia" w:ascii="仿宋_GB2312" w:hAnsi="仿宋_GB2312" w:eastAsia="仿宋_GB2312" w:cs="仿宋_GB2312"/>
          <w:kern w:val="0"/>
          <w:sz w:val="32"/>
          <w:szCs w:val="32"/>
          <w:highlight w:val="none"/>
          <w:lang w:eastAsia="zh-CN"/>
        </w:rPr>
        <w:t>科</w:t>
      </w:r>
      <w:r>
        <w:rPr>
          <w:rFonts w:hint="eastAsia" w:ascii="仿宋_GB2312" w:hAnsi="仿宋_GB2312" w:eastAsia="仿宋_GB2312" w:cs="仿宋_GB2312"/>
          <w:kern w:val="0"/>
          <w:sz w:val="32"/>
          <w:szCs w:val="32"/>
          <w:highlight w:val="none"/>
        </w:rPr>
        <w:t>室做好财政专项支出项目核查及相关的效益评价分析工作</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许昌市财政投资评审中心内设机构1个，包括：许昌市许昌市财政投资评审中心。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从决算单位构成看，许昌市财政投资评审中心单位决算包括：本级决算（1个）。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1.许昌市财政投资评审中心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4" w:type="default"/>
          <w:footerReference r:id="rId5" w:type="even"/>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收入支出决算总表</w:t>
            </w:r>
          </w:p>
        </w:tc>
      </w:tr>
      <w:tr>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公开01表</w:t>
            </w:r>
          </w:p>
        </w:tc>
      </w:tr>
      <w:tr>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许昌市财政</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lang w:val="en-US" w:eastAsia="zh-CN"/>
              </w:rPr>
              <w:t>投资评审中心</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支出</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241.01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308.66</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二、政府性基金</w:t>
            </w:r>
            <w:r>
              <w:rPr>
                <w:rFonts w:ascii="宋体" w:hAnsi="宋体" w:cs="宋体"/>
                <w:color w:val="000000"/>
                <w:kern w:val="0"/>
                <w:sz w:val="22"/>
                <w:szCs w:val="22"/>
                <w:highlight w:val="none"/>
              </w:rPr>
              <w:t>预算财政拨款</w:t>
            </w:r>
            <w:r>
              <w:rPr>
                <w:rFonts w:hint="eastAsia" w:ascii="宋体" w:hAnsi="宋体" w:cs="宋体"/>
                <w:color w:val="000000"/>
                <w:kern w:val="0"/>
                <w:sz w:val="22"/>
                <w:szCs w:val="22"/>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三、国有资本</w:t>
            </w:r>
            <w:r>
              <w:rPr>
                <w:rFonts w:ascii="宋体" w:hAnsi="宋体" w:cs="宋体"/>
                <w:color w:val="000000"/>
                <w:kern w:val="0"/>
                <w:sz w:val="22"/>
                <w:szCs w:val="22"/>
                <w:highlight w:val="none"/>
              </w:rPr>
              <w:t>经营预算财政拨款</w:t>
            </w:r>
            <w:r>
              <w:rPr>
                <w:rFonts w:hint="eastAsia" w:ascii="宋体" w:hAnsi="宋体" w:cs="宋体"/>
                <w:color w:val="000000"/>
                <w:kern w:val="0"/>
                <w:sz w:val="22"/>
                <w:szCs w:val="22"/>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19.80</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cs="Arial"/>
                <w:color w:val="000000"/>
                <w:sz w:val="22"/>
                <w:szCs w:val="22"/>
                <w:lang w:val="en-US" w:eastAsia="zh-CN"/>
              </w:rPr>
              <w:t>九、</w:t>
            </w:r>
            <w:r>
              <w:rPr>
                <w:rFonts w:hint="eastAsia" w:cs="Arial"/>
                <w:color w:val="000000"/>
                <w:sz w:val="22"/>
                <w:szCs w:val="22"/>
              </w:rPr>
              <w:t>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40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13.90</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cs="Arial"/>
                <w:color w:val="000000"/>
                <w:sz w:val="22"/>
                <w:szCs w:val="22"/>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41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48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b/>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49</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50</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20</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2"/>
                <w:sz w:val="22"/>
                <w:szCs w:val="22"/>
                <w:lang w:val="en-US" w:eastAsia="zh-CN" w:bidi="ar-SA"/>
              </w:rPr>
            </w:pPr>
            <w:r>
              <w:rPr>
                <w:rFonts w:hint="eastAsia" w:cs="Arial"/>
                <w:color w:val="000000"/>
                <w:sz w:val="22"/>
                <w:szCs w:val="22"/>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51</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21</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cs="Arial"/>
                <w:color w:val="000000"/>
                <w:sz w:val="22"/>
                <w:szCs w:val="22"/>
              </w:rPr>
            </w:pPr>
            <w:r>
              <w:rPr>
                <w:rFonts w:hint="eastAsia" w:cs="Arial"/>
                <w:color w:val="000000"/>
                <w:sz w:val="22"/>
                <w:szCs w:val="22"/>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52</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22</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spacing w:line="360" w:lineRule="auto"/>
              <w:jc w:val="left"/>
              <w:textAlignment w:val="center"/>
              <w:rPr>
                <w:rFonts w:hint="eastAsia" w:cs="Arial"/>
                <w:color w:val="000000"/>
                <w:sz w:val="22"/>
                <w:szCs w:val="22"/>
              </w:rPr>
            </w:pPr>
            <w:r>
              <w:rPr>
                <w:rFonts w:hint="eastAsia" w:cs="Arial"/>
                <w:color w:val="000000"/>
                <w:sz w:val="22"/>
                <w:szCs w:val="22"/>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53</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23</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spacing w:line="360" w:lineRule="auto"/>
              <w:jc w:val="left"/>
              <w:rPr>
                <w:rFonts w:hint="eastAsia" w:cs="Arial"/>
                <w:color w:val="000000"/>
                <w:sz w:val="22"/>
                <w:szCs w:val="22"/>
              </w:rPr>
            </w:pPr>
            <w:r>
              <w:rPr>
                <w:rFonts w:hint="eastAsia" w:cs="Arial"/>
                <w:color w:val="000000"/>
                <w:sz w:val="22"/>
                <w:szCs w:val="22"/>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54</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000000" w:sz="4" w:space="0"/>
              <w:left w:val="single" w:color="000000" w:sz="8" w:space="0"/>
              <w:bottom w:val="single" w:color="auto"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24</w:t>
            </w:r>
          </w:p>
        </w:tc>
        <w:tc>
          <w:tcPr>
            <w:tcW w:w="17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spacing w:line="360" w:lineRule="auto"/>
              <w:jc w:val="left"/>
              <w:rPr>
                <w:rFonts w:hint="eastAsia" w:cs="Arial"/>
                <w:color w:val="000000"/>
                <w:sz w:val="22"/>
                <w:szCs w:val="22"/>
              </w:rPr>
            </w:pPr>
            <w:r>
              <w:rPr>
                <w:rFonts w:hint="eastAsia" w:ascii="宋体" w:hAnsi="宋体" w:cs="宋体"/>
                <w:color w:val="000000"/>
                <w:sz w:val="22"/>
                <w:szCs w:val="22"/>
              </w:rPr>
              <w:t>二十四、债务还本支出</w:t>
            </w:r>
          </w:p>
        </w:tc>
        <w:tc>
          <w:tcPr>
            <w:tcW w:w="75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55</w:t>
            </w:r>
          </w:p>
        </w:tc>
        <w:tc>
          <w:tcPr>
            <w:tcW w:w="1699" w:type="dxa"/>
            <w:tcBorders>
              <w:top w:val="single" w:color="000000" w:sz="4" w:space="0"/>
              <w:left w:val="nil"/>
              <w:bottom w:val="single" w:color="auto"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25</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hint="eastAsia" w:cs="Arial"/>
                <w:color w:val="000000"/>
                <w:sz w:val="22"/>
                <w:szCs w:val="22"/>
              </w:rPr>
            </w:pPr>
            <w:r>
              <w:rPr>
                <w:rFonts w:hint="eastAsia" w:ascii="宋体" w:hAnsi="宋体" w:cs="宋体"/>
                <w:color w:val="000000"/>
                <w:sz w:val="22"/>
                <w:szCs w:val="22"/>
              </w:rPr>
              <w:t>二十五、债务付息支出</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56</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26</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left"/>
              <w:rPr>
                <w:rFonts w:hint="eastAsia" w:ascii="宋体" w:hAnsi="宋体" w:cs="宋体"/>
                <w:color w:val="000000"/>
                <w:kern w:val="2"/>
                <w:sz w:val="22"/>
                <w:szCs w:val="22"/>
                <w:lang w:val="en-US" w:eastAsia="zh-CN" w:bidi="ar-SA"/>
              </w:rPr>
            </w:pPr>
            <w:r>
              <w:rPr>
                <w:rFonts w:hint="eastAsia" w:ascii="宋体" w:hAnsi="宋体" w:cs="宋体"/>
                <w:color w:val="000000"/>
                <w:sz w:val="22"/>
                <w:szCs w:val="22"/>
              </w:rPr>
              <w:t>二十六、抗疫特别国债安排的支出</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57</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b/>
                <w:color w:val="000000"/>
                <w:sz w:val="22"/>
                <w:szCs w:val="22"/>
                <w:highlight w:val="none"/>
              </w:rPr>
            </w:pP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highlight w:val="none"/>
                <w:lang w:val="en-US" w:eastAsia="zh-CN"/>
              </w:rPr>
            </w:pPr>
            <w:r>
              <w:rPr>
                <w:rFonts w:hint="eastAsia" w:ascii="宋体" w:hAnsi="宋体" w:cs="宋体"/>
                <w:b/>
                <w:bCs w:val="0"/>
                <w:color w:val="000000"/>
                <w:sz w:val="22"/>
                <w:szCs w:val="22"/>
                <w:highlight w:val="none"/>
                <w:lang w:val="en-US" w:eastAsia="zh-CN"/>
              </w:rPr>
              <w:t>本年收入合计</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27</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b/>
                <w:bCs/>
                <w:color w:val="000000"/>
                <w:sz w:val="22"/>
                <w:szCs w:val="22"/>
                <w:highlight w:val="none"/>
                <w:lang w:val="en-US" w:eastAsia="zh-CN"/>
              </w:rPr>
              <w:t>241.01</w:t>
            </w:r>
          </w:p>
        </w:tc>
        <w:tc>
          <w:tcPr>
            <w:tcW w:w="46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default" w:ascii="宋体" w:hAnsi="宋体" w:eastAsia="宋体" w:cs="宋体"/>
                <w:color w:val="000000"/>
                <w:sz w:val="22"/>
                <w:szCs w:val="22"/>
                <w:lang w:val="en-US" w:eastAsia="zh-CN"/>
              </w:rPr>
            </w:pPr>
            <w:r>
              <w:rPr>
                <w:rFonts w:hint="eastAsia" w:ascii="宋体" w:hAnsi="宋体" w:cs="宋体"/>
                <w:b/>
                <w:bCs/>
                <w:color w:val="000000"/>
                <w:sz w:val="22"/>
                <w:szCs w:val="22"/>
                <w:lang w:val="en-US" w:eastAsia="zh-CN"/>
              </w:rPr>
              <w:t>本年支出合计</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58</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342.36</w:t>
            </w: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highlight w:val="none"/>
                <w:lang w:val="en-US" w:eastAsia="zh-CN"/>
              </w:rPr>
            </w:pPr>
            <w:r>
              <w:rPr>
                <w:rFonts w:hint="eastAsia" w:ascii="宋体" w:hAnsi="宋体" w:cs="宋体"/>
                <w:b w:val="0"/>
                <w:bCs/>
                <w:color w:val="000000"/>
                <w:sz w:val="22"/>
                <w:szCs w:val="22"/>
                <w:highlight w:val="none"/>
                <w:lang w:val="en-US" w:eastAsia="zh-CN"/>
              </w:rPr>
              <w:t>使用非财政拨款结余</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28</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结余分配</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59</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b/>
                <w:color w:val="000000"/>
                <w:sz w:val="22"/>
                <w:szCs w:val="22"/>
                <w:highlight w:val="none"/>
              </w:rPr>
            </w:pP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b w:val="0"/>
                <w:bCs/>
                <w:color w:val="000000"/>
                <w:sz w:val="22"/>
                <w:szCs w:val="22"/>
                <w:highlight w:val="none"/>
                <w:lang w:val="en-US" w:eastAsia="zh-CN"/>
              </w:rPr>
            </w:pPr>
            <w:r>
              <w:rPr>
                <w:rFonts w:hint="eastAsia" w:ascii="宋体" w:hAnsi="宋体" w:cs="宋体"/>
                <w:b w:val="0"/>
                <w:bCs/>
                <w:color w:val="000000"/>
                <w:sz w:val="22"/>
                <w:szCs w:val="22"/>
                <w:highlight w:val="none"/>
                <w:lang w:val="en-US" w:eastAsia="zh-CN"/>
              </w:rPr>
              <w:t>年初结转和结余</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29</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101.36</w:t>
            </w:r>
          </w:p>
        </w:tc>
        <w:tc>
          <w:tcPr>
            <w:tcW w:w="46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年末结转和结余</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60</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b/>
                <w:color w:val="000000"/>
                <w:sz w:val="22"/>
                <w:szCs w:val="22"/>
                <w:highlight w:val="none"/>
                <w:lang w:val="en-US" w:eastAsia="zh-CN"/>
              </w:rPr>
            </w:pP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b w:val="0"/>
                <w:bCs/>
                <w:color w:val="000000"/>
                <w:sz w:val="22"/>
                <w:szCs w:val="22"/>
                <w:highlight w:val="none"/>
                <w:lang w:val="en-US"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left"/>
              <w:rPr>
                <w:rFonts w:hint="eastAsia" w:ascii="宋体" w:hAnsi="宋体" w:cs="宋体"/>
                <w:color w:val="000000"/>
                <w:sz w:val="22"/>
                <w:szCs w:val="22"/>
              </w:rPr>
            </w:pP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b/>
                <w:color w:val="000000"/>
                <w:sz w:val="22"/>
                <w:szCs w:val="22"/>
                <w:highlight w:val="none"/>
              </w:rPr>
            </w:pPr>
          </w:p>
        </w:tc>
      </w:tr>
      <w:tr>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总计</w:t>
            </w:r>
          </w:p>
        </w:tc>
        <w:tc>
          <w:tcPr>
            <w:tcW w:w="8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w:t>
            </w:r>
          </w:p>
        </w:tc>
        <w:tc>
          <w:tcPr>
            <w:tcW w:w="1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b/>
                <w:bCs/>
                <w:color w:val="000000"/>
                <w:sz w:val="22"/>
                <w:szCs w:val="22"/>
                <w:highlight w:val="none"/>
                <w:lang w:val="en-US" w:eastAsia="zh-CN"/>
              </w:rPr>
              <w:t>342.36</w:t>
            </w:r>
          </w:p>
        </w:tc>
        <w:tc>
          <w:tcPr>
            <w:tcW w:w="46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60" w:lineRule="auto"/>
              <w:jc w:val="center"/>
              <w:rPr>
                <w:rFonts w:hint="eastAsia" w:ascii="宋体" w:hAnsi="宋体" w:eastAsia="宋体" w:cs="宋体"/>
                <w:color w:val="000000"/>
                <w:sz w:val="22"/>
                <w:szCs w:val="22"/>
                <w:lang w:val="en-US" w:eastAsia="zh-CN"/>
              </w:rPr>
            </w:pPr>
            <w:r>
              <w:rPr>
                <w:rFonts w:hint="eastAsia" w:ascii="宋体" w:hAnsi="宋体" w:cs="宋体"/>
                <w:b/>
                <w:bCs/>
                <w:color w:val="000000"/>
                <w:sz w:val="22"/>
                <w:szCs w:val="22"/>
                <w:lang w:val="en-US" w:eastAsia="zh-CN"/>
              </w:rPr>
              <w:t>总计</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w:t>
            </w:r>
          </w:p>
        </w:tc>
        <w:tc>
          <w:tcPr>
            <w:tcW w:w="16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宋体" w:hAnsi="宋体" w:eastAsia="宋体" w:cs="宋体"/>
                <w:b/>
                <w:color w:val="000000"/>
                <w:sz w:val="22"/>
                <w:szCs w:val="22"/>
                <w:highlight w:val="none"/>
                <w:lang w:val="en-US" w:eastAsia="zh-CN"/>
              </w:rPr>
            </w:pPr>
            <w:r>
              <w:rPr>
                <w:rFonts w:hint="eastAsia" w:ascii="宋体" w:hAnsi="宋体" w:cs="宋体"/>
                <w:b/>
                <w:color w:val="000000"/>
                <w:sz w:val="22"/>
                <w:szCs w:val="22"/>
                <w:highlight w:val="none"/>
                <w:lang w:val="en-US" w:eastAsia="zh-CN"/>
              </w:rPr>
              <w:t>342.36</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本年度的总收支和年末结转结余情况。本表金额转换为万元时，因四舍五入可能存在尾差。</w:t>
      </w:r>
    </w:p>
    <w:tbl>
      <w:tblPr>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6"/>
        <w:gridCol w:w="90"/>
        <w:gridCol w:w="2286"/>
        <w:gridCol w:w="538"/>
        <w:gridCol w:w="1292"/>
        <w:gridCol w:w="261"/>
        <w:gridCol w:w="1239"/>
        <w:gridCol w:w="314"/>
        <w:gridCol w:w="1021"/>
        <w:gridCol w:w="532"/>
        <w:gridCol w:w="803"/>
        <w:gridCol w:w="750"/>
        <w:gridCol w:w="510"/>
        <w:gridCol w:w="1043"/>
        <w:gridCol w:w="607"/>
        <w:gridCol w:w="1473"/>
      </w:tblGrid>
      <w:tr>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收入决算表</w:t>
            </w:r>
          </w:p>
        </w:tc>
      </w:tr>
      <w:tr>
        <w:trPr>
          <w:trHeight w:val="285" w:hRule="atLeast"/>
        </w:trPr>
        <w:tc>
          <w:tcPr>
            <w:tcW w:w="108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8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38"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8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rPr>
          <w:trHeight w:val="300" w:hRule="atLeast"/>
        </w:trPr>
        <w:tc>
          <w:tcPr>
            <w:tcW w:w="3462"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default" w:ascii="宋体" w:hAnsi="宋体" w:cs="宋体"/>
                <w:color w:val="000000"/>
                <w:sz w:val="20"/>
                <w:szCs w:val="20"/>
                <w:highlight w:val="none"/>
                <w:lang w:val="en-US"/>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许昌市财政投资评审中心</w:t>
            </w:r>
          </w:p>
        </w:tc>
        <w:tc>
          <w:tcPr>
            <w:tcW w:w="538"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8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rPr>
          <w:trHeight w:val="450" w:hRule="atLeast"/>
        </w:trPr>
        <w:tc>
          <w:tcPr>
            <w:tcW w:w="3462"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项目</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本年收入合计</w:t>
            </w:r>
          </w:p>
        </w:tc>
        <w:tc>
          <w:tcPr>
            <w:tcW w:w="15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财政拨款收入</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上级补助收入</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事业收入</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经营收入</w:t>
            </w:r>
          </w:p>
        </w:tc>
        <w:tc>
          <w:tcPr>
            <w:tcW w:w="16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附属单位上缴收入</w:t>
            </w:r>
          </w:p>
        </w:tc>
        <w:tc>
          <w:tcPr>
            <w:tcW w:w="1473"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其他收入</w:t>
            </w:r>
          </w:p>
        </w:tc>
      </w:tr>
      <w:tr>
        <w:trPr>
          <w:trHeight w:val="450" w:hRule="atLeast"/>
        </w:trPr>
        <w:tc>
          <w:tcPr>
            <w:tcW w:w="1086" w:type="dxa"/>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功能分类科目编码</w:t>
            </w:r>
          </w:p>
        </w:tc>
        <w:tc>
          <w:tcPr>
            <w:tcW w:w="2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科目名称</w:t>
            </w: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c>
          <w:tcPr>
            <w:tcW w:w="147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spacing w:line="360" w:lineRule="auto"/>
              <w:jc w:val="center"/>
              <w:rPr>
                <w:rFonts w:hint="eastAsia" w:ascii="宋体" w:hAnsi="宋体" w:cs="宋体"/>
                <w:color w:val="000000"/>
                <w:sz w:val="22"/>
                <w:szCs w:val="22"/>
                <w:highlight w:val="none"/>
              </w:rPr>
            </w:pPr>
          </w:p>
        </w:tc>
      </w:tr>
      <w:tr>
        <w:trPr>
          <w:trHeight w:val="331" w:hRule="atLeast"/>
        </w:trPr>
        <w:tc>
          <w:tcPr>
            <w:tcW w:w="1086" w:type="dxa"/>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50" w:hRule="atLeast"/>
        </w:trPr>
        <w:tc>
          <w:tcPr>
            <w:tcW w:w="3462"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栏次</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1</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3</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4</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6</w:t>
            </w:r>
          </w:p>
        </w:tc>
        <w:tc>
          <w:tcPr>
            <w:tcW w:w="147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7</w:t>
            </w:r>
          </w:p>
        </w:tc>
      </w:tr>
      <w:tr>
        <w:trPr>
          <w:trHeight w:val="450" w:hRule="atLeast"/>
        </w:trPr>
        <w:tc>
          <w:tcPr>
            <w:tcW w:w="3462"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合计</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241.01</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241.01</w:t>
            </w: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201</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一般公共服务支出</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213.87</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213.87</w:t>
            </w: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ascii="宋体" w:hAnsi="宋体" w:cs="宋体"/>
                <w:color w:val="000000"/>
                <w:kern w:val="0"/>
                <w:sz w:val="22"/>
                <w:szCs w:val="22"/>
              </w:rPr>
              <w:t>20106</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财政事务</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212.67</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212.67</w:t>
            </w: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ascii="宋体" w:hAnsi="宋体" w:cs="宋体"/>
                <w:color w:val="000000"/>
                <w:kern w:val="0"/>
                <w:sz w:val="22"/>
                <w:szCs w:val="22"/>
              </w:rPr>
              <w:t>2010650</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ind w:firstLine="220" w:firstLineChars="100"/>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事业运行</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212.67</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212.67</w:t>
            </w: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ascii="宋体" w:hAnsi="宋体" w:cs="宋体"/>
                <w:color w:val="000000"/>
                <w:kern w:val="0"/>
                <w:sz w:val="22"/>
                <w:szCs w:val="22"/>
              </w:rPr>
              <w:t>20129</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群众团体事务</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1.20</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1.20</w:t>
            </w: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2"/>
                <w:szCs w:val="22"/>
                <w:highlight w:val="none"/>
              </w:rPr>
            </w:pPr>
            <w:r>
              <w:rPr>
                <w:rFonts w:ascii="宋体" w:hAnsi="宋体" w:cs="宋体"/>
                <w:color w:val="000000"/>
                <w:kern w:val="0"/>
                <w:sz w:val="22"/>
                <w:szCs w:val="22"/>
              </w:rPr>
              <w:t>2012906</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ind w:firstLine="220" w:firstLineChars="100"/>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rPr>
              <w:t>工会事务</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rPr>
              <w:t>1.20</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rPr>
              <w:t>1.20</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17.08</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17.08</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行政事业单位养老支出</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17.08</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17.08</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2080502</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ind w:firstLine="220" w:firstLineChars="100"/>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事业单位离退休</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3.76</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3.76</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2080505</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ind w:firstLine="220" w:firstLineChars="100"/>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机关事业单位基本养老保险缴费支出</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13.32</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13.32</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卫生健康支出</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10.05</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10.05</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10.05</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10.05</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2101102</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ind w:firstLine="220" w:firstLineChars="100"/>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事业单位医疗</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5.21</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5.21</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450" w:hRule="atLeast"/>
        </w:trPr>
        <w:tc>
          <w:tcPr>
            <w:tcW w:w="1086"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2101103</w:t>
            </w:r>
          </w:p>
        </w:tc>
        <w:tc>
          <w:tcPr>
            <w:tcW w:w="2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spacing w:line="360" w:lineRule="auto"/>
              <w:ind w:firstLine="220" w:firstLineChars="100"/>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公务员医疗补助</w:t>
            </w:r>
          </w:p>
        </w:tc>
        <w:tc>
          <w:tcPr>
            <w:tcW w:w="183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4.84</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rPr>
              <w:t>4.84</w:t>
            </w: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3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c>
          <w:tcPr>
            <w:tcW w:w="147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p>
        </w:tc>
      </w:tr>
      <w:tr>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90"/>
        <w:gridCol w:w="482"/>
        <w:gridCol w:w="2641"/>
        <w:gridCol w:w="164"/>
        <w:gridCol w:w="90"/>
        <w:gridCol w:w="1200"/>
        <w:gridCol w:w="348"/>
        <w:gridCol w:w="254"/>
        <w:gridCol w:w="823"/>
        <w:gridCol w:w="978"/>
        <w:gridCol w:w="222"/>
        <w:gridCol w:w="1580"/>
        <w:gridCol w:w="1360"/>
        <w:gridCol w:w="187"/>
        <w:gridCol w:w="254"/>
        <w:gridCol w:w="2195"/>
      </w:tblGrid>
      <w:tr>
        <w:trPr>
          <w:trHeight w:val="435" w:hRule="atLeast"/>
        </w:trPr>
        <w:tc>
          <w:tcPr>
            <w:tcW w:w="13988" w:type="dxa"/>
            <w:gridSpan w:val="17"/>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支出决算表</w:t>
            </w:r>
          </w:p>
        </w:tc>
      </w:tr>
      <w:tr>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287"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3"/>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95" w:type="dxa"/>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 xml:space="preserve">         </w:t>
            </w:r>
            <w:r>
              <w:rPr>
                <w:rFonts w:hint="eastAsia" w:ascii="宋体" w:hAnsi="宋体" w:cs="宋体"/>
                <w:color w:val="000000"/>
                <w:kern w:val="0"/>
                <w:sz w:val="20"/>
                <w:szCs w:val="20"/>
                <w:highlight w:val="none"/>
              </w:rPr>
              <w:t>公开03表</w:t>
            </w:r>
          </w:p>
        </w:tc>
      </w:tr>
      <w:tr>
        <w:trPr>
          <w:trHeight w:val="300" w:hRule="atLeast"/>
        </w:trPr>
        <w:tc>
          <w:tcPr>
            <w:tcW w:w="4333" w:type="dxa"/>
            <w:gridSpan w:val="4"/>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许昌市财政投资评审中心</w:t>
            </w:r>
          </w:p>
        </w:tc>
        <w:tc>
          <w:tcPr>
            <w:tcW w:w="1802" w:type="dxa"/>
            <w:gridSpan w:val="4"/>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77" w:type="dxa"/>
            <w:gridSpan w:val="4"/>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8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47"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rPr>
          <w:trHeight w:val="450" w:hRule="atLeast"/>
        </w:trPr>
        <w:tc>
          <w:tcPr>
            <w:tcW w:w="4497" w:type="dxa"/>
            <w:gridSpan w:val="5"/>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29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本年支出合计</w:t>
            </w:r>
          </w:p>
        </w:tc>
        <w:tc>
          <w:tcPr>
            <w:tcW w:w="142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12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c>
          <w:tcPr>
            <w:tcW w:w="158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上缴上级支出</w:t>
            </w:r>
          </w:p>
        </w:tc>
        <w:tc>
          <w:tcPr>
            <w:tcW w:w="136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经营支出</w:t>
            </w:r>
          </w:p>
        </w:tc>
        <w:tc>
          <w:tcPr>
            <w:tcW w:w="2636"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对附属单位补助支出</w:t>
            </w:r>
          </w:p>
        </w:tc>
      </w:tr>
      <w:tr>
        <w:trPr>
          <w:trHeight w:val="450" w:hRule="atLeast"/>
        </w:trPr>
        <w:tc>
          <w:tcPr>
            <w:tcW w:w="1692" w:type="dxa"/>
            <w:gridSpan w:val="3"/>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28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29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8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6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636"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50" w:hRule="atLeast"/>
        </w:trPr>
        <w:tc>
          <w:tcPr>
            <w:tcW w:w="1692" w:type="dxa"/>
            <w:gridSpan w:val="3"/>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8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9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8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6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636"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50" w:hRule="atLeast"/>
        </w:trPr>
        <w:tc>
          <w:tcPr>
            <w:tcW w:w="4497" w:type="dxa"/>
            <w:gridSpan w:val="5"/>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2636" w:type="dxa"/>
            <w:gridSpan w:val="3"/>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rPr>
          <w:trHeight w:val="450" w:hRule="atLeast"/>
        </w:trPr>
        <w:tc>
          <w:tcPr>
            <w:tcW w:w="4497" w:type="dxa"/>
            <w:gridSpan w:val="5"/>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342.36</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278.54</w:t>
            </w: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63.82</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308.66</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244.84</w:t>
            </w: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20106</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财政事务</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307.46</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243.64</w:t>
            </w: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2010650</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243.64</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243.64</w:t>
            </w: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2010699</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其他财政事务支出</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群众团体事务</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14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1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2080502</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3.98</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3.98</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15.82</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15.82</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卫生健康支出</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2101102</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7.08</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7.08</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692" w:type="dxa"/>
            <w:gridSpan w:val="3"/>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2101103</w:t>
            </w:r>
          </w:p>
        </w:tc>
        <w:tc>
          <w:tcPr>
            <w:tcW w:w="280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29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6.82</w:t>
            </w:r>
          </w:p>
        </w:tc>
        <w:tc>
          <w:tcPr>
            <w:tcW w:w="14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6.82</w:t>
            </w:r>
          </w:p>
        </w:tc>
        <w:tc>
          <w:tcPr>
            <w:tcW w:w="12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8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630" w:hRule="atLeast"/>
        </w:trPr>
        <w:tc>
          <w:tcPr>
            <w:tcW w:w="1398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default" w:ascii="仿宋_GB2312" w:hAnsi="仿宋_GB2312" w:eastAsia="仿宋_GB2312" w:cs="仿宋_GB2312"/>
          <w:sz w:val="32"/>
          <w:szCs w:val="32"/>
          <w:highlight w:val="none"/>
          <w:lang w:val="en-US" w:eastAsia="zh-CN"/>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690"/>
        <w:gridCol w:w="840"/>
        <w:gridCol w:w="3315"/>
        <w:gridCol w:w="675"/>
        <w:gridCol w:w="1170"/>
        <w:gridCol w:w="1248"/>
        <w:gridCol w:w="617"/>
        <w:gridCol w:w="943"/>
        <w:gridCol w:w="1058"/>
      </w:tblGrid>
      <w:tr>
        <w:trPr>
          <w:trHeight w:val="360" w:hRule="atLeast"/>
        </w:trPr>
        <w:tc>
          <w:tcPr>
            <w:tcW w:w="12915"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4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31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7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7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65"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1058" w:type="dxa"/>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rPr>
          <w:trHeight w:val="300" w:hRule="atLeast"/>
        </w:trPr>
        <w:tc>
          <w:tcPr>
            <w:tcW w:w="341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许昌市财政投资评审中心</w:t>
            </w:r>
          </w:p>
        </w:tc>
        <w:tc>
          <w:tcPr>
            <w:tcW w:w="69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4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31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7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7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6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rPr>
          <w:trHeight w:val="402" w:hRule="atLeast"/>
        </w:trPr>
        <w:tc>
          <w:tcPr>
            <w:tcW w:w="4947"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收入</w:t>
            </w:r>
          </w:p>
        </w:tc>
        <w:tc>
          <w:tcPr>
            <w:tcW w:w="9026"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支出</w:t>
            </w:r>
          </w:p>
        </w:tc>
      </w:tr>
      <w:tr>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金额</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行次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sz w:val="22"/>
                <w:szCs w:val="22"/>
                <w:highlight w:val="none"/>
              </w:rPr>
              <w:t>国有资本经营预算财政拨款</w:t>
            </w: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    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2"/>
                <w:szCs w:val="22"/>
                <w:highlight w:val="none"/>
              </w:rPr>
            </w:pPr>
            <w:r>
              <w:rPr>
                <w:rFonts w:ascii="宋体" w:hAnsi="宋体" w:cs="宋体"/>
                <w:color w:val="000000"/>
                <w:kern w:val="0"/>
                <w:sz w:val="22"/>
                <w:szCs w:val="22"/>
                <w:highlight w:val="none"/>
              </w:rPr>
              <w:t>5</w:t>
            </w: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一、一般公共预算财政拨款</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241.01</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33</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308.66</w:t>
            </w: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308.66</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二、政府性基金预算财政拨款</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二、外交支出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三、国有资本经营预算财政拨款</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三、国防支出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四、公共安全支出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36</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五、教育支出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37</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六、科学技术支出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38</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w:t>
            </w:r>
          </w:p>
        </w:tc>
        <w:tc>
          <w:tcPr>
            <w:tcW w:w="11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40</w:t>
            </w:r>
          </w:p>
        </w:tc>
        <w:tc>
          <w:tcPr>
            <w:tcW w:w="117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19.80</w:t>
            </w: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19.80</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p>
        </w:tc>
        <w:tc>
          <w:tcPr>
            <w:tcW w:w="69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9</w:t>
            </w:r>
          </w:p>
        </w:tc>
        <w:tc>
          <w:tcPr>
            <w:tcW w:w="8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b/>
                <w:color w:val="000000"/>
                <w:sz w:val="22"/>
                <w:szCs w:val="22"/>
                <w:highlight w:val="none"/>
              </w:rPr>
            </w:pPr>
            <w:r>
              <w:rPr>
                <w:rFonts w:hint="eastAsia" w:ascii="宋体" w:hAnsi="宋体" w:eastAsia="宋体" w:cs="宋体"/>
                <w:i w:val="0"/>
                <w:iCs w:val="0"/>
                <w:color w:val="000000"/>
                <w:kern w:val="0"/>
                <w:sz w:val="22"/>
                <w:szCs w:val="22"/>
                <w:u w:val="none"/>
                <w:lang w:val="en-US" w:eastAsia="zh-CN"/>
              </w:rPr>
              <w:t>九、卫生健康支出</w:t>
            </w:r>
          </w:p>
        </w:tc>
        <w:tc>
          <w:tcPr>
            <w:tcW w:w="67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41</w:t>
            </w:r>
          </w:p>
        </w:tc>
        <w:tc>
          <w:tcPr>
            <w:tcW w:w="1170" w:type="dxa"/>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13.90</w:t>
            </w:r>
          </w:p>
        </w:tc>
        <w:tc>
          <w:tcPr>
            <w:tcW w:w="1248"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13.90</w:t>
            </w:r>
          </w:p>
        </w:tc>
        <w:tc>
          <w:tcPr>
            <w:tcW w:w="1560"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auto" w:sz="4" w:space="0"/>
              <w:right w:val="single" w:color="000000" w:sz="8" w:space="0"/>
            </w:tcBorders>
            <w:vAlign w:val="top"/>
          </w:tcPr>
          <w:p>
            <w:pPr>
              <w:rPr>
                <w:rFonts w:hint="eastAsia" w:ascii="宋体" w:hAnsi="宋体" w:cs="宋体"/>
                <w:b/>
                <w:color w:val="000000"/>
                <w:sz w:val="22"/>
                <w:szCs w:val="22"/>
                <w:highlight w:val="none"/>
              </w:rPr>
            </w:pPr>
          </w:p>
        </w:tc>
      </w:tr>
      <w:tr>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十、节能环保支出</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42</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11</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十一、城乡社区支出</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43</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p>
        </w:tc>
        <w:tc>
          <w:tcPr>
            <w:tcW w:w="6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12</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十二、农林水支出</w:t>
            </w:r>
          </w:p>
        </w:tc>
        <w:tc>
          <w:tcPr>
            <w:tcW w:w="6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44</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13</w:t>
            </w:r>
          </w:p>
        </w:tc>
        <w:tc>
          <w:tcPr>
            <w:tcW w:w="84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十三、交通运输支出</w:t>
            </w:r>
          </w:p>
        </w:tc>
        <w:tc>
          <w:tcPr>
            <w:tcW w:w="67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45</w:t>
            </w:r>
          </w:p>
        </w:tc>
        <w:tc>
          <w:tcPr>
            <w:tcW w:w="1170" w:type="dxa"/>
            <w:tcBorders>
              <w:top w:val="single" w:color="auto"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14</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46</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15</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47</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16</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十六、金融支出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48</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17</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49</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18</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50</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19</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十九、住房保障支出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51</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20</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52</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21</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53</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22</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54</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23</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二十三、其他支出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55</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24</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56</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25</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57</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26</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58</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b/>
                <w:color w:val="000000"/>
                <w:kern w:val="0"/>
                <w:sz w:val="22"/>
                <w:szCs w:val="22"/>
                <w:highlight w:val="none"/>
              </w:rPr>
              <w:t>本年收入合计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27</w:t>
            </w: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241.01</w:t>
            </w:r>
          </w:p>
        </w:tc>
        <w:tc>
          <w:tcPr>
            <w:tcW w:w="331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59</w:t>
            </w:r>
          </w:p>
        </w:tc>
        <w:tc>
          <w:tcPr>
            <w:tcW w:w="1170"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342.36</w:t>
            </w: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342.36</w:t>
            </w: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000000" w:sz="4" w:space="0"/>
              <w:left w:val="single" w:color="000000" w:sz="8" w:space="0"/>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rPr>
              <w:t>年初</w:t>
            </w:r>
            <w:r>
              <w:rPr>
                <w:rFonts w:hint="eastAsia" w:ascii="宋体" w:hAnsi="宋体" w:cs="宋体"/>
                <w:color w:val="000000"/>
                <w:kern w:val="0"/>
                <w:sz w:val="22"/>
                <w:szCs w:val="22"/>
                <w:highlight w:val="none"/>
              </w:rPr>
              <w:t>财政拨款结转和结余</w:t>
            </w:r>
          </w:p>
        </w:tc>
        <w:tc>
          <w:tcPr>
            <w:tcW w:w="69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28</w:t>
            </w:r>
          </w:p>
        </w:tc>
        <w:tc>
          <w:tcPr>
            <w:tcW w:w="8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101.36</w:t>
            </w:r>
          </w:p>
        </w:tc>
        <w:tc>
          <w:tcPr>
            <w:tcW w:w="3315"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67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60</w:t>
            </w:r>
          </w:p>
        </w:tc>
        <w:tc>
          <w:tcPr>
            <w:tcW w:w="1170" w:type="dxa"/>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single" w:color="auto" w:sz="4" w:space="0"/>
              <w:right w:val="single" w:color="000000" w:sz="8"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一般公共预算财政拨款</w:t>
            </w:r>
          </w:p>
        </w:tc>
        <w:tc>
          <w:tcPr>
            <w:tcW w:w="6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29</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101.36</w:t>
            </w:r>
          </w:p>
        </w:tc>
        <w:tc>
          <w:tcPr>
            <w:tcW w:w="3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61</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        政府性基金预算财政拨款</w:t>
            </w:r>
          </w:p>
        </w:tc>
        <w:tc>
          <w:tcPr>
            <w:tcW w:w="6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30</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62</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rPr>
            </w:pPr>
            <w:r>
              <w:rPr>
                <w:rFonts w:hint="eastAsia"/>
              </w:rPr>
              <w:t xml:space="preserve">       国有资本经营预算财政拨款</w:t>
            </w:r>
          </w:p>
        </w:tc>
        <w:tc>
          <w:tcPr>
            <w:tcW w:w="69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31</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63</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2"/>
                <w:szCs w:val="22"/>
                <w:highlight w:val="none"/>
              </w:rPr>
            </w:pPr>
          </w:p>
        </w:tc>
      </w:tr>
      <w:tr>
        <w:trPr>
          <w:trHeight w:val="402" w:hRule="atLeast"/>
        </w:trPr>
        <w:tc>
          <w:tcPr>
            <w:tcW w:w="3417" w:type="dxa"/>
            <w:tcBorders>
              <w:top w:val="single" w:color="auto"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总计</w:t>
            </w:r>
          </w:p>
        </w:tc>
        <w:tc>
          <w:tcPr>
            <w:tcW w:w="69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32</w:t>
            </w:r>
          </w:p>
        </w:tc>
        <w:tc>
          <w:tcPr>
            <w:tcW w:w="840"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342.36</w:t>
            </w:r>
          </w:p>
        </w:tc>
        <w:tc>
          <w:tcPr>
            <w:tcW w:w="3315" w:type="dxa"/>
            <w:tcBorders>
              <w:top w:val="single" w:color="auto"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rPr>
              <w:t>总计</w:t>
            </w:r>
          </w:p>
        </w:tc>
        <w:tc>
          <w:tcPr>
            <w:tcW w:w="67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64</w:t>
            </w:r>
          </w:p>
        </w:tc>
        <w:tc>
          <w:tcPr>
            <w:tcW w:w="1170" w:type="dxa"/>
            <w:tcBorders>
              <w:top w:val="single" w:color="auto" w:sz="4" w:space="0"/>
              <w:left w:val="nil"/>
              <w:bottom w:val="nil"/>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342.36</w:t>
            </w:r>
          </w:p>
        </w:tc>
        <w:tc>
          <w:tcPr>
            <w:tcW w:w="1248" w:type="dxa"/>
            <w:tcBorders>
              <w:top w:val="single" w:color="auto"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342.36</w:t>
            </w:r>
          </w:p>
        </w:tc>
        <w:tc>
          <w:tcPr>
            <w:tcW w:w="1560" w:type="dxa"/>
            <w:gridSpan w:val="2"/>
            <w:tcBorders>
              <w:top w:val="single" w:color="auto" w:sz="4" w:space="0"/>
              <w:left w:val="nil"/>
              <w:bottom w:val="single" w:color="000000" w:sz="8" w:space="0"/>
              <w:right w:val="single" w:color="000000" w:sz="8" w:space="0"/>
            </w:tcBorders>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auto" w:sz="4" w:space="0"/>
              <w:left w:val="nil"/>
              <w:bottom w:val="single" w:color="000000" w:sz="8" w:space="0"/>
              <w:right w:val="single" w:color="000000" w:sz="8" w:space="0"/>
            </w:tcBorders>
            <w:vAlign w:val="top"/>
          </w:tcPr>
          <w:p>
            <w:pPr>
              <w:rPr>
                <w:rFonts w:hint="eastAsia" w:ascii="宋体" w:hAnsi="宋体" w:cs="宋体"/>
                <w:b/>
                <w:color w:val="000000"/>
                <w:sz w:val="22"/>
                <w:szCs w:val="22"/>
                <w:highlight w:val="none"/>
              </w:rPr>
            </w:pPr>
          </w:p>
        </w:tc>
      </w:tr>
      <w:tr>
        <w:trPr>
          <w:trHeight w:val="585" w:hRule="atLeast"/>
        </w:trPr>
        <w:tc>
          <w:tcPr>
            <w:tcW w:w="13973"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363"/>
        <w:gridCol w:w="3311"/>
        <w:gridCol w:w="3449"/>
        <w:gridCol w:w="3451"/>
      </w:tblGrid>
      <w:tr>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一般公共预算财政拨款支出决算表</w:t>
            </w:r>
          </w:p>
        </w:tc>
      </w:tr>
      <w:tr>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363"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31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0"/>
                <w:rFonts w:hint="default"/>
                <w:highlight w:val="none"/>
              </w:rPr>
              <w:t>5表</w:t>
            </w:r>
          </w:p>
        </w:tc>
      </w:tr>
      <w:tr>
        <w:trPr>
          <w:trHeight w:val="300" w:hRule="atLeast"/>
        </w:trPr>
        <w:tc>
          <w:tcPr>
            <w:tcW w:w="3777" w:type="dxa"/>
            <w:gridSpan w:val="3"/>
            <w:tcBorders>
              <w:top w:val="nil"/>
              <w:left w:val="nil"/>
              <w:bottom w:val="nil"/>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许昌市财政投资评审中心</w:t>
            </w:r>
          </w:p>
        </w:tc>
        <w:tc>
          <w:tcPr>
            <w:tcW w:w="331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rPr>
          <w:trHeight w:val="405" w:hRule="atLeast"/>
        </w:trPr>
        <w:tc>
          <w:tcPr>
            <w:tcW w:w="3777"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 xml:space="preserve">项 </w:t>
            </w:r>
            <w:r>
              <w:rPr>
                <w:rStyle w:val="17"/>
                <w:rFonts w:hint="default"/>
                <w:sz w:val="22"/>
                <w:szCs w:val="22"/>
                <w:highlight w:val="none"/>
              </w:rPr>
              <w:t xml:space="preserve">   </w:t>
            </w:r>
            <w:r>
              <w:rPr>
                <w:rStyle w:val="13"/>
                <w:rFonts w:hint="default"/>
                <w:sz w:val="22"/>
                <w:szCs w:val="22"/>
                <w:highlight w:val="none"/>
              </w:rPr>
              <w:t>目</w:t>
            </w:r>
          </w:p>
        </w:tc>
        <w:tc>
          <w:tcPr>
            <w:tcW w:w="10211"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w:t>
            </w:r>
          </w:p>
        </w:tc>
      </w:tr>
      <w:tr>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23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331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r>
      <w:tr>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31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31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trHeight w:val="450" w:hRule="atLeast"/>
        </w:trPr>
        <w:tc>
          <w:tcPr>
            <w:tcW w:w="3777"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r>
      <w:tr>
        <w:trPr>
          <w:trHeight w:val="450" w:hRule="atLeast"/>
        </w:trPr>
        <w:tc>
          <w:tcPr>
            <w:tcW w:w="3777"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342.36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278.54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rPr>
              <w:t>63.82</w:t>
            </w:r>
          </w:p>
        </w:tc>
      </w:tr>
      <w:tr>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201</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一般公共服务支出</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308.66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244.84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r>
      <w:tr>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20106</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财政事务</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307.46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243.64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r>
      <w:tr>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2010650</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243.64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243.64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2010699</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其他财政事务支出</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63.82</w:t>
            </w:r>
          </w:p>
        </w:tc>
      </w:tr>
      <w:tr>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20129</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群众团体事务</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2012906</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1.20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208</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20805</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19.80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2080502</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3.98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3.98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2080505</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15.82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15.82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210</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卫生健康支出</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21011</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行政事业单位医疗</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13.90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2101102</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7.08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7.08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2101103</w:t>
            </w:r>
          </w:p>
        </w:tc>
        <w:tc>
          <w:tcPr>
            <w:tcW w:w="236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331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6.82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rPr>
              <w:t>6.82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2"/>
                <w:szCs w:val="22"/>
                <w:highlight w:val="none"/>
              </w:rPr>
            </w:pPr>
          </w:p>
        </w:tc>
      </w:tr>
      <w:tr>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3"/>
        <w:gridCol w:w="298"/>
        <w:gridCol w:w="1149"/>
        <w:gridCol w:w="1150"/>
        <w:gridCol w:w="269"/>
        <w:gridCol w:w="881"/>
        <w:gridCol w:w="39"/>
        <w:gridCol w:w="853"/>
        <w:gridCol w:w="259"/>
        <w:gridCol w:w="1150"/>
        <w:gridCol w:w="617"/>
        <w:gridCol w:w="534"/>
        <w:gridCol w:w="386"/>
        <w:gridCol w:w="765"/>
        <w:gridCol w:w="88"/>
        <w:gridCol w:w="1063"/>
        <w:gridCol w:w="1151"/>
        <w:gridCol w:w="619"/>
        <w:gridCol w:w="532"/>
        <w:gridCol w:w="1064"/>
        <w:gridCol w:w="87"/>
      </w:tblGrid>
      <w:tr>
        <w:trPr>
          <w:gridAfter w:val="1"/>
          <w:wAfter w:w="87" w:type="dxa"/>
          <w:trHeight w:val="435" w:hRule="atLeast"/>
        </w:trPr>
        <w:tc>
          <w:tcPr>
            <w:tcW w:w="13720" w:type="dxa"/>
            <w:gridSpan w:val="2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rPr>
              <w:t>一般公共预算财政拨款基本支出决算表</w:t>
            </w:r>
          </w:p>
        </w:tc>
      </w:tr>
      <w:tr>
        <w:trPr>
          <w:gridAfter w:val="1"/>
          <w:wAfter w:w="87" w:type="dxa"/>
          <w:trHeight w:val="405" w:hRule="atLeast"/>
        </w:trPr>
        <w:tc>
          <w:tcPr>
            <w:tcW w:w="853"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866" w:type="dxa"/>
            <w:gridSpan w:val="4"/>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20"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3"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026"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20"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853"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2833"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59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公开06表</w:t>
            </w:r>
          </w:p>
        </w:tc>
      </w:tr>
      <w:tr>
        <w:trPr>
          <w:gridAfter w:val="1"/>
          <w:wAfter w:w="87" w:type="dxa"/>
          <w:trHeight w:val="300" w:hRule="atLeast"/>
        </w:trPr>
        <w:tc>
          <w:tcPr>
            <w:tcW w:w="3719" w:type="dxa"/>
            <w:gridSpan w:val="5"/>
            <w:tcBorders>
              <w:top w:val="nil"/>
              <w:left w:val="nil"/>
              <w:bottom w:val="single" w:color="auto" w:sz="4" w:space="0"/>
              <w:right w:val="nil"/>
            </w:tcBorders>
            <w:tcMar>
              <w:top w:w="15" w:type="dxa"/>
              <w:left w:w="15" w:type="dxa"/>
              <w:right w:w="15" w:type="dxa"/>
            </w:tcMar>
            <w:vAlign w:val="center"/>
          </w:tcPr>
          <w:p>
            <w:pPr>
              <w:rPr>
                <w:rFonts w:hint="default" w:ascii="Arial" w:hAnsi="Arial" w:eastAsia="宋体" w:cs="Arial"/>
                <w:i w:val="0"/>
                <w:color w:val="000000"/>
                <w:sz w:val="20"/>
                <w:szCs w:val="20"/>
                <w:highlight w:val="none"/>
                <w:u w:val="none"/>
                <w:lang w:val="en-US"/>
              </w:rPr>
            </w:pPr>
            <w:r>
              <w:rPr>
                <w:rFonts w:hint="eastAsia" w:ascii="Arial" w:hAnsi="Arial" w:cs="Arial"/>
                <w:i w:val="0"/>
                <w:color w:val="000000"/>
                <w:kern w:val="0"/>
                <w:sz w:val="20"/>
                <w:szCs w:val="20"/>
                <w:highlight w:val="none"/>
                <w:u w:val="none"/>
                <w:lang w:val="en-US" w:eastAsia="zh-CN"/>
              </w:rPr>
              <w:t>单位</w:t>
            </w:r>
            <w:r>
              <w:rPr>
                <w:rFonts w:hint="default" w:ascii="Arial" w:hAnsi="Arial" w:eastAsia="宋体" w:cs="Arial"/>
                <w:i w:val="0"/>
                <w:color w:val="000000"/>
                <w:kern w:val="0"/>
                <w:sz w:val="20"/>
                <w:szCs w:val="20"/>
                <w:highlight w:val="none"/>
                <w:u w:val="none"/>
                <w:lang w:val="en-US" w:eastAsia="zh-CN"/>
              </w:rPr>
              <w:t>：</w:t>
            </w:r>
            <w:r>
              <w:rPr>
                <w:rFonts w:hint="eastAsia" w:ascii="Arial" w:hAnsi="Arial" w:eastAsia="宋体" w:cs="Arial"/>
                <w:i w:val="0"/>
                <w:color w:val="000000"/>
                <w:kern w:val="0"/>
                <w:sz w:val="20"/>
                <w:szCs w:val="20"/>
                <w:highlight w:val="none"/>
                <w:u w:val="none"/>
                <w:lang w:val="en-US" w:eastAsia="zh-CN"/>
              </w:rPr>
              <w:t>许昌市财政投资评审中心</w:t>
            </w:r>
          </w:p>
        </w:tc>
        <w:tc>
          <w:tcPr>
            <w:tcW w:w="920" w:type="dxa"/>
            <w:gridSpan w:val="2"/>
            <w:tcBorders>
              <w:top w:val="nil"/>
              <w:left w:val="nil"/>
              <w:bottom w:val="single" w:color="auto" w:sz="4" w:space="0"/>
              <w:right w:val="nil"/>
            </w:tcBorders>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853" w:type="dxa"/>
            <w:tcBorders>
              <w:top w:val="nil"/>
              <w:left w:val="nil"/>
              <w:bottom w:val="single" w:color="auto" w:sz="4" w:space="0"/>
              <w:right w:val="nil"/>
            </w:tcBorders>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2026" w:type="dxa"/>
            <w:gridSpan w:val="3"/>
            <w:tcBorders>
              <w:top w:val="nil"/>
              <w:left w:val="nil"/>
              <w:bottom w:val="single" w:color="auto" w:sz="4" w:space="0"/>
              <w:right w:val="nil"/>
            </w:tcBorders>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920" w:type="dxa"/>
            <w:gridSpan w:val="2"/>
            <w:tcBorders>
              <w:top w:val="nil"/>
              <w:left w:val="nil"/>
              <w:bottom w:val="single" w:color="auto" w:sz="4" w:space="0"/>
              <w:right w:val="nil"/>
            </w:tcBorders>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853" w:type="dxa"/>
            <w:gridSpan w:val="2"/>
            <w:tcBorders>
              <w:top w:val="nil"/>
              <w:left w:val="nil"/>
              <w:bottom w:val="single" w:color="auto" w:sz="4" w:space="0"/>
              <w:right w:val="nil"/>
            </w:tcBorders>
            <w:tcMar>
              <w:top w:w="15" w:type="dxa"/>
              <w:left w:w="15" w:type="dxa"/>
              <w:right w:w="15" w:type="dxa"/>
            </w:tcMar>
            <w:vAlign w:val="center"/>
          </w:tcPr>
          <w:p>
            <w:pPr>
              <w:rPr>
                <w:rFonts w:hint="default" w:ascii="Arial" w:hAnsi="Arial" w:eastAsia="宋体" w:cs="Arial"/>
                <w:i w:val="0"/>
                <w:color w:val="000000"/>
                <w:sz w:val="20"/>
                <w:szCs w:val="20"/>
                <w:highlight w:val="none"/>
                <w:u w:val="none"/>
              </w:rPr>
            </w:pPr>
          </w:p>
        </w:tc>
        <w:tc>
          <w:tcPr>
            <w:tcW w:w="4429" w:type="dxa"/>
            <w:gridSpan w:val="5"/>
            <w:tcBorders>
              <w:top w:val="nil"/>
              <w:left w:val="nil"/>
              <w:bottom w:val="single" w:color="auto" w:sz="4" w:space="0"/>
              <w:right w:val="nil"/>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金额单位：万元</w:t>
            </w:r>
          </w:p>
        </w:tc>
      </w:tr>
      <w:tr>
        <w:trPr>
          <w:gridAfter w:val="1"/>
          <w:wAfter w:w="87" w:type="dxa"/>
          <w:trHeight w:val="615"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经济分类科目编码</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科目名称</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决算数</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经济分类科目编码</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科目名称</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决算数</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经济分类科目编码</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科目名称</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决算数</w:t>
            </w: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工资福利支出</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251.80</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商品和服务支出</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22.76</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307</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债务利息及费用支出</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30101</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基本工资</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91.92</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30201</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办公费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3.42</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30701</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国内债务付息</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30102</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津贴补贴</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78.09</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30202</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印刷费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0.20</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30702</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国外债务付息</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30103</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奖金</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29.80</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30203</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咨询费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4.02</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资本性支出</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30106</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伙食补助费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30204</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手续费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31001</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房屋建筑物购建</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30107</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绩效工资</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30205</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水费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31002</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办公设备购置</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30108</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机关事业单位基本养老保险费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15.82</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30206</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电费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31003</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专用设备购置</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30109</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职业年金缴费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30207</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邮电费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0.26</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31005</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基础设施建设</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30110</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职工基本医疗保险缴费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7.08</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30208</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取暖费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31006</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大型修缮</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30111</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公务员医疗补助缴费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6.82</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30209</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物业管理费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12.00</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31007</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信息网络及软件购置更新</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30112</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其他社会保障缴费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30211</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差旅费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0.08</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31008</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物资储备</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30113</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住房公积金</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17.53</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30212</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因公出国（境）费用</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31009</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土地补偿</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30114</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医疗费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30213</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维修（护）费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0.28</w:t>
            </w: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31010</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安置补助</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30199</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其他工资福利支出</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4.74</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30214</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租赁费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31011</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地上附着物和青苗补偿</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w:t>
            </w:r>
          </w:p>
        </w:tc>
        <w:tc>
          <w:tcPr>
            <w:tcW w:w="286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对个人和家庭的补助</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3.98</w:t>
            </w:r>
          </w:p>
        </w:tc>
        <w:tc>
          <w:tcPr>
            <w:tcW w:w="8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30215</w:t>
            </w:r>
          </w:p>
        </w:tc>
        <w:tc>
          <w:tcPr>
            <w:tcW w:w="202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会议费</w:t>
            </w:r>
          </w:p>
        </w:tc>
        <w:tc>
          <w:tcPr>
            <w:tcW w:w="9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31012</w:t>
            </w:r>
          </w:p>
        </w:tc>
        <w:tc>
          <w:tcPr>
            <w:tcW w:w="2833"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rPr>
            </w:pPr>
            <w:r>
              <w:rPr>
                <w:rFonts w:hint="eastAsia"/>
                <w:lang w:val="en-US" w:eastAsia="zh-CN"/>
              </w:rPr>
              <w:t xml:space="preserve">  拆迁补偿</w:t>
            </w:r>
          </w:p>
        </w:tc>
        <w:tc>
          <w:tcPr>
            <w:tcW w:w="159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auto"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30301</w:t>
            </w:r>
          </w:p>
        </w:tc>
        <w:tc>
          <w:tcPr>
            <w:tcW w:w="2866" w:type="dxa"/>
            <w:gridSpan w:val="4"/>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离休费</w:t>
            </w:r>
          </w:p>
        </w:tc>
        <w:tc>
          <w:tcPr>
            <w:tcW w:w="92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30216</w:t>
            </w:r>
          </w:p>
        </w:tc>
        <w:tc>
          <w:tcPr>
            <w:tcW w:w="2026"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培训费</w:t>
            </w:r>
          </w:p>
        </w:tc>
        <w:tc>
          <w:tcPr>
            <w:tcW w:w="92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31013</w:t>
            </w:r>
          </w:p>
        </w:tc>
        <w:tc>
          <w:tcPr>
            <w:tcW w:w="2833"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公务用车购置</w:t>
            </w:r>
          </w:p>
        </w:tc>
        <w:tc>
          <w:tcPr>
            <w:tcW w:w="1596" w:type="dxa"/>
            <w:gridSpan w:val="2"/>
            <w:tcBorders>
              <w:top w:val="single" w:color="auto"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30302</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退休费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3.98</w:t>
            </w: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30217</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公务招待费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31019</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其他交通工具购置</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30303</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退职（役）费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30218</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专用材料费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31021</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文物和陈列品购置</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30304</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抚恤金</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30224</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被装购置费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31022</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无形资产购置</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30305</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生活补助</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30225</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专用燃料费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31099</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其他资本性支出</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30306</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救济费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30226</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劳务费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399</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其他支出</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30307</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医疗费补助</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30227</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委托业务费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39906</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赠与</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30308</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助学金</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30228</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工会经费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1.20</w:t>
            </w: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39907</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国家赔偿费用支出</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30309</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奖励金</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30229</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福利费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1.20</w:t>
            </w: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39908</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对民间非营利组织和群众性自治组织补贴</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30310</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个人农业生产补贴</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30231</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公务用车运行维护费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rPr>
              <w:t>39999</w:t>
            </w: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其他支出</w:t>
            </w: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i w:val="0"/>
                <w:color w:val="000000"/>
                <w:kern w:val="0"/>
                <w:sz w:val="22"/>
                <w:szCs w:val="22"/>
                <w:highlight w:val="none"/>
                <w:u w:val="none"/>
                <w:lang w:val="en-US" w:eastAsia="zh-CN"/>
              </w:rPr>
            </w:pPr>
            <w:r>
              <w:rPr>
                <w:rFonts w:hint="eastAsia" w:ascii="宋体" w:hAnsi="宋体" w:eastAsia="宋体" w:cs="宋体"/>
                <w:i w:val="0"/>
                <w:color w:val="000000"/>
                <w:kern w:val="0"/>
                <w:sz w:val="22"/>
                <w:szCs w:val="22"/>
                <w:highlight w:val="none"/>
                <w:u w:val="none"/>
                <w:lang w:val="en-US" w:eastAsia="zh-CN"/>
              </w:rPr>
              <w:t>301311</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 xml:space="preserve">  代缴社会保险费</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2"/>
                <w:szCs w:val="22"/>
                <w:highlight w:val="none"/>
                <w:u w:val="none"/>
                <w:lang w:val="en-US" w:eastAsia="zh-CN"/>
              </w:rPr>
            </w:pPr>
            <w:r>
              <w:rPr>
                <w:rFonts w:hint="eastAsia" w:ascii="宋体" w:hAnsi="宋体" w:eastAsia="宋体" w:cs="宋体"/>
                <w:i w:val="0"/>
                <w:color w:val="000000"/>
                <w:kern w:val="0"/>
                <w:sz w:val="22"/>
                <w:szCs w:val="22"/>
                <w:highlight w:val="none"/>
                <w:u w:val="none"/>
                <w:lang w:val="en-US" w:eastAsia="zh-CN"/>
              </w:rPr>
              <w:t>30239</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val="en-US" w:eastAsia="zh-CN"/>
              </w:rPr>
            </w:pPr>
            <w:r>
              <w:rPr>
                <w:rFonts w:hint="eastAsia"/>
                <w:lang w:val="en-US" w:eastAsia="zh-CN"/>
              </w:rPr>
              <w:t xml:space="preserve">  其他交通费用</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2"/>
                <w:szCs w:val="22"/>
                <w:highlight w:val="none"/>
                <w:u w:val="none"/>
                <w:lang w:val="en-US" w:eastAsia="zh-CN"/>
              </w:rPr>
            </w:pP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val="en-US" w:eastAsia="zh-CN"/>
              </w:rPr>
            </w:pP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30399</w:t>
            </w: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对其他个人和家庭的补助支出</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30240</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 xml:space="preserve">  税金及附加费用</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853"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8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8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30299</w:t>
            </w:r>
          </w:p>
        </w:tc>
        <w:tc>
          <w:tcPr>
            <w:tcW w:w="20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lang w:val="en-US" w:eastAsia="zh-CN"/>
              </w:rPr>
              <w:t>其他商品和服务支出</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0.09</w:t>
            </w:r>
          </w:p>
        </w:tc>
        <w:tc>
          <w:tcPr>
            <w:tcW w:w="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2"/>
                <w:szCs w:val="22"/>
                <w:highlight w:val="none"/>
                <w:u w:val="none"/>
              </w:rPr>
            </w:pPr>
          </w:p>
        </w:tc>
        <w:tc>
          <w:tcPr>
            <w:tcW w:w="2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p>
        </w:tc>
        <w:tc>
          <w:tcPr>
            <w:tcW w:w="159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rPr>
          <w:gridAfter w:val="1"/>
          <w:wAfter w:w="87" w:type="dxa"/>
          <w:trHeight w:val="252" w:hRule="atLeast"/>
        </w:trPr>
        <w:tc>
          <w:tcPr>
            <w:tcW w:w="3719" w:type="dxa"/>
            <w:gridSpan w:val="5"/>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人员经费合计</w:t>
            </w:r>
          </w:p>
        </w:tc>
        <w:tc>
          <w:tcPr>
            <w:tcW w:w="9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255.79</w:t>
            </w:r>
          </w:p>
        </w:tc>
        <w:tc>
          <w:tcPr>
            <w:tcW w:w="7485" w:type="dxa"/>
            <w:gridSpan w:val="11"/>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rPr>
              <w:t>公用经费合计</w:t>
            </w:r>
          </w:p>
        </w:tc>
        <w:tc>
          <w:tcPr>
            <w:tcW w:w="1596"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22.76</w:t>
            </w:r>
          </w:p>
        </w:tc>
      </w:tr>
      <w:tr>
        <w:trPr>
          <w:gridAfter w:val="1"/>
          <w:wAfter w:w="87" w:type="dxa"/>
          <w:trHeight w:val="390" w:hRule="atLeast"/>
        </w:trPr>
        <w:tc>
          <w:tcPr>
            <w:tcW w:w="13720" w:type="dxa"/>
            <w:gridSpan w:val="20"/>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注：本表反映</w:t>
            </w:r>
            <w:r>
              <w:rPr>
                <w:rFonts w:hint="eastAsia" w:ascii="宋体" w:hAnsi="宋体" w:cs="宋体"/>
                <w:i w:val="0"/>
                <w:color w:val="000000"/>
                <w:kern w:val="0"/>
                <w:sz w:val="20"/>
                <w:szCs w:val="20"/>
                <w:highlight w:val="none"/>
                <w:u w:val="none"/>
                <w:lang w:val="en-US" w:eastAsia="zh-CN"/>
              </w:rPr>
              <w:t>单位</w:t>
            </w:r>
            <w:r>
              <w:rPr>
                <w:rFonts w:hint="eastAsia" w:ascii="宋体" w:hAnsi="宋体" w:eastAsia="宋体" w:cs="宋体"/>
                <w:i w:val="0"/>
                <w:color w:val="000000"/>
                <w:kern w:val="0"/>
                <w:sz w:val="20"/>
                <w:szCs w:val="20"/>
                <w:highlight w:val="none"/>
                <w:u w:val="none"/>
                <w:lang w:val="en-US" w:eastAsia="zh-CN"/>
              </w:rPr>
              <w:t>本年度一般公共预算财政拨款基本支出明细情况。本表金额转换为万元时，因四舍五入可能存在尾差。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600" w:hRule="atLeast"/>
        </w:trPr>
        <w:tc>
          <w:tcPr>
            <w:tcW w:w="13807" w:type="dxa"/>
            <w:gridSpan w:val="21"/>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rPr>
            </w:pPr>
          </w:p>
          <w:p>
            <w:pPr>
              <w:widowControl/>
              <w:jc w:val="center"/>
              <w:textAlignment w:val="center"/>
              <w:rPr>
                <w:rFonts w:hint="eastAsia" w:ascii="华文中宋" w:hAnsi="华文中宋" w:eastAsia="华文中宋" w:cs="华文中宋"/>
                <w:color w:val="000000"/>
                <w:kern w:val="0"/>
                <w:sz w:val="32"/>
                <w:szCs w:val="32"/>
                <w:highlight w:val="none"/>
              </w:rPr>
            </w:pPr>
          </w:p>
          <w:p>
            <w:pPr>
              <w:pStyle w:val="2"/>
              <w:rPr>
                <w:rFonts w:hint="eastAsia"/>
              </w:rPr>
            </w:pPr>
          </w:p>
          <w:p>
            <w:pPr>
              <w:widowControl/>
              <w:jc w:val="center"/>
              <w:textAlignment w:val="center"/>
              <w:rPr>
                <w:rFonts w:hint="eastAsia" w:ascii="华文中宋" w:hAnsi="华文中宋" w:eastAsia="华文中宋" w:cs="华文中宋"/>
                <w:color w:val="000000"/>
                <w:kern w:val="0"/>
                <w:sz w:val="32"/>
                <w:szCs w:val="32"/>
                <w:highlight w:val="none"/>
              </w:rPr>
            </w:pPr>
          </w:p>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一般公共预算财政拨款“三公”经费支出决算表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222" w:hRule="atLeast"/>
        </w:trPr>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300" w:hRule="atLeast"/>
        </w:trPr>
        <w:tc>
          <w:tcPr>
            <w:tcW w:w="4600" w:type="dxa"/>
            <w:gridSpan w:val="6"/>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Arial" w:hAnsi="Arial" w:eastAsia="宋体" w:cs="Arial"/>
                <w:i w:val="0"/>
                <w:color w:val="000000"/>
                <w:kern w:val="0"/>
                <w:sz w:val="20"/>
                <w:szCs w:val="20"/>
                <w:highlight w:val="none"/>
                <w:u w:val="none"/>
                <w:lang w:val="en-US" w:eastAsia="zh-CN"/>
              </w:rPr>
              <w:t>许昌市财政投资评审中心</w:t>
            </w:r>
          </w:p>
        </w:tc>
        <w:tc>
          <w:tcPr>
            <w:tcW w:w="1151"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559" w:hRule="atLeast"/>
        </w:trPr>
        <w:tc>
          <w:tcPr>
            <w:tcW w:w="6901" w:type="dxa"/>
            <w:gridSpan w:val="10"/>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预算数</w:t>
            </w:r>
          </w:p>
        </w:tc>
        <w:tc>
          <w:tcPr>
            <w:tcW w:w="6906" w:type="dxa"/>
            <w:gridSpan w:val="11"/>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决算数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600" w:hRule="atLeast"/>
        </w:trPr>
        <w:tc>
          <w:tcPr>
            <w:tcW w:w="1151"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因公出国（境）费</w:t>
            </w:r>
          </w:p>
        </w:tc>
        <w:tc>
          <w:tcPr>
            <w:tcW w:w="345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公务接待费</w:t>
            </w:r>
          </w:p>
        </w:tc>
        <w:tc>
          <w:tcPr>
            <w:tcW w:w="1151" w:type="dxa"/>
            <w:gridSpan w:val="2"/>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15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因公出国（境）费</w:t>
            </w:r>
          </w:p>
        </w:tc>
        <w:tc>
          <w:tcPr>
            <w:tcW w:w="345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公务用车购置及运行费</w:t>
            </w:r>
          </w:p>
        </w:tc>
        <w:tc>
          <w:tcPr>
            <w:tcW w:w="1151" w:type="dxa"/>
            <w:gridSpan w:val="2"/>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公务接待费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600" w:hRule="atLeast"/>
        </w:trPr>
        <w:tc>
          <w:tcPr>
            <w:tcW w:w="1151"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15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购置费</w:t>
            </w:r>
          </w:p>
        </w:tc>
        <w:tc>
          <w:tcPr>
            <w:tcW w:w="115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gridSpan w:val="2"/>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购置费</w:t>
            </w:r>
          </w:p>
        </w:tc>
        <w:tc>
          <w:tcPr>
            <w:tcW w:w="115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公务用车</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运行费</w:t>
            </w:r>
          </w:p>
        </w:tc>
        <w:tc>
          <w:tcPr>
            <w:tcW w:w="1151" w:type="dxa"/>
            <w:gridSpan w:val="2"/>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559" w:hRule="atLeast"/>
        </w:trPr>
        <w:tc>
          <w:tcPr>
            <w:tcW w:w="1151"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1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1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7</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8</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10</w:t>
            </w:r>
          </w:p>
        </w:tc>
        <w:tc>
          <w:tcPr>
            <w:tcW w:w="11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11</w:t>
            </w:r>
          </w:p>
        </w:tc>
        <w:tc>
          <w:tcPr>
            <w:tcW w:w="115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855" w:hRule="atLeast"/>
        </w:trPr>
        <w:tc>
          <w:tcPr>
            <w:tcW w:w="1151"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PrEx>
        <w:trPr>
          <w:trHeight w:val="900" w:hRule="atLeast"/>
        </w:trPr>
        <w:tc>
          <w:tcPr>
            <w:tcW w:w="13807"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both"/>
              <w:textAlignment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说明：我单位没有预算安排的三公经费，也没有预算安排的三公支出，故本表无数据。</w:t>
            </w:r>
          </w:p>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tbl>
      <w:tblPr>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rPr>
          <w:gridAfter w:val="1"/>
          <w:wAfter w:w="30" w:type="dxa"/>
          <w:trHeight w:val="600" w:hRule="atLeast"/>
        </w:trPr>
        <w:tc>
          <w:tcPr>
            <w:tcW w:w="13988"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政府性基金预算财政拨款收入支出决算表</w:t>
            </w:r>
          </w:p>
        </w:tc>
      </w:tr>
      <w:tr>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rPr>
          <w:trHeight w:val="300" w:hRule="atLeast"/>
        </w:trPr>
        <w:tc>
          <w:tcPr>
            <w:tcW w:w="6306" w:type="dxa"/>
            <w:gridSpan w:val="6"/>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Arial" w:hAnsi="Arial" w:eastAsia="宋体" w:cs="Arial"/>
                <w:i w:val="0"/>
                <w:color w:val="000000"/>
                <w:kern w:val="0"/>
                <w:sz w:val="20"/>
                <w:szCs w:val="20"/>
                <w:highlight w:val="none"/>
                <w:u w:val="none"/>
                <w:lang w:val="en-US" w:eastAsia="zh-CN"/>
              </w:rPr>
              <w:t>许昌市财政投资评审中心</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金额</w:t>
            </w:r>
            <w:r>
              <w:rPr>
                <w:rFonts w:hint="eastAsia" w:ascii="宋体" w:hAnsi="宋体" w:cs="宋体"/>
                <w:color w:val="000000"/>
                <w:kern w:val="0"/>
                <w:sz w:val="20"/>
                <w:szCs w:val="20"/>
                <w:highlight w:val="none"/>
              </w:rPr>
              <w:t>单位：万元</w:t>
            </w:r>
          </w:p>
        </w:tc>
      </w:tr>
      <w:tr>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rPr>
              <w:t>年初</w:t>
            </w:r>
            <w:r>
              <w:rPr>
                <w:rFonts w:hint="eastAsia" w:ascii="宋体" w:hAnsi="宋体" w:cs="宋体"/>
                <w:color w:val="000000"/>
                <w:kern w:val="0"/>
                <w:sz w:val="22"/>
                <w:szCs w:val="22"/>
                <w:highlight w:val="none"/>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年末结转和结余</w:t>
            </w:r>
          </w:p>
        </w:tc>
      </w:tr>
      <w:tr>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2"/>
                <w:szCs w:val="22"/>
                <w:highlight w:val="none"/>
              </w:rPr>
            </w:pPr>
          </w:p>
        </w:tc>
      </w:tr>
      <w:tr>
        <w:trPr>
          <w:gridAfter w:val="1"/>
          <w:wAfter w:w="30" w:type="dxa"/>
          <w:trHeight w:val="645" w:hRule="atLeast"/>
        </w:trPr>
        <w:tc>
          <w:tcPr>
            <w:tcW w:w="1398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w:t>
            </w:r>
            <w:bookmarkStart w:id="1" w:name="OLE_LINK2"/>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bookmarkEnd w:id="1"/>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342.36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256.48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42.83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节约财政支出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241.01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241.01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342.36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278.54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81.36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63.82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18.64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342.36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256.48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42.83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节约财政支出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342.36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157.57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31.52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节约财政支出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342.36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308.66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占90.16%；社会保障和就业支出19.80万元，占5.78%；卫生健康支出13.90万元，占4.06%。</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281.68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342.36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121.54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财政事务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244.98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243.64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99.45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财政事务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其他财政事务支出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63.82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上一年度有结转资金。</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98.03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节省财政支出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15.82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100.64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养老基数调整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87.95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7.67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88.92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278.54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255.78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b w:val="0"/>
          <w:bCs w:val="0"/>
          <w:sz w:val="32"/>
          <w:szCs w:val="32"/>
          <w:highlight w:val="none"/>
        </w:rPr>
        <w:t>职工基本医疗保险缴费、公务员医疗补助、</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其他工资福利支出、退休费；公用经费</w:t>
      </w:r>
      <w:r>
        <w:rPr>
          <w:rFonts w:hint="eastAsia" w:ascii="仿宋_GB2312" w:hAnsi="仿宋_GB2312" w:eastAsia="仿宋_GB2312" w:cs="仿宋_GB2312"/>
          <w:sz w:val="32"/>
          <w:szCs w:val="32"/>
          <w:highlight w:val="none"/>
          <w:lang w:val="en-US" w:eastAsia="zh-CN"/>
        </w:rPr>
        <w:t>22.76</w:t>
      </w:r>
      <w:r>
        <w:rPr>
          <w:rFonts w:hint="eastAsia" w:ascii="仿宋_GB2312" w:hAnsi="仿宋_GB2312" w:eastAsia="仿宋_GB2312" w:cs="仿宋_GB2312"/>
          <w:sz w:val="32"/>
          <w:szCs w:val="32"/>
          <w:highlight w:val="none"/>
        </w:rPr>
        <w:t>万元，主要包括：办公费、印刷费、咨询费、邮电费、物业管理费、</w:t>
      </w:r>
      <w:r>
        <w:rPr>
          <w:rFonts w:hint="eastAsia" w:ascii="仿宋_GB2312" w:hAnsi="仿宋_GB2312" w:eastAsia="仿宋_GB2312" w:cs="仿宋_GB2312"/>
          <w:sz w:val="32"/>
          <w:szCs w:val="32"/>
          <w:highlight w:val="none"/>
          <w:lang w:eastAsia="zh-CN"/>
        </w:rPr>
        <w:t>差旅费、维修（护）费、</w:t>
      </w:r>
      <w:r>
        <w:rPr>
          <w:rFonts w:hint="eastAsia" w:ascii="仿宋_GB2312" w:hAnsi="仿宋_GB2312" w:eastAsia="仿宋_GB2312" w:cs="仿宋_GB2312"/>
          <w:sz w:val="32"/>
          <w:szCs w:val="32"/>
          <w:highlight w:val="none"/>
        </w:rPr>
        <w:t>工会经费、福利费、其他商品和服务支出。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bookmarkStart w:id="2" w:name="_GoBack"/>
      <w:bookmarkEnd w:id="2"/>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numPr>
          <w:numId w:val="0"/>
        </w:numPr>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不存</w:t>
      </w:r>
      <w:r>
        <w:rPr>
          <w:rFonts w:hint="eastAsia" w:ascii="仿宋_GB2312" w:hAnsi="仿宋_GB2312" w:eastAsia="仿宋_GB2312" w:cs="仿宋_GB2312"/>
          <w:sz w:val="32"/>
          <w:szCs w:val="32"/>
          <w:highlight w:val="none"/>
        </w:rPr>
        <w:t>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万元。2021年共接待国（境）外来访团组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万元。2021年共接待国（境）外来访团组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收入，也没有使用</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360" w:lineRule="auto"/>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根据年初批复的预算绩效目标，根据实际工作数量情况、通过收集财政工作实施过程资料和财政工作绩效材料等，对财政预算资金采取资金跟踪、数据核查和汇总分析等方式，大理推进财政支出绩效运行监控工作。组织人员集中学习《许昌市市级预算绩效监控管理办法》等相关文件，明确分工，完善工作措施，确保高质量完成绩效监控各项工作任务。2021年度我单位纳入预算绩效管理的支出总额为281.68万元，其中：基本支出281.68万元；支出项目0个，支出金额0万元。开展项目绩效自评项目0个，自评金额0万元；纳入重点绩效评价0个，评价金额0万元。</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590" w:lineRule="exact"/>
        <w:ind w:righ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sz w:val="32"/>
          <w:szCs w:val="32"/>
          <w:highlight w:val="none"/>
        </w:rPr>
        <w:t>按照《许昌市财政局关于开展2021年度市</w:t>
      </w:r>
      <w:r>
        <w:rPr>
          <w:rFonts w:hint="eastAsia" w:ascii="仿宋_GB2312" w:eastAsia="仿宋_GB2312"/>
          <w:sz w:val="32"/>
          <w:szCs w:val="32"/>
        </w:rPr>
        <w:t>级预算绩效自评工作的通知》（许财效）〔202</w:t>
      </w:r>
      <w:r>
        <w:rPr>
          <w:rFonts w:hint="eastAsia" w:ascii="仿宋_GB2312" w:eastAsia="仿宋_GB2312"/>
          <w:sz w:val="32"/>
          <w:szCs w:val="32"/>
          <w:lang w:val="en-US" w:eastAsia="zh-CN"/>
        </w:rPr>
        <w:t>2</w:t>
      </w:r>
      <w:r>
        <w:rPr>
          <w:rFonts w:hint="eastAsia" w:ascii="仿宋_GB2312" w:eastAsia="仿宋_GB2312"/>
          <w:sz w:val="32"/>
          <w:szCs w:val="32"/>
        </w:rPr>
        <w:t>〕1号）等文件精神，我</w:t>
      </w:r>
      <w:r>
        <w:rPr>
          <w:rFonts w:hint="eastAsia" w:ascii="仿宋_GB2312" w:eastAsia="仿宋_GB2312"/>
          <w:sz w:val="32"/>
          <w:szCs w:val="32"/>
          <w:lang w:eastAsia="zh-CN"/>
        </w:rPr>
        <w:t>单位</w:t>
      </w:r>
      <w:r>
        <w:rPr>
          <w:rFonts w:hint="eastAsia" w:ascii="仿宋_GB2312" w:eastAsia="仿宋_GB2312"/>
          <w:sz w:val="32"/>
          <w:szCs w:val="32"/>
        </w:rPr>
        <w:t>对本</w:t>
      </w:r>
      <w:r>
        <w:rPr>
          <w:rFonts w:hint="eastAsia" w:ascii="仿宋_GB2312" w:eastAsia="仿宋_GB2312"/>
          <w:sz w:val="32"/>
          <w:szCs w:val="32"/>
          <w:lang w:eastAsia="zh-CN"/>
        </w:rPr>
        <w:t>单位</w:t>
      </w:r>
      <w:r>
        <w:rPr>
          <w:rFonts w:hint="eastAsia" w:ascii="仿宋_GB2312" w:eastAsia="仿宋_GB2312"/>
          <w:sz w:val="32"/>
          <w:szCs w:val="32"/>
        </w:rPr>
        <w:t>整体绩效目标和项目支出绩效目标进行了自评。</w:t>
      </w:r>
      <w:r>
        <w:rPr>
          <w:rFonts w:hint="eastAsia" w:ascii="仿宋_GB2312" w:eastAsia="仿宋_GB2312"/>
          <w:color w:val="auto"/>
          <w:sz w:val="32"/>
          <w:szCs w:val="32"/>
          <w:highlight w:val="none"/>
        </w:rPr>
        <w:t>一是</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整体绩效自评情况：2021年我</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整体预算情况执行良好，绩效完成较好。</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w:t>
      </w:r>
    </w:p>
    <w:p>
      <w:pPr>
        <w:widowControl/>
        <w:wordWrap/>
        <w:adjustRightInd/>
        <w:snapToGrid/>
        <w:spacing w:line="590" w:lineRule="exact"/>
        <w:ind w:righ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pStyle w:val="9"/>
        <w:wordWrap/>
        <w:autoSpaceDN w:val="0"/>
        <w:adjustRightInd/>
        <w:snapToGrid/>
        <w:spacing w:line="590" w:lineRule="exact"/>
        <w:ind w:firstLine="640"/>
        <w:textAlignment w:val="auto"/>
        <w:rPr>
          <w:rFonts w:ascii="仿宋_GB2312" w:eastAsia="仿宋_GB2312"/>
          <w:sz w:val="32"/>
          <w:szCs w:val="32"/>
        </w:rPr>
      </w:pPr>
      <w:r>
        <w:rPr>
          <w:rFonts w:hint="eastAsia" w:ascii="仿宋_GB2312" w:eastAsia="仿宋_GB2312"/>
          <w:sz w:val="32"/>
          <w:szCs w:val="32"/>
        </w:rPr>
        <w:t>2021年我</w:t>
      </w:r>
      <w:r>
        <w:rPr>
          <w:rFonts w:hint="eastAsia" w:ascii="仿宋_GB2312" w:eastAsia="仿宋_GB2312"/>
          <w:sz w:val="32"/>
          <w:szCs w:val="32"/>
          <w:lang w:eastAsia="zh-CN"/>
        </w:rPr>
        <w:t>单位</w:t>
      </w:r>
      <w:r>
        <w:rPr>
          <w:rFonts w:hint="eastAsia" w:ascii="仿宋_GB2312" w:eastAsia="仿宋_GB2312"/>
          <w:sz w:val="32"/>
          <w:szCs w:val="32"/>
        </w:rPr>
        <w:t>没有开展重点绩效评价的项目。</w:t>
      </w:r>
    </w:p>
    <w:p>
      <w:pPr>
        <w:widowControl/>
        <w:wordWrap/>
        <w:adjustRightInd/>
        <w:snapToGrid/>
        <w:spacing w:line="590" w:lineRule="exact"/>
        <w:ind w:right="0" w:firstLine="640" w:firstLineChars="200"/>
        <w:jc w:val="both"/>
        <w:textAlignment w:val="auto"/>
        <w:outlineLvl w:val="2"/>
        <w:rPr>
          <w:rFonts w:hint="eastAsia" w:ascii="仿宋_GB2312" w:eastAsia="仿宋_GB2312"/>
          <w:sz w:val="32"/>
          <w:szCs w:val="32"/>
        </w:rPr>
      </w:pPr>
    </w:p>
    <w:p>
      <w:pPr>
        <w:widowControl/>
        <w:wordWrap/>
        <w:adjustRightInd/>
        <w:snapToGrid/>
        <w:spacing w:line="590" w:lineRule="exact"/>
        <w:jc w:val="left"/>
        <w:textAlignment w:val="auto"/>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libri">
    <w:altName w:val="Arial Rounded MT Bold"/>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rect id="文本框 6"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455">
    <w:nsid w:val="5971BE17"/>
    <w:multiLevelType w:val="singleLevel"/>
    <w:tmpl w:val="5971BE17"/>
    <w:lvl w:ilvl="0" w:tentative="1">
      <w:start w:val="1"/>
      <w:numFmt w:val="chineseCounting"/>
      <w:suff w:val="nothing"/>
      <w:lvlText w:val="%1、"/>
      <w:lvlJc w:val="left"/>
    </w:lvl>
  </w:abstractNum>
  <w:num w:numId="1">
    <w:abstractNumId w:val="15006264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paragraph" w:styleId="2">
    <w:name w:val="Body Text"/>
    <w:basedOn w:val="1"/>
    <w:unhideWhenUsed/>
    <w:qFormat/>
    <w:uiPriority w:val="99"/>
    <w:pPr>
      <w:spacing w:after="120"/>
    </w:pPr>
    <w:rPr>
      <w:rFonts w:ascii="Calibri" w:hAnsi="Calibri"/>
      <w:szCs w:val="24"/>
    </w:rPr>
  </w:style>
  <w:style w:type="paragraph" w:styleId="3">
    <w:name w:val="Balloon Text"/>
    <w:basedOn w:val="1"/>
    <w:link w:val="11"/>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paragraph" w:customStyle="1" w:styleId="9">
    <w:name w:val="p0"/>
    <w:qFormat/>
    <w:uiPriority w:val="0"/>
    <w:pPr>
      <w:widowControl/>
    </w:pPr>
    <w:rPr>
      <w:rFonts w:ascii="Times New Roman" w:hAnsi="Times New Roman" w:eastAsia="宋体" w:cs="Times New Roman"/>
      <w:kern w:val="0"/>
      <w:szCs w:val="21"/>
    </w:rPr>
  </w:style>
  <w:style w:type="character" w:customStyle="1" w:styleId="10">
    <w:name w:val="font11"/>
    <w:qFormat/>
    <w:uiPriority w:val="0"/>
    <w:rPr>
      <w:rFonts w:hint="eastAsia" w:ascii="宋体" w:hAnsi="宋体" w:eastAsia="宋体" w:cs="宋体"/>
      <w:color w:val="000000"/>
      <w:sz w:val="20"/>
      <w:szCs w:val="20"/>
      <w:u w:val="none"/>
    </w:rPr>
  </w:style>
  <w:style w:type="character" w:customStyle="1" w:styleId="11">
    <w:name w:val="批注框文本 Char Char Char"/>
    <w:link w:val="3"/>
    <w:uiPriority w:val="99"/>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页脚 Char Char Char"/>
    <w:link w:val="4"/>
    <w:uiPriority w:val="99"/>
    <w:rPr>
      <w:kern w:val="2"/>
      <w:sz w:val="18"/>
      <w:szCs w:val="18"/>
    </w:rPr>
  </w:style>
  <w:style w:type="character" w:customStyle="1" w:styleId="16">
    <w:name w:val="页眉 Char Char Char"/>
    <w:link w:val="5"/>
    <w:uiPriority w:val="99"/>
    <w:rPr>
      <w:kern w:val="2"/>
      <w:sz w:val="18"/>
      <w:szCs w:val="18"/>
    </w:rPr>
  </w:style>
  <w:style w:type="character" w:customStyle="1" w:styleId="1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7674</Words>
  <Characters>9286</Characters>
  <Lines>60</Lines>
  <Paragraphs>16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Administrator</cp:lastModifiedBy>
  <cp:lastPrinted>2018-07-25T18:50:00Z</cp:lastPrinted>
  <dcterms:modified xsi:type="dcterms:W3CDTF">2023-05-22T00:45:27Z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19A5E494CFCE44A3951308A972F13BF0</vt:lpwstr>
  </property>
</Properties>
</file>