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2021年度</w:t>
      </w:r>
    </w:p>
    <w:p>
      <w:pPr>
        <w:jc w:val="center"/>
        <w:rPr>
          <w:rFonts w:ascii="黑体" w:hAnsi="黑体" w:eastAsia="黑体" w:cs="黑体"/>
          <w:sz w:val="52"/>
          <w:szCs w:val="52"/>
        </w:rPr>
      </w:pPr>
      <w:r>
        <w:rPr>
          <w:rFonts w:hint="eastAsia" w:ascii="黑体" w:hAnsi="黑体" w:eastAsia="黑体" w:cs="黑体"/>
          <w:sz w:val="52"/>
          <w:szCs w:val="52"/>
        </w:rPr>
        <w:t>许昌市节约用水中心单位决算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 xml:space="preserve">  第一部分　　许昌市节约用水中心概况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 xml:space="preserve">  第二部分　　2021年度单位决算表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 xml:space="preserve"> 第三部分　　2021年度单位决算情况说明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tabs>
          <w:tab w:val="left" w:pos="1260"/>
        </w:tabs>
        <w:ind w:left="237" w:leftChars="113" w:firstLine="400" w:firstLineChars="125"/>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ind w:firstLine="640" w:firstLineChars="200"/>
        <w:jc w:val="left"/>
        <w:rPr>
          <w:rFonts w:ascii="宋体" w:hAnsi="宋体" w:cs="宋体"/>
          <w:sz w:val="32"/>
          <w:szCs w:val="32"/>
        </w:rPr>
      </w:pPr>
    </w:p>
    <w:p>
      <w:pPr>
        <w:jc w:val="left"/>
        <w:rPr>
          <w:rFonts w:ascii="黑体" w:hAnsi="黑体" w:eastAsia="黑体" w:cs="黑体"/>
          <w:sz w:val="32"/>
          <w:szCs w:val="32"/>
        </w:rPr>
      </w:pPr>
      <w:r>
        <w:rPr>
          <w:rFonts w:hint="eastAsia" w:ascii="黑体" w:hAnsi="黑体" w:eastAsia="黑体" w:cs="黑体"/>
          <w:sz w:val="32"/>
          <w:szCs w:val="32"/>
        </w:rPr>
        <w:t xml:space="preserve">  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outlineLvl w:val="0"/>
        <w:rPr>
          <w:rFonts w:ascii="黑体" w:hAnsi="黑体" w:eastAsia="黑体" w:cs="黑体"/>
          <w:sz w:val="48"/>
          <w:szCs w:val="4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宋体" w:eastAsia="黑体" w:cs="宋体"/>
          <w:kern w:val="0"/>
          <w:sz w:val="48"/>
          <w:szCs w:val="48"/>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sz w:val="48"/>
          <w:szCs w:val="48"/>
        </w:rPr>
        <w:t>第一部分  许昌市节约用水中心概况</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一、单位职责</w:t>
      </w:r>
    </w:p>
    <w:p>
      <w:pPr>
        <w:ind w:firstLine="640" w:firstLineChars="200"/>
        <w:rPr>
          <w:rFonts w:ascii="仿宋_GB2312" w:eastAsia="仿宋_GB2312"/>
          <w:sz w:val="32"/>
          <w:szCs w:val="32"/>
        </w:rPr>
      </w:pPr>
      <w:r>
        <w:rPr>
          <w:rFonts w:hint="eastAsia" w:ascii="仿宋_GB2312" w:eastAsia="仿宋_GB2312"/>
          <w:sz w:val="32"/>
          <w:szCs w:val="32"/>
        </w:rPr>
        <w:t>许昌市节约用水中心主要职能：贯彻《水法》，落实《河南省节约用水管理条例》，承担全市（含城市规划区）水资源开发利用和节约用水管理服务工作。节水宣传，核定计划用水，开展创建节水型企业（单位）和节水型小区活动，稽查地下水资源保护等。</w:t>
      </w:r>
    </w:p>
    <w:p>
      <w:pPr>
        <w:widowControl/>
        <w:ind w:firstLine="800" w:firstLineChars="250"/>
        <w:jc w:val="left"/>
        <w:rPr>
          <w:rFonts w:ascii="黑体" w:hAnsi="黑体" w:eastAsia="黑体" w:cs="黑体"/>
          <w:kern w:val="0"/>
          <w:sz w:val="32"/>
          <w:szCs w:val="32"/>
        </w:rPr>
      </w:pPr>
      <w:r>
        <w:rPr>
          <w:rFonts w:hint="eastAsia" w:ascii="黑体" w:hAnsi="黑体" w:eastAsia="黑体" w:cs="黑体"/>
          <w:kern w:val="0"/>
          <w:sz w:val="32"/>
          <w:szCs w:val="32"/>
        </w:rPr>
        <w:t>二、机构设置</w:t>
      </w:r>
    </w:p>
    <w:p>
      <w:pPr>
        <w:ind w:firstLine="640" w:firstLineChars="200"/>
        <w:rPr>
          <w:rFonts w:ascii="仿宋_GB2312" w:eastAsia="仿宋_GB2312"/>
          <w:sz w:val="32"/>
          <w:szCs w:val="32"/>
        </w:rPr>
      </w:pPr>
      <w:r>
        <w:rPr>
          <w:rFonts w:hint="eastAsia" w:ascii="仿宋_GB2312" w:eastAsia="仿宋_GB2312"/>
          <w:sz w:val="32"/>
          <w:szCs w:val="32"/>
        </w:rPr>
        <w:t>许昌市节约用水中心内设机构7个，包括：综合科、财务科、执法科、创建科、水资源科、计划科、市场监管科。</w:t>
      </w:r>
    </w:p>
    <w:p>
      <w:pPr>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从决算单位构成看，许昌市节约用水中心单位决算包括：本级决算（1个）。</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纳入本单位2021年度单位决算编制范围的单位共1个，</w:t>
      </w:r>
      <w:r>
        <w:rPr>
          <w:rFonts w:hint="eastAsia" w:ascii="仿宋_GB2312" w:hAnsi="仿宋_GB2312" w:eastAsia="仿宋_GB2312" w:cs="仿宋_GB2312"/>
          <w:kern w:val="0"/>
          <w:sz w:val="32"/>
          <w:szCs w:val="32"/>
        </w:rPr>
        <w:t>具体是：</w:t>
      </w:r>
    </w:p>
    <w:p>
      <w:pPr>
        <w:widowControl/>
        <w:ind w:firstLine="640" w:firstLineChars="200"/>
        <w:rPr>
          <w:rFonts w:ascii="仿宋_GB2312" w:hAnsi="仿宋_GB2312" w:eastAsia="仿宋_GB2312" w:cs="仿宋_GB2312"/>
          <w:sz w:val="32"/>
          <w:szCs w:val="32"/>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1.许昌市节约用水中心</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7"/>
        <w:tblW w:w="14091" w:type="dxa"/>
        <w:jc w:val="center"/>
        <w:tblLayout w:type="fixed"/>
        <w:tblCellMar>
          <w:top w:w="0" w:type="dxa"/>
          <w:left w:w="108" w:type="dxa"/>
          <w:bottom w:w="0" w:type="dxa"/>
          <w:right w:w="108" w:type="dxa"/>
        </w:tblCellMar>
      </w:tblPr>
      <w:tblGrid>
        <w:gridCol w:w="4646"/>
        <w:gridCol w:w="1052"/>
        <w:gridCol w:w="979"/>
        <w:gridCol w:w="4720"/>
        <w:gridCol w:w="898"/>
        <w:gridCol w:w="1796"/>
      </w:tblGrid>
      <w:tr>
        <w:tblPrEx>
          <w:tblCellMar>
            <w:top w:w="0" w:type="dxa"/>
            <w:left w:w="108" w:type="dxa"/>
            <w:bottom w:w="0" w:type="dxa"/>
            <w:right w:w="108" w:type="dxa"/>
          </w:tblCellMar>
        </w:tblPrEx>
        <w:trPr>
          <w:trHeight w:val="377" w:hRule="atLeast"/>
          <w:jc w:val="center"/>
        </w:trPr>
        <w:tc>
          <w:tcPr>
            <w:tcW w:w="14091" w:type="dxa"/>
            <w:gridSpan w:val="6"/>
            <w:tcBorders>
              <w:top w:val="nil"/>
              <w:left w:val="nil"/>
              <w:bottom w:val="nil"/>
              <w:right w:val="nil"/>
            </w:tcBorders>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收入支出决算总表</w:t>
            </w:r>
          </w:p>
        </w:tc>
      </w:tr>
      <w:tr>
        <w:tblPrEx>
          <w:tblCellMar>
            <w:top w:w="0" w:type="dxa"/>
            <w:left w:w="108" w:type="dxa"/>
            <w:bottom w:w="0" w:type="dxa"/>
            <w:right w:w="108" w:type="dxa"/>
          </w:tblCellMar>
        </w:tblPrEx>
        <w:trPr>
          <w:trHeight w:val="247" w:hRule="atLeast"/>
          <w:jc w:val="center"/>
        </w:trPr>
        <w:tc>
          <w:tcPr>
            <w:tcW w:w="4646"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52"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979"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72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89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796" w:type="dxa"/>
            <w:tcBorders>
              <w:top w:val="nil"/>
              <w:left w:val="nil"/>
              <w:bottom w:val="nil"/>
              <w:right w:val="nil"/>
            </w:tcBorders>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公开01表</w:t>
            </w:r>
          </w:p>
        </w:tc>
      </w:tr>
      <w:tr>
        <w:tblPrEx>
          <w:tblCellMar>
            <w:top w:w="0" w:type="dxa"/>
            <w:left w:w="108" w:type="dxa"/>
            <w:bottom w:w="0" w:type="dxa"/>
            <w:right w:w="108" w:type="dxa"/>
          </w:tblCellMar>
        </w:tblPrEx>
        <w:trPr>
          <w:trHeight w:val="247" w:hRule="atLeast"/>
          <w:jc w:val="center"/>
        </w:trPr>
        <w:tc>
          <w:tcPr>
            <w:tcW w:w="4646" w:type="dxa"/>
            <w:tcBorders>
              <w:top w:val="nil"/>
              <w:left w:val="nil"/>
              <w:bottom w:val="nil"/>
              <w:right w:val="nil"/>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单位：许昌市节约用水中心</w:t>
            </w:r>
          </w:p>
        </w:tc>
        <w:tc>
          <w:tcPr>
            <w:tcW w:w="1052"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979"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72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89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796" w:type="dxa"/>
            <w:tcBorders>
              <w:top w:val="nil"/>
              <w:left w:val="nil"/>
              <w:bottom w:val="nil"/>
              <w:right w:val="nil"/>
            </w:tcBorders>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单位：万元</w:t>
            </w:r>
          </w:p>
        </w:tc>
      </w:tr>
      <w:tr>
        <w:tblPrEx>
          <w:tblCellMar>
            <w:top w:w="0" w:type="dxa"/>
            <w:left w:w="108" w:type="dxa"/>
            <w:bottom w:w="0" w:type="dxa"/>
            <w:right w:w="108" w:type="dxa"/>
          </w:tblCellMar>
        </w:tblPrEx>
        <w:trPr>
          <w:trHeight w:val="298" w:hRule="atLeast"/>
          <w:jc w:val="center"/>
        </w:trPr>
        <w:tc>
          <w:tcPr>
            <w:tcW w:w="667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7414"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9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7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7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9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7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7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644.60</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r>
      <w:tr>
        <w:tblPrEx>
          <w:tblCellMar>
            <w:top w:w="0" w:type="dxa"/>
            <w:left w:w="108" w:type="dxa"/>
            <w:bottom w:w="0" w:type="dxa"/>
            <w:right w:w="108" w:type="dxa"/>
          </w:tblCellMar>
        </w:tblPrEx>
        <w:trPr>
          <w:trHeight w:val="90"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84.58</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22.83</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599.26</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97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89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7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nil"/>
              <w:left w:val="single" w:color="000000" w:sz="4" w:space="0"/>
              <w:bottom w:val="single" w:color="auto"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　</w:t>
            </w:r>
          </w:p>
        </w:tc>
        <w:tc>
          <w:tcPr>
            <w:tcW w:w="1052"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979"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898"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796"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898"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898"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105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644.60</w:t>
            </w:r>
          </w:p>
        </w:tc>
        <w:tc>
          <w:tcPr>
            <w:tcW w:w="472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898"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709.97</w:t>
            </w:r>
          </w:p>
        </w:tc>
      </w:tr>
      <w:tr>
        <w:tblPrEx>
          <w:tblCellMar>
            <w:top w:w="0" w:type="dxa"/>
            <w:left w:w="108" w:type="dxa"/>
            <w:bottom w:w="0" w:type="dxa"/>
            <w:right w:w="108" w:type="dxa"/>
          </w:tblCellMar>
        </w:tblPrEx>
        <w:trPr>
          <w:trHeight w:val="298" w:hRule="atLeast"/>
          <w:jc w:val="center"/>
        </w:trPr>
        <w:tc>
          <w:tcPr>
            <w:tcW w:w="464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使用非财政拨款结余</w:t>
            </w:r>
          </w:p>
        </w:tc>
        <w:tc>
          <w:tcPr>
            <w:tcW w:w="105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898"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105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65.37</w:t>
            </w:r>
          </w:p>
        </w:tc>
        <w:tc>
          <w:tcPr>
            <w:tcW w:w="472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898"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5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2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98"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8" w:hRule="atLeast"/>
          <w:jc w:val="center"/>
        </w:trPr>
        <w:tc>
          <w:tcPr>
            <w:tcW w:w="464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105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9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709.97</w:t>
            </w:r>
          </w:p>
        </w:tc>
        <w:tc>
          <w:tcPr>
            <w:tcW w:w="472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898"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709.97</w:t>
            </w:r>
          </w:p>
        </w:tc>
      </w:tr>
      <w:tr>
        <w:tblPrEx>
          <w:tblCellMar>
            <w:top w:w="0" w:type="dxa"/>
            <w:left w:w="108" w:type="dxa"/>
            <w:bottom w:w="0" w:type="dxa"/>
            <w:right w:w="108" w:type="dxa"/>
          </w:tblCellMar>
        </w:tblPrEx>
        <w:trPr>
          <w:trHeight w:val="298" w:hRule="atLeast"/>
          <w:jc w:val="center"/>
        </w:trPr>
        <w:tc>
          <w:tcPr>
            <w:tcW w:w="14091" w:type="dxa"/>
            <w:gridSpan w:val="6"/>
            <w:tcBorders>
              <w:top w:val="single" w:color="auto" w:sz="4" w:space="0"/>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注：本表反映单位本年度的总收支和年末结转结余情况。本表金额转换为万元时，因四舍五入可能存在尾差。</w:t>
            </w:r>
          </w:p>
        </w:tc>
      </w:tr>
    </w:tbl>
    <w:p>
      <w:pPr>
        <w:rPr>
          <w:rFonts w:ascii="宋体" w:hAnsi="宋体" w:cs="仿宋_GB2312"/>
          <w:sz w:val="22"/>
        </w:rPr>
        <w:sectPr>
          <w:pgSz w:w="16838" w:h="11906" w:orient="landscape"/>
          <w:pgMar w:top="720" w:right="720" w:bottom="720" w:left="720" w:header="720" w:footer="720" w:gutter="0"/>
          <w:pgNumType w:fmt="numberInDash"/>
          <w:cols w:space="720" w:num="1"/>
          <w:docGrid w:type="lines" w:linePitch="312" w:charSpace="0"/>
        </w:sectPr>
      </w:pPr>
    </w:p>
    <w:tbl>
      <w:tblPr>
        <w:tblStyle w:val="7"/>
        <w:tblpPr w:leftFromText="180" w:rightFromText="180" w:vertAnchor="page" w:horzAnchor="margin" w:tblpXSpec="center" w:tblpY="1066"/>
        <w:tblW w:w="15607" w:type="dxa"/>
        <w:tblInd w:w="0" w:type="dxa"/>
        <w:tblLayout w:type="fixed"/>
        <w:tblCellMar>
          <w:top w:w="0" w:type="dxa"/>
          <w:left w:w="108" w:type="dxa"/>
          <w:bottom w:w="0" w:type="dxa"/>
          <w:right w:w="108" w:type="dxa"/>
        </w:tblCellMar>
      </w:tblPr>
      <w:tblGrid>
        <w:gridCol w:w="401"/>
        <w:gridCol w:w="313"/>
        <w:gridCol w:w="272"/>
        <w:gridCol w:w="4600"/>
        <w:gridCol w:w="1093"/>
        <w:gridCol w:w="1072"/>
        <w:gridCol w:w="1571"/>
        <w:gridCol w:w="1985"/>
        <w:gridCol w:w="1275"/>
        <w:gridCol w:w="1560"/>
        <w:gridCol w:w="1465"/>
      </w:tblGrid>
      <w:tr>
        <w:tblPrEx>
          <w:tblCellMar>
            <w:top w:w="0" w:type="dxa"/>
            <w:left w:w="108" w:type="dxa"/>
            <w:bottom w:w="0" w:type="dxa"/>
            <w:right w:w="108" w:type="dxa"/>
          </w:tblCellMar>
        </w:tblPrEx>
        <w:trPr>
          <w:trHeight w:val="383" w:hRule="atLeast"/>
        </w:trPr>
        <w:tc>
          <w:tcPr>
            <w:tcW w:w="15607" w:type="dxa"/>
            <w:gridSpan w:val="11"/>
            <w:tcBorders>
              <w:top w:val="nil"/>
              <w:left w:val="nil"/>
              <w:bottom w:val="nil"/>
              <w:right w:val="nil"/>
            </w:tcBorders>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r>
      <w:tr>
        <w:tblPrEx>
          <w:tblCellMar>
            <w:top w:w="0" w:type="dxa"/>
            <w:left w:w="108" w:type="dxa"/>
            <w:bottom w:w="0" w:type="dxa"/>
            <w:right w:w="108" w:type="dxa"/>
          </w:tblCellMar>
        </w:tblPrEx>
        <w:trPr>
          <w:trHeight w:val="250" w:hRule="atLeast"/>
        </w:trPr>
        <w:tc>
          <w:tcPr>
            <w:tcW w:w="401" w:type="dxa"/>
            <w:tcBorders>
              <w:top w:val="nil"/>
              <w:left w:val="nil"/>
              <w:bottom w:val="nil"/>
              <w:right w:val="nil"/>
            </w:tcBorders>
            <w:vAlign w:val="bottom"/>
          </w:tcPr>
          <w:p>
            <w:pPr>
              <w:widowControl/>
              <w:jc w:val="left"/>
              <w:rPr>
                <w:rFonts w:ascii="宋体" w:hAnsi="宋体" w:cs="Arial"/>
                <w:color w:val="000000"/>
                <w:kern w:val="0"/>
                <w:sz w:val="18"/>
                <w:szCs w:val="18"/>
              </w:rPr>
            </w:pPr>
          </w:p>
        </w:tc>
        <w:tc>
          <w:tcPr>
            <w:tcW w:w="313" w:type="dxa"/>
            <w:tcBorders>
              <w:top w:val="nil"/>
              <w:left w:val="nil"/>
              <w:bottom w:val="nil"/>
              <w:right w:val="nil"/>
            </w:tcBorders>
            <w:vAlign w:val="bottom"/>
          </w:tcPr>
          <w:p>
            <w:pPr>
              <w:widowControl/>
              <w:jc w:val="left"/>
              <w:rPr>
                <w:rFonts w:ascii="宋体" w:hAnsi="宋体" w:cs="Arial"/>
                <w:color w:val="000000"/>
                <w:kern w:val="0"/>
                <w:sz w:val="18"/>
                <w:szCs w:val="18"/>
              </w:rPr>
            </w:pPr>
          </w:p>
        </w:tc>
        <w:tc>
          <w:tcPr>
            <w:tcW w:w="272" w:type="dxa"/>
            <w:tcBorders>
              <w:top w:val="nil"/>
              <w:left w:val="nil"/>
              <w:bottom w:val="nil"/>
              <w:right w:val="nil"/>
            </w:tcBorders>
            <w:vAlign w:val="bottom"/>
          </w:tcPr>
          <w:p>
            <w:pPr>
              <w:widowControl/>
              <w:jc w:val="left"/>
              <w:rPr>
                <w:rFonts w:ascii="宋体" w:hAnsi="宋体" w:cs="Arial"/>
                <w:color w:val="000000"/>
                <w:kern w:val="0"/>
                <w:sz w:val="18"/>
                <w:szCs w:val="18"/>
              </w:rPr>
            </w:pPr>
          </w:p>
        </w:tc>
        <w:tc>
          <w:tcPr>
            <w:tcW w:w="4600" w:type="dxa"/>
            <w:tcBorders>
              <w:top w:val="nil"/>
              <w:left w:val="nil"/>
              <w:bottom w:val="nil"/>
              <w:right w:val="nil"/>
            </w:tcBorders>
            <w:vAlign w:val="bottom"/>
          </w:tcPr>
          <w:p>
            <w:pPr>
              <w:widowControl/>
              <w:jc w:val="left"/>
              <w:rPr>
                <w:rFonts w:ascii="宋体" w:hAnsi="宋体" w:cs="Arial"/>
                <w:color w:val="000000"/>
                <w:kern w:val="0"/>
                <w:sz w:val="18"/>
                <w:szCs w:val="18"/>
              </w:rPr>
            </w:pPr>
          </w:p>
        </w:tc>
        <w:tc>
          <w:tcPr>
            <w:tcW w:w="1093" w:type="dxa"/>
            <w:tcBorders>
              <w:top w:val="nil"/>
              <w:left w:val="nil"/>
              <w:bottom w:val="nil"/>
              <w:right w:val="nil"/>
            </w:tcBorders>
            <w:vAlign w:val="bottom"/>
          </w:tcPr>
          <w:p>
            <w:pPr>
              <w:widowControl/>
              <w:jc w:val="left"/>
              <w:rPr>
                <w:rFonts w:ascii="宋体" w:hAnsi="宋体" w:cs="Arial"/>
                <w:color w:val="000000"/>
                <w:kern w:val="0"/>
                <w:sz w:val="18"/>
                <w:szCs w:val="18"/>
              </w:rPr>
            </w:pPr>
          </w:p>
        </w:tc>
        <w:tc>
          <w:tcPr>
            <w:tcW w:w="1072" w:type="dxa"/>
            <w:tcBorders>
              <w:top w:val="nil"/>
              <w:left w:val="nil"/>
              <w:bottom w:val="nil"/>
              <w:right w:val="nil"/>
            </w:tcBorders>
            <w:vAlign w:val="bottom"/>
          </w:tcPr>
          <w:p>
            <w:pPr>
              <w:widowControl/>
              <w:jc w:val="left"/>
              <w:rPr>
                <w:rFonts w:ascii="宋体" w:hAnsi="宋体" w:cs="Arial"/>
                <w:color w:val="000000"/>
                <w:kern w:val="0"/>
                <w:sz w:val="18"/>
                <w:szCs w:val="18"/>
              </w:rPr>
            </w:pPr>
          </w:p>
        </w:tc>
        <w:tc>
          <w:tcPr>
            <w:tcW w:w="1571" w:type="dxa"/>
            <w:tcBorders>
              <w:top w:val="nil"/>
              <w:left w:val="nil"/>
              <w:bottom w:val="nil"/>
              <w:right w:val="nil"/>
            </w:tcBorders>
            <w:vAlign w:val="bottom"/>
          </w:tcPr>
          <w:p>
            <w:pPr>
              <w:widowControl/>
              <w:jc w:val="left"/>
              <w:rPr>
                <w:rFonts w:ascii="宋体" w:hAnsi="宋体" w:cs="Arial"/>
                <w:color w:val="000000"/>
                <w:kern w:val="0"/>
                <w:sz w:val="18"/>
                <w:szCs w:val="18"/>
              </w:rPr>
            </w:pPr>
          </w:p>
        </w:tc>
        <w:tc>
          <w:tcPr>
            <w:tcW w:w="1985" w:type="dxa"/>
            <w:tcBorders>
              <w:top w:val="nil"/>
              <w:left w:val="nil"/>
              <w:bottom w:val="nil"/>
              <w:right w:val="nil"/>
            </w:tcBorders>
            <w:vAlign w:val="bottom"/>
          </w:tcPr>
          <w:p>
            <w:pPr>
              <w:widowControl/>
              <w:jc w:val="left"/>
              <w:rPr>
                <w:rFonts w:ascii="宋体" w:hAnsi="宋体" w:cs="Arial"/>
                <w:color w:val="000000"/>
                <w:kern w:val="0"/>
                <w:sz w:val="18"/>
                <w:szCs w:val="18"/>
              </w:rPr>
            </w:pPr>
          </w:p>
        </w:tc>
        <w:tc>
          <w:tcPr>
            <w:tcW w:w="1275" w:type="dxa"/>
            <w:tcBorders>
              <w:top w:val="nil"/>
              <w:left w:val="nil"/>
              <w:bottom w:val="nil"/>
              <w:right w:val="nil"/>
            </w:tcBorders>
            <w:vAlign w:val="bottom"/>
          </w:tcPr>
          <w:p>
            <w:pPr>
              <w:widowControl/>
              <w:jc w:val="left"/>
              <w:rPr>
                <w:rFonts w:ascii="宋体" w:hAnsi="宋体" w:cs="Arial"/>
                <w:color w:val="000000"/>
                <w:kern w:val="0"/>
                <w:sz w:val="18"/>
                <w:szCs w:val="18"/>
              </w:rPr>
            </w:pPr>
          </w:p>
        </w:tc>
        <w:tc>
          <w:tcPr>
            <w:tcW w:w="1560" w:type="dxa"/>
            <w:tcBorders>
              <w:top w:val="nil"/>
              <w:left w:val="nil"/>
              <w:bottom w:val="nil"/>
              <w:right w:val="nil"/>
            </w:tcBorders>
            <w:vAlign w:val="bottom"/>
          </w:tcPr>
          <w:p>
            <w:pPr>
              <w:widowControl/>
              <w:jc w:val="left"/>
              <w:rPr>
                <w:rFonts w:ascii="宋体" w:hAnsi="宋体" w:cs="Arial"/>
                <w:color w:val="000000"/>
                <w:kern w:val="0"/>
                <w:sz w:val="18"/>
                <w:szCs w:val="18"/>
              </w:rPr>
            </w:pPr>
          </w:p>
        </w:tc>
        <w:tc>
          <w:tcPr>
            <w:tcW w:w="1465" w:type="dxa"/>
            <w:tcBorders>
              <w:top w:val="nil"/>
              <w:left w:val="nil"/>
              <w:bottom w:val="nil"/>
              <w:right w:val="nil"/>
            </w:tcBorders>
            <w:vAlign w:val="bottom"/>
          </w:tcPr>
          <w:p>
            <w:pPr>
              <w:widowControl/>
              <w:wordWrap w:val="0"/>
              <w:ind w:right="400"/>
              <w:rPr>
                <w:rFonts w:ascii="宋体" w:hAnsi="宋体" w:cs="Arial"/>
                <w:color w:val="000000"/>
                <w:kern w:val="0"/>
                <w:sz w:val="18"/>
                <w:szCs w:val="18"/>
              </w:rPr>
            </w:pPr>
            <w:r>
              <w:rPr>
                <w:rFonts w:hint="eastAsia" w:ascii="宋体" w:hAnsi="宋体" w:cs="Arial"/>
                <w:color w:val="000000"/>
                <w:kern w:val="0"/>
                <w:sz w:val="18"/>
                <w:szCs w:val="18"/>
              </w:rPr>
              <w:t>公开02表</w:t>
            </w:r>
          </w:p>
        </w:tc>
      </w:tr>
      <w:tr>
        <w:tblPrEx>
          <w:tblCellMar>
            <w:top w:w="0" w:type="dxa"/>
            <w:left w:w="108" w:type="dxa"/>
            <w:bottom w:w="0" w:type="dxa"/>
            <w:right w:w="108" w:type="dxa"/>
          </w:tblCellMar>
        </w:tblPrEx>
        <w:trPr>
          <w:trHeight w:val="250" w:hRule="atLeast"/>
        </w:trPr>
        <w:tc>
          <w:tcPr>
            <w:tcW w:w="5586" w:type="dxa"/>
            <w:gridSpan w:val="4"/>
            <w:tcBorders>
              <w:top w:val="nil"/>
              <w:left w:val="nil"/>
              <w:bottom w:val="nil"/>
              <w:right w:val="nil"/>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单位：许昌市节约用水中心</w:t>
            </w:r>
          </w:p>
        </w:tc>
        <w:tc>
          <w:tcPr>
            <w:tcW w:w="1093" w:type="dxa"/>
            <w:tcBorders>
              <w:top w:val="nil"/>
              <w:left w:val="nil"/>
              <w:bottom w:val="nil"/>
              <w:right w:val="nil"/>
            </w:tcBorders>
            <w:vAlign w:val="bottom"/>
          </w:tcPr>
          <w:p>
            <w:pPr>
              <w:widowControl/>
              <w:jc w:val="left"/>
              <w:rPr>
                <w:rFonts w:ascii="宋体" w:hAnsi="宋体" w:cs="Arial"/>
                <w:color w:val="000000"/>
                <w:kern w:val="0"/>
                <w:sz w:val="18"/>
                <w:szCs w:val="18"/>
              </w:rPr>
            </w:pPr>
          </w:p>
        </w:tc>
        <w:tc>
          <w:tcPr>
            <w:tcW w:w="1072" w:type="dxa"/>
            <w:tcBorders>
              <w:top w:val="nil"/>
              <w:left w:val="nil"/>
              <w:bottom w:val="nil"/>
              <w:right w:val="nil"/>
            </w:tcBorders>
            <w:vAlign w:val="bottom"/>
          </w:tcPr>
          <w:p>
            <w:pPr>
              <w:widowControl/>
              <w:jc w:val="left"/>
              <w:rPr>
                <w:rFonts w:ascii="宋体" w:hAnsi="宋体" w:cs="Arial"/>
                <w:color w:val="000000"/>
                <w:kern w:val="0"/>
                <w:sz w:val="18"/>
                <w:szCs w:val="18"/>
              </w:rPr>
            </w:pPr>
          </w:p>
        </w:tc>
        <w:tc>
          <w:tcPr>
            <w:tcW w:w="1571" w:type="dxa"/>
            <w:tcBorders>
              <w:top w:val="nil"/>
              <w:left w:val="nil"/>
              <w:bottom w:val="nil"/>
              <w:right w:val="nil"/>
            </w:tcBorders>
            <w:vAlign w:val="bottom"/>
          </w:tcPr>
          <w:p>
            <w:pPr>
              <w:widowControl/>
              <w:jc w:val="left"/>
              <w:rPr>
                <w:rFonts w:ascii="宋体" w:hAnsi="宋体" w:cs="Arial"/>
                <w:color w:val="000000"/>
                <w:kern w:val="0"/>
                <w:sz w:val="18"/>
                <w:szCs w:val="18"/>
              </w:rPr>
            </w:pPr>
          </w:p>
        </w:tc>
        <w:tc>
          <w:tcPr>
            <w:tcW w:w="1985" w:type="dxa"/>
            <w:tcBorders>
              <w:top w:val="nil"/>
              <w:left w:val="nil"/>
              <w:bottom w:val="nil"/>
              <w:right w:val="nil"/>
            </w:tcBorders>
            <w:vAlign w:val="bottom"/>
          </w:tcPr>
          <w:p>
            <w:pPr>
              <w:widowControl/>
              <w:jc w:val="left"/>
              <w:rPr>
                <w:rFonts w:ascii="宋体" w:hAnsi="宋体" w:cs="Arial"/>
                <w:color w:val="000000"/>
                <w:kern w:val="0"/>
                <w:sz w:val="18"/>
                <w:szCs w:val="18"/>
              </w:rPr>
            </w:pPr>
          </w:p>
        </w:tc>
        <w:tc>
          <w:tcPr>
            <w:tcW w:w="1275" w:type="dxa"/>
            <w:tcBorders>
              <w:top w:val="nil"/>
              <w:left w:val="nil"/>
              <w:bottom w:val="nil"/>
              <w:right w:val="nil"/>
            </w:tcBorders>
            <w:vAlign w:val="bottom"/>
          </w:tcPr>
          <w:p>
            <w:pPr>
              <w:widowControl/>
              <w:jc w:val="left"/>
              <w:rPr>
                <w:rFonts w:ascii="宋体" w:hAnsi="宋体" w:cs="Arial"/>
                <w:color w:val="000000"/>
                <w:kern w:val="0"/>
                <w:sz w:val="18"/>
                <w:szCs w:val="18"/>
              </w:rPr>
            </w:pPr>
          </w:p>
        </w:tc>
        <w:tc>
          <w:tcPr>
            <w:tcW w:w="3025" w:type="dxa"/>
            <w:gridSpan w:val="2"/>
            <w:tcBorders>
              <w:top w:val="nil"/>
              <w:left w:val="nil"/>
              <w:bottom w:val="nil"/>
              <w:right w:val="nil"/>
            </w:tcBorders>
            <w:vAlign w:val="bottom"/>
          </w:tcPr>
          <w:p>
            <w:pPr>
              <w:widowControl/>
              <w:ind w:right="400"/>
              <w:jc w:val="right"/>
              <w:rPr>
                <w:rFonts w:ascii="宋体" w:hAnsi="宋体" w:cs="Arial"/>
                <w:color w:val="000000"/>
                <w:kern w:val="0"/>
                <w:sz w:val="18"/>
                <w:szCs w:val="18"/>
              </w:rPr>
            </w:pPr>
            <w:r>
              <w:rPr>
                <w:rFonts w:hint="eastAsia" w:ascii="宋体" w:hAnsi="宋体" w:cs="Arial"/>
                <w:color w:val="000000"/>
                <w:kern w:val="0"/>
                <w:sz w:val="18"/>
                <w:szCs w:val="18"/>
              </w:rPr>
              <w:t>单位：万元</w:t>
            </w:r>
          </w:p>
        </w:tc>
      </w:tr>
      <w:tr>
        <w:tblPrEx>
          <w:tblCellMar>
            <w:top w:w="0" w:type="dxa"/>
            <w:left w:w="108" w:type="dxa"/>
            <w:bottom w:w="0" w:type="dxa"/>
            <w:right w:w="108" w:type="dxa"/>
          </w:tblCellMar>
        </w:tblPrEx>
        <w:trPr>
          <w:trHeight w:val="302" w:hRule="atLeast"/>
        </w:trPr>
        <w:tc>
          <w:tcPr>
            <w:tcW w:w="558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09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07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157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198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127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156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146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60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0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7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8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6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6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7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8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6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6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7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8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6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2" w:hRule="atLeast"/>
        </w:trPr>
        <w:tc>
          <w:tcPr>
            <w:tcW w:w="5586"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0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07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5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98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7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5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46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trHeight w:val="302" w:hRule="atLeast"/>
        </w:trPr>
        <w:tc>
          <w:tcPr>
            <w:tcW w:w="5586"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0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644.60</w:t>
            </w:r>
          </w:p>
        </w:tc>
        <w:tc>
          <w:tcPr>
            <w:tcW w:w="107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644.60</w:t>
            </w:r>
          </w:p>
        </w:tc>
        <w:tc>
          <w:tcPr>
            <w:tcW w:w="157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98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27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5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46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2"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46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0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107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157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8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2"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46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0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107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157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8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2"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46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0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107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157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8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2"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46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0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74.80</w:t>
            </w:r>
          </w:p>
        </w:tc>
        <w:tc>
          <w:tcPr>
            <w:tcW w:w="107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74.80</w:t>
            </w:r>
          </w:p>
        </w:tc>
        <w:tc>
          <w:tcPr>
            <w:tcW w:w="157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8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2"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46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0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74.80</w:t>
            </w:r>
          </w:p>
        </w:tc>
        <w:tc>
          <w:tcPr>
            <w:tcW w:w="107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74.80</w:t>
            </w:r>
          </w:p>
        </w:tc>
        <w:tc>
          <w:tcPr>
            <w:tcW w:w="157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8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2"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46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0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35.56</w:t>
            </w:r>
          </w:p>
        </w:tc>
        <w:tc>
          <w:tcPr>
            <w:tcW w:w="107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35.56</w:t>
            </w:r>
          </w:p>
        </w:tc>
        <w:tc>
          <w:tcPr>
            <w:tcW w:w="157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8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2"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46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0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39.24</w:t>
            </w:r>
          </w:p>
        </w:tc>
        <w:tc>
          <w:tcPr>
            <w:tcW w:w="107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39.24</w:t>
            </w:r>
          </w:p>
        </w:tc>
        <w:tc>
          <w:tcPr>
            <w:tcW w:w="157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8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2"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46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0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107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157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8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2"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46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0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107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157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8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2"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46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0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107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157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8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2"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213</w:t>
            </w:r>
          </w:p>
        </w:tc>
        <w:tc>
          <w:tcPr>
            <w:tcW w:w="46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农林水支出</w:t>
            </w:r>
          </w:p>
        </w:tc>
        <w:tc>
          <w:tcPr>
            <w:tcW w:w="10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548.27</w:t>
            </w:r>
          </w:p>
        </w:tc>
        <w:tc>
          <w:tcPr>
            <w:tcW w:w="107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548.27</w:t>
            </w:r>
          </w:p>
        </w:tc>
        <w:tc>
          <w:tcPr>
            <w:tcW w:w="157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8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2"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21303</w:t>
            </w:r>
          </w:p>
        </w:tc>
        <w:tc>
          <w:tcPr>
            <w:tcW w:w="46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水利</w:t>
            </w:r>
          </w:p>
        </w:tc>
        <w:tc>
          <w:tcPr>
            <w:tcW w:w="10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548.27</w:t>
            </w:r>
          </w:p>
        </w:tc>
        <w:tc>
          <w:tcPr>
            <w:tcW w:w="107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548.27</w:t>
            </w:r>
          </w:p>
        </w:tc>
        <w:tc>
          <w:tcPr>
            <w:tcW w:w="157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8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2"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2130311</w:t>
            </w:r>
          </w:p>
        </w:tc>
        <w:tc>
          <w:tcPr>
            <w:tcW w:w="46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水资源节约管理与保护</w:t>
            </w:r>
          </w:p>
        </w:tc>
        <w:tc>
          <w:tcPr>
            <w:tcW w:w="10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548.27</w:t>
            </w:r>
          </w:p>
        </w:tc>
        <w:tc>
          <w:tcPr>
            <w:tcW w:w="107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548.27</w:t>
            </w:r>
          </w:p>
        </w:tc>
        <w:tc>
          <w:tcPr>
            <w:tcW w:w="157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8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2"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7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7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8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2" w:hRule="atLeast"/>
        </w:trPr>
        <w:tc>
          <w:tcPr>
            <w:tcW w:w="15607" w:type="dxa"/>
            <w:gridSpan w:val="11"/>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注：本表反映单位本年度取得的各项收入情况。本表金额转换为万元时，因四舍五入可能存在尾差。</w:t>
            </w:r>
          </w:p>
        </w:tc>
      </w:tr>
    </w:tbl>
    <w:p>
      <w:pPr>
        <w:rPr>
          <w:rFonts w:ascii="仿宋_GB2312" w:hAnsi="仿宋_GB2312" w:eastAsia="仿宋_GB2312" w:cs="仿宋_GB2312"/>
          <w:sz w:val="32"/>
          <w:szCs w:val="32"/>
        </w:rPr>
        <w:sectPr>
          <w:pgSz w:w="16838" w:h="11906" w:orient="landscape"/>
          <w:pgMar w:top="720" w:right="720" w:bottom="720" w:left="720" w:header="720" w:footer="720" w:gutter="0"/>
          <w:pgNumType w:fmt="numberInDash"/>
          <w:cols w:space="720" w:num="1"/>
          <w:docGrid w:type="lines" w:linePitch="312" w:charSpace="0"/>
        </w:sectPr>
      </w:pPr>
    </w:p>
    <w:tbl>
      <w:tblPr>
        <w:tblStyle w:val="7"/>
        <w:tblW w:w="15922" w:type="dxa"/>
        <w:jc w:val="center"/>
        <w:tblLayout w:type="fixed"/>
        <w:tblCellMar>
          <w:top w:w="0" w:type="dxa"/>
          <w:left w:w="108" w:type="dxa"/>
          <w:bottom w:w="0" w:type="dxa"/>
          <w:right w:w="108" w:type="dxa"/>
        </w:tblCellMar>
      </w:tblPr>
      <w:tblGrid>
        <w:gridCol w:w="401"/>
        <w:gridCol w:w="313"/>
        <w:gridCol w:w="272"/>
        <w:gridCol w:w="2756"/>
        <w:gridCol w:w="101"/>
        <w:gridCol w:w="378"/>
        <w:gridCol w:w="1366"/>
        <w:gridCol w:w="665"/>
        <w:gridCol w:w="407"/>
        <w:gridCol w:w="1436"/>
        <w:gridCol w:w="442"/>
        <w:gridCol w:w="1079"/>
        <w:gridCol w:w="479"/>
        <w:gridCol w:w="126"/>
        <w:gridCol w:w="194"/>
        <w:gridCol w:w="556"/>
        <w:gridCol w:w="810"/>
        <w:gridCol w:w="176"/>
        <w:gridCol w:w="380"/>
        <w:gridCol w:w="294"/>
        <w:gridCol w:w="818"/>
        <w:gridCol w:w="50"/>
        <w:gridCol w:w="1542"/>
        <w:gridCol w:w="270"/>
        <w:gridCol w:w="611"/>
      </w:tblGrid>
      <w:tr>
        <w:tblPrEx>
          <w:tblCellMar>
            <w:top w:w="0" w:type="dxa"/>
            <w:left w:w="108" w:type="dxa"/>
            <w:bottom w:w="0" w:type="dxa"/>
            <w:right w:w="108" w:type="dxa"/>
          </w:tblCellMar>
        </w:tblPrEx>
        <w:trPr>
          <w:gridAfter w:val="1"/>
          <w:wAfter w:w="611" w:type="dxa"/>
          <w:trHeight w:val="387" w:hRule="atLeast"/>
          <w:jc w:val="center"/>
        </w:trPr>
        <w:tc>
          <w:tcPr>
            <w:tcW w:w="15311" w:type="dxa"/>
            <w:gridSpan w:val="24"/>
            <w:tcBorders>
              <w:top w:val="nil"/>
              <w:left w:val="nil"/>
              <w:bottom w:val="nil"/>
              <w:right w:val="nil"/>
            </w:tcBorders>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blPrEx>
          <w:tblCellMar>
            <w:top w:w="0" w:type="dxa"/>
            <w:left w:w="108" w:type="dxa"/>
            <w:bottom w:w="0" w:type="dxa"/>
            <w:right w:w="108" w:type="dxa"/>
          </w:tblCellMar>
        </w:tblPrEx>
        <w:trPr>
          <w:trHeight w:val="255" w:hRule="atLeast"/>
          <w:jc w:val="center"/>
        </w:trPr>
        <w:tc>
          <w:tcPr>
            <w:tcW w:w="3843" w:type="dxa"/>
            <w:gridSpan w:val="5"/>
            <w:vMerge w:val="restart"/>
            <w:tcBorders>
              <w:top w:val="nil"/>
              <w:left w:val="nil"/>
              <w:bottom w:val="nil"/>
              <w:right w:val="nil"/>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单位：许昌市节约用水中心</w:t>
            </w:r>
          </w:p>
        </w:tc>
        <w:tc>
          <w:tcPr>
            <w:tcW w:w="12079" w:type="dxa"/>
            <w:gridSpan w:val="20"/>
            <w:tcBorders>
              <w:top w:val="nil"/>
              <w:left w:val="nil"/>
              <w:bottom w:val="nil"/>
              <w:right w:val="nil"/>
            </w:tcBorders>
            <w:vAlign w:val="bottom"/>
          </w:tcPr>
          <w:p>
            <w:pPr>
              <w:widowControl/>
              <w:ind w:right="400"/>
              <w:jc w:val="center"/>
              <w:rPr>
                <w:rFonts w:ascii="宋体" w:hAnsi="宋体" w:cs="Arial"/>
                <w:color w:val="000000"/>
                <w:kern w:val="0"/>
                <w:sz w:val="18"/>
                <w:szCs w:val="18"/>
              </w:rPr>
            </w:pPr>
            <w:r>
              <w:rPr>
                <w:rFonts w:hint="eastAsia" w:ascii="宋体" w:hAnsi="宋体" w:cs="Arial"/>
                <w:color w:val="000000"/>
                <w:kern w:val="0"/>
                <w:sz w:val="18"/>
                <w:szCs w:val="18"/>
              </w:rPr>
              <w:t xml:space="preserve">                                                                                                         公开03表</w:t>
            </w:r>
          </w:p>
        </w:tc>
      </w:tr>
      <w:tr>
        <w:tblPrEx>
          <w:tblCellMar>
            <w:top w:w="0" w:type="dxa"/>
            <w:left w:w="108" w:type="dxa"/>
            <w:bottom w:w="0" w:type="dxa"/>
            <w:right w:w="108" w:type="dxa"/>
          </w:tblCellMar>
        </w:tblPrEx>
        <w:trPr>
          <w:trHeight w:val="255" w:hRule="atLeast"/>
          <w:jc w:val="center"/>
        </w:trPr>
        <w:tc>
          <w:tcPr>
            <w:tcW w:w="3843" w:type="dxa"/>
            <w:gridSpan w:val="5"/>
            <w:vMerge w:val="continue"/>
            <w:tcBorders>
              <w:top w:val="nil"/>
              <w:left w:val="nil"/>
              <w:bottom w:val="nil"/>
              <w:right w:val="nil"/>
            </w:tcBorders>
            <w:vAlign w:val="center"/>
          </w:tcPr>
          <w:p>
            <w:pPr>
              <w:widowControl/>
              <w:jc w:val="left"/>
              <w:rPr>
                <w:rFonts w:ascii="宋体" w:hAnsi="宋体" w:cs="Arial"/>
                <w:color w:val="000000"/>
                <w:kern w:val="0"/>
                <w:sz w:val="18"/>
                <w:szCs w:val="18"/>
              </w:rPr>
            </w:pPr>
          </w:p>
        </w:tc>
        <w:tc>
          <w:tcPr>
            <w:tcW w:w="12079" w:type="dxa"/>
            <w:gridSpan w:val="20"/>
            <w:tcBorders>
              <w:top w:val="nil"/>
              <w:left w:val="nil"/>
              <w:bottom w:val="single" w:color="auto" w:sz="4" w:space="0"/>
              <w:right w:val="single" w:color="000000" w:sz="4" w:space="0"/>
            </w:tcBorders>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xml:space="preserve"> 单位：万元</w:t>
            </w:r>
          </w:p>
        </w:tc>
      </w:tr>
      <w:tr>
        <w:tblPrEx>
          <w:tblCellMar>
            <w:top w:w="0" w:type="dxa"/>
            <w:left w:w="108" w:type="dxa"/>
            <w:bottom w:w="0" w:type="dxa"/>
            <w:right w:w="108" w:type="dxa"/>
          </w:tblCellMar>
        </w:tblPrEx>
        <w:trPr>
          <w:trHeight w:val="308" w:hRule="atLeast"/>
          <w:jc w:val="center"/>
        </w:trPr>
        <w:tc>
          <w:tcPr>
            <w:tcW w:w="3843"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2409" w:type="dxa"/>
            <w:gridSpan w:val="3"/>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843" w:type="dxa"/>
            <w:gridSpan w:val="2"/>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126" w:type="dxa"/>
            <w:gridSpan w:val="4"/>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560" w:type="dxa"/>
            <w:gridSpan w:val="3"/>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850" w:type="dxa"/>
            <w:gridSpan w:val="3"/>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3291" w:type="dxa"/>
            <w:gridSpan w:val="5"/>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trHeight w:val="312" w:hRule="atLeast"/>
          <w:jc w:val="center"/>
        </w:trPr>
        <w:tc>
          <w:tcPr>
            <w:tcW w:w="986" w:type="dxa"/>
            <w:gridSpan w:val="3"/>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2857" w:type="dxa"/>
            <w:gridSpan w:val="2"/>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409"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4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212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56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85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329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jc w:val="center"/>
        </w:trPr>
        <w:tc>
          <w:tcPr>
            <w:tcW w:w="98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285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2409"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4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212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56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85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329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jc w:val="center"/>
        </w:trPr>
        <w:tc>
          <w:tcPr>
            <w:tcW w:w="98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285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2409"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4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212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56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85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329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3843"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409" w:type="dxa"/>
            <w:gridSpan w:val="3"/>
            <w:tcBorders>
              <w:top w:val="nil"/>
              <w:left w:val="nil"/>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843"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126" w:type="dxa"/>
            <w:gridSpan w:val="4"/>
            <w:tcBorders>
              <w:top w:val="nil"/>
              <w:left w:val="nil"/>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560" w:type="dxa"/>
            <w:gridSpan w:val="3"/>
            <w:tcBorders>
              <w:top w:val="nil"/>
              <w:left w:val="nil"/>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850" w:type="dxa"/>
            <w:gridSpan w:val="3"/>
            <w:tcBorders>
              <w:top w:val="nil"/>
              <w:left w:val="nil"/>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3291" w:type="dxa"/>
            <w:gridSpan w:val="5"/>
            <w:tcBorders>
              <w:top w:val="nil"/>
              <w:left w:val="nil"/>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jc w:val="center"/>
        </w:trPr>
        <w:tc>
          <w:tcPr>
            <w:tcW w:w="3843"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2409"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709.97</w:t>
            </w:r>
          </w:p>
        </w:tc>
        <w:tc>
          <w:tcPr>
            <w:tcW w:w="1843"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709.97</w:t>
            </w:r>
          </w:p>
        </w:tc>
        <w:tc>
          <w:tcPr>
            <w:tcW w:w="2126"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560"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50"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3291"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2857"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2409"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1843"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2126"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91"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2857"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2409"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1843"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2126"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91"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2857"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240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1843"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2126"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91" w:type="dxa"/>
            <w:gridSpan w:val="5"/>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2857"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240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84.58</w:t>
            </w:r>
          </w:p>
        </w:tc>
        <w:tc>
          <w:tcPr>
            <w:tcW w:w="1843"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84.58</w:t>
            </w:r>
          </w:p>
        </w:tc>
        <w:tc>
          <w:tcPr>
            <w:tcW w:w="2126"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91" w:type="dxa"/>
            <w:gridSpan w:val="5"/>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2857"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240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84.58</w:t>
            </w:r>
          </w:p>
        </w:tc>
        <w:tc>
          <w:tcPr>
            <w:tcW w:w="1843"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84.58</w:t>
            </w:r>
          </w:p>
        </w:tc>
        <w:tc>
          <w:tcPr>
            <w:tcW w:w="2126"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91" w:type="dxa"/>
            <w:gridSpan w:val="5"/>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2857"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240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38.61</w:t>
            </w:r>
          </w:p>
        </w:tc>
        <w:tc>
          <w:tcPr>
            <w:tcW w:w="1843"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38.61</w:t>
            </w:r>
          </w:p>
        </w:tc>
        <w:tc>
          <w:tcPr>
            <w:tcW w:w="2126"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91" w:type="dxa"/>
            <w:gridSpan w:val="5"/>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2857"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240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45.97</w:t>
            </w:r>
          </w:p>
        </w:tc>
        <w:tc>
          <w:tcPr>
            <w:tcW w:w="1843"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45.97</w:t>
            </w:r>
          </w:p>
        </w:tc>
        <w:tc>
          <w:tcPr>
            <w:tcW w:w="2126"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91" w:type="dxa"/>
            <w:gridSpan w:val="5"/>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2857"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240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22.83</w:t>
            </w:r>
          </w:p>
        </w:tc>
        <w:tc>
          <w:tcPr>
            <w:tcW w:w="1843"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22.83</w:t>
            </w:r>
          </w:p>
        </w:tc>
        <w:tc>
          <w:tcPr>
            <w:tcW w:w="2126"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91" w:type="dxa"/>
            <w:gridSpan w:val="5"/>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2857"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240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22.83</w:t>
            </w:r>
          </w:p>
        </w:tc>
        <w:tc>
          <w:tcPr>
            <w:tcW w:w="1843"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22.83</w:t>
            </w:r>
          </w:p>
        </w:tc>
        <w:tc>
          <w:tcPr>
            <w:tcW w:w="2126"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91" w:type="dxa"/>
            <w:gridSpan w:val="5"/>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2857"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240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22.83</w:t>
            </w:r>
          </w:p>
        </w:tc>
        <w:tc>
          <w:tcPr>
            <w:tcW w:w="1843"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22.83</w:t>
            </w:r>
          </w:p>
        </w:tc>
        <w:tc>
          <w:tcPr>
            <w:tcW w:w="2126"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91" w:type="dxa"/>
            <w:gridSpan w:val="5"/>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213</w:t>
            </w:r>
          </w:p>
        </w:tc>
        <w:tc>
          <w:tcPr>
            <w:tcW w:w="2857"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农林水支出</w:t>
            </w:r>
          </w:p>
        </w:tc>
        <w:tc>
          <w:tcPr>
            <w:tcW w:w="240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599.26</w:t>
            </w:r>
          </w:p>
        </w:tc>
        <w:tc>
          <w:tcPr>
            <w:tcW w:w="1843"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599.26</w:t>
            </w:r>
          </w:p>
        </w:tc>
        <w:tc>
          <w:tcPr>
            <w:tcW w:w="2126"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91" w:type="dxa"/>
            <w:gridSpan w:val="5"/>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21303</w:t>
            </w:r>
          </w:p>
        </w:tc>
        <w:tc>
          <w:tcPr>
            <w:tcW w:w="2857"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水利</w:t>
            </w:r>
          </w:p>
        </w:tc>
        <w:tc>
          <w:tcPr>
            <w:tcW w:w="240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599.26</w:t>
            </w:r>
          </w:p>
        </w:tc>
        <w:tc>
          <w:tcPr>
            <w:tcW w:w="1843"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599.26</w:t>
            </w:r>
          </w:p>
        </w:tc>
        <w:tc>
          <w:tcPr>
            <w:tcW w:w="2126"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91" w:type="dxa"/>
            <w:gridSpan w:val="5"/>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2130304</w:t>
            </w:r>
          </w:p>
        </w:tc>
        <w:tc>
          <w:tcPr>
            <w:tcW w:w="2857"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水利行业业务管理</w:t>
            </w:r>
          </w:p>
        </w:tc>
        <w:tc>
          <w:tcPr>
            <w:tcW w:w="240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1.35</w:t>
            </w:r>
          </w:p>
        </w:tc>
        <w:tc>
          <w:tcPr>
            <w:tcW w:w="1843"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1.35</w:t>
            </w:r>
          </w:p>
        </w:tc>
        <w:tc>
          <w:tcPr>
            <w:tcW w:w="2126"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91" w:type="dxa"/>
            <w:gridSpan w:val="5"/>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2130311</w:t>
            </w:r>
          </w:p>
        </w:tc>
        <w:tc>
          <w:tcPr>
            <w:tcW w:w="2857"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水资源节约管理与保护</w:t>
            </w:r>
          </w:p>
        </w:tc>
        <w:tc>
          <w:tcPr>
            <w:tcW w:w="240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597.91</w:t>
            </w:r>
          </w:p>
        </w:tc>
        <w:tc>
          <w:tcPr>
            <w:tcW w:w="1843"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597.91</w:t>
            </w:r>
          </w:p>
        </w:tc>
        <w:tc>
          <w:tcPr>
            <w:tcW w:w="2126"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91" w:type="dxa"/>
            <w:gridSpan w:val="5"/>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5922" w:type="dxa"/>
            <w:gridSpan w:val="25"/>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注：本表反映单位本年度各项支出情况。本表金额转换为万元时，因四舍五入可能存在尾差。</w:t>
            </w:r>
          </w:p>
        </w:tc>
      </w:tr>
      <w:tr>
        <w:tblPrEx>
          <w:tblCellMar>
            <w:top w:w="0" w:type="dxa"/>
            <w:left w:w="108" w:type="dxa"/>
            <w:bottom w:w="0" w:type="dxa"/>
            <w:right w:w="108" w:type="dxa"/>
          </w:tblCellMar>
        </w:tblPrEx>
        <w:trPr>
          <w:trHeight w:val="255" w:hRule="atLeast"/>
          <w:jc w:val="center"/>
        </w:trPr>
        <w:tc>
          <w:tcPr>
            <w:tcW w:w="4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673" w:type="dxa"/>
            <w:gridSpan w:val="6"/>
            <w:tcBorders>
              <w:top w:val="nil"/>
              <w:left w:val="nil"/>
              <w:bottom w:val="nil"/>
              <w:right w:val="nil"/>
            </w:tcBorders>
            <w:vAlign w:val="bottom"/>
          </w:tcPr>
          <w:p>
            <w:pPr>
              <w:widowControl/>
              <w:jc w:val="left"/>
              <w:rPr>
                <w:rFonts w:ascii="Arial" w:hAnsi="Arial" w:cs="Arial"/>
                <w:color w:val="000000"/>
                <w:kern w:val="0"/>
                <w:sz w:val="20"/>
                <w:szCs w:val="20"/>
              </w:rPr>
            </w:pPr>
          </w:p>
        </w:tc>
        <w:tc>
          <w:tcPr>
            <w:tcW w:w="187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878"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542"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542"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5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8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gridAfter w:val="1"/>
          <w:wAfter w:w="611" w:type="dxa"/>
          <w:trHeight w:val="1411" w:hRule="atLeast"/>
          <w:jc w:val="center"/>
        </w:trPr>
        <w:tc>
          <w:tcPr>
            <w:tcW w:w="15311" w:type="dxa"/>
            <w:gridSpan w:val="24"/>
            <w:tcBorders>
              <w:top w:val="nil"/>
              <w:left w:val="nil"/>
              <w:bottom w:val="nil"/>
              <w:right w:val="nil"/>
            </w:tcBorders>
            <w:vAlign w:val="bottom"/>
          </w:tcPr>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r>
              <w:rPr>
                <w:rFonts w:hint="eastAsia" w:ascii="宋体" w:hAnsi="宋体" w:cs="Arial"/>
                <w:color w:val="000000"/>
                <w:kern w:val="0"/>
                <w:sz w:val="30"/>
                <w:szCs w:val="30"/>
              </w:rPr>
              <w:t>财政拨款收入支出决算总表</w:t>
            </w:r>
          </w:p>
        </w:tc>
      </w:tr>
      <w:tr>
        <w:tblPrEx>
          <w:tblCellMar>
            <w:top w:w="0" w:type="dxa"/>
            <w:left w:w="108" w:type="dxa"/>
            <w:bottom w:w="0" w:type="dxa"/>
            <w:right w:w="108" w:type="dxa"/>
          </w:tblCellMar>
        </w:tblPrEx>
        <w:trPr>
          <w:gridAfter w:val="1"/>
          <w:wAfter w:w="611" w:type="dxa"/>
          <w:trHeight w:val="253" w:hRule="atLeast"/>
          <w:jc w:val="center"/>
        </w:trPr>
        <w:tc>
          <w:tcPr>
            <w:tcW w:w="3742"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47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366"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029" w:type="dxa"/>
            <w:gridSpan w:val="5"/>
            <w:tcBorders>
              <w:top w:val="nil"/>
              <w:left w:val="nil"/>
              <w:bottom w:val="nil"/>
              <w:right w:val="nil"/>
            </w:tcBorders>
            <w:vAlign w:val="bottom"/>
          </w:tcPr>
          <w:p>
            <w:pPr>
              <w:widowControl/>
              <w:jc w:val="left"/>
              <w:rPr>
                <w:rFonts w:ascii="Arial" w:hAnsi="Arial" w:cs="Arial"/>
                <w:color w:val="000000"/>
                <w:kern w:val="0"/>
                <w:sz w:val="18"/>
                <w:szCs w:val="18"/>
              </w:rPr>
            </w:pPr>
          </w:p>
        </w:tc>
        <w:tc>
          <w:tcPr>
            <w:tcW w:w="479"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876"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366"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112"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862" w:type="dxa"/>
            <w:gridSpan w:val="3"/>
            <w:tcBorders>
              <w:top w:val="nil"/>
              <w:left w:val="nil"/>
              <w:bottom w:val="nil"/>
              <w:right w:val="nil"/>
            </w:tcBorders>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gridAfter w:val="1"/>
          <w:wAfter w:w="611" w:type="dxa"/>
          <w:trHeight w:val="253" w:hRule="atLeast"/>
          <w:jc w:val="center"/>
        </w:trPr>
        <w:tc>
          <w:tcPr>
            <w:tcW w:w="3742" w:type="dxa"/>
            <w:gridSpan w:val="4"/>
            <w:tcBorders>
              <w:top w:val="nil"/>
              <w:left w:val="nil"/>
              <w:bottom w:val="nil"/>
              <w:right w:val="nil"/>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单位：许昌市节约用水中心</w:t>
            </w:r>
          </w:p>
        </w:tc>
        <w:tc>
          <w:tcPr>
            <w:tcW w:w="47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366"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029" w:type="dxa"/>
            <w:gridSpan w:val="5"/>
            <w:tcBorders>
              <w:top w:val="nil"/>
              <w:left w:val="nil"/>
              <w:bottom w:val="nil"/>
              <w:right w:val="nil"/>
            </w:tcBorders>
            <w:vAlign w:val="bottom"/>
          </w:tcPr>
          <w:p>
            <w:pPr>
              <w:widowControl/>
              <w:jc w:val="left"/>
              <w:rPr>
                <w:rFonts w:ascii="Arial" w:hAnsi="Arial" w:cs="Arial"/>
                <w:color w:val="000000"/>
                <w:kern w:val="0"/>
                <w:sz w:val="18"/>
                <w:szCs w:val="18"/>
              </w:rPr>
            </w:pPr>
          </w:p>
        </w:tc>
        <w:tc>
          <w:tcPr>
            <w:tcW w:w="479"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876"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366"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112"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862" w:type="dxa"/>
            <w:gridSpan w:val="3"/>
            <w:tcBorders>
              <w:top w:val="nil"/>
              <w:left w:val="nil"/>
              <w:bottom w:val="nil"/>
              <w:right w:val="nil"/>
            </w:tcBorders>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单位：万元</w:t>
            </w:r>
          </w:p>
        </w:tc>
      </w:tr>
      <w:tr>
        <w:tblPrEx>
          <w:tblCellMar>
            <w:top w:w="0" w:type="dxa"/>
            <w:left w:w="108" w:type="dxa"/>
            <w:bottom w:w="0" w:type="dxa"/>
            <w:right w:w="108" w:type="dxa"/>
          </w:tblCellMar>
        </w:tblPrEx>
        <w:trPr>
          <w:gridAfter w:val="1"/>
          <w:wAfter w:w="611" w:type="dxa"/>
          <w:trHeight w:val="306" w:hRule="atLeast"/>
          <w:jc w:val="center"/>
        </w:trPr>
        <w:tc>
          <w:tcPr>
            <w:tcW w:w="5587"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9724" w:type="dxa"/>
            <w:gridSpan w:val="17"/>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gridAfter w:val="1"/>
          <w:wAfter w:w="611" w:type="dxa"/>
          <w:trHeight w:val="312" w:hRule="atLeast"/>
          <w:jc w:val="center"/>
        </w:trPr>
        <w:tc>
          <w:tcPr>
            <w:tcW w:w="3742" w:type="dxa"/>
            <w:gridSpan w:val="4"/>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79"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3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029" w:type="dxa"/>
            <w:gridSpan w:val="5"/>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7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876" w:type="dxa"/>
            <w:gridSpan w:val="3"/>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366" w:type="dxa"/>
            <w:gridSpan w:val="3"/>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1112"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1862" w:type="dxa"/>
            <w:gridSpan w:val="3"/>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CellMar>
            <w:top w:w="0" w:type="dxa"/>
            <w:left w:w="108" w:type="dxa"/>
            <w:bottom w:w="0" w:type="dxa"/>
            <w:right w:w="108" w:type="dxa"/>
          </w:tblCellMar>
        </w:tblPrEx>
        <w:trPr>
          <w:gridAfter w:val="1"/>
          <w:wAfter w:w="611" w:type="dxa"/>
          <w:trHeight w:val="611" w:hRule="atLeast"/>
          <w:jc w:val="center"/>
        </w:trPr>
        <w:tc>
          <w:tcPr>
            <w:tcW w:w="3742"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79"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029"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76"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66"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1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62"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3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876"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366"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12"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862"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644.60</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84.58</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84.58</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22.83</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22.83</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599.26</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599.26</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36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47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87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nil"/>
              <w:left w:val="single" w:color="000000" w:sz="4" w:space="0"/>
              <w:bottom w:val="single" w:color="auto"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gridSpan w:val="2"/>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366"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nil"/>
              <w:left w:val="nil"/>
              <w:bottom w:val="single" w:color="auto"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479"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876" w:type="dxa"/>
            <w:gridSpan w:val="3"/>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479"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3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47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87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479"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3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47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87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479"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3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47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87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479"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3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644.60</w:t>
            </w:r>
          </w:p>
        </w:tc>
        <w:tc>
          <w:tcPr>
            <w:tcW w:w="4029"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47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87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709.97</w:t>
            </w:r>
          </w:p>
        </w:tc>
        <w:tc>
          <w:tcPr>
            <w:tcW w:w="136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709.97</w:t>
            </w:r>
          </w:p>
        </w:tc>
        <w:tc>
          <w:tcPr>
            <w:tcW w:w="111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479"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3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65.37</w:t>
            </w:r>
          </w:p>
        </w:tc>
        <w:tc>
          <w:tcPr>
            <w:tcW w:w="4029"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47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87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479"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3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65.37</w:t>
            </w:r>
          </w:p>
        </w:tc>
        <w:tc>
          <w:tcPr>
            <w:tcW w:w="4029"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87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479"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3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87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479"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3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29"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87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1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306" w:hRule="atLeast"/>
          <w:jc w:val="center"/>
        </w:trPr>
        <w:tc>
          <w:tcPr>
            <w:tcW w:w="3742"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79"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3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709.97</w:t>
            </w:r>
          </w:p>
        </w:tc>
        <w:tc>
          <w:tcPr>
            <w:tcW w:w="4029"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7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87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709.97</w:t>
            </w:r>
          </w:p>
        </w:tc>
        <w:tc>
          <w:tcPr>
            <w:tcW w:w="136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709.97</w:t>
            </w:r>
          </w:p>
        </w:tc>
        <w:tc>
          <w:tcPr>
            <w:tcW w:w="111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6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611" w:type="dxa"/>
          <w:trHeight w:val="581" w:hRule="atLeast"/>
          <w:jc w:val="center"/>
        </w:trPr>
        <w:tc>
          <w:tcPr>
            <w:tcW w:w="15311" w:type="dxa"/>
            <w:gridSpan w:val="24"/>
            <w:tcBorders>
              <w:top w:val="single" w:color="auto" w:sz="4" w:space="0"/>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7"/>
        <w:tblW w:w="12580" w:type="dxa"/>
        <w:jc w:val="center"/>
        <w:tblLayout w:type="fixed"/>
        <w:tblCellMar>
          <w:top w:w="0" w:type="dxa"/>
          <w:left w:w="108" w:type="dxa"/>
          <w:bottom w:w="0" w:type="dxa"/>
          <w:right w:w="108" w:type="dxa"/>
        </w:tblCellMar>
      </w:tblPr>
      <w:tblGrid>
        <w:gridCol w:w="401"/>
        <w:gridCol w:w="313"/>
        <w:gridCol w:w="272"/>
        <w:gridCol w:w="5100"/>
        <w:gridCol w:w="1999"/>
        <w:gridCol w:w="1999"/>
        <w:gridCol w:w="2496"/>
      </w:tblGrid>
      <w:tr>
        <w:tblPrEx>
          <w:tblCellMar>
            <w:top w:w="0" w:type="dxa"/>
            <w:left w:w="108" w:type="dxa"/>
            <w:bottom w:w="0" w:type="dxa"/>
            <w:right w:w="108" w:type="dxa"/>
          </w:tblCellMar>
        </w:tblPrEx>
        <w:trPr>
          <w:trHeight w:val="390" w:hRule="atLeast"/>
          <w:jc w:val="center"/>
        </w:trPr>
        <w:tc>
          <w:tcPr>
            <w:tcW w:w="12580" w:type="dxa"/>
            <w:gridSpan w:val="7"/>
            <w:tcBorders>
              <w:top w:val="nil"/>
              <w:left w:val="nil"/>
              <w:bottom w:val="nil"/>
              <w:right w:val="nil"/>
            </w:tcBorders>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jc w:val="center"/>
        </w:trPr>
        <w:tc>
          <w:tcPr>
            <w:tcW w:w="40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313"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72"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510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999"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999"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96" w:type="dxa"/>
            <w:tcBorders>
              <w:top w:val="nil"/>
              <w:left w:val="nil"/>
              <w:bottom w:val="nil"/>
              <w:right w:val="nil"/>
            </w:tcBorders>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公开05表</w:t>
            </w:r>
          </w:p>
        </w:tc>
      </w:tr>
      <w:tr>
        <w:tblPrEx>
          <w:tblCellMar>
            <w:top w:w="0" w:type="dxa"/>
            <w:left w:w="108" w:type="dxa"/>
            <w:bottom w:w="0" w:type="dxa"/>
            <w:right w:w="108" w:type="dxa"/>
          </w:tblCellMar>
        </w:tblPrEx>
        <w:trPr>
          <w:trHeight w:val="255" w:hRule="atLeast"/>
          <w:jc w:val="center"/>
        </w:trPr>
        <w:tc>
          <w:tcPr>
            <w:tcW w:w="6086" w:type="dxa"/>
            <w:gridSpan w:val="4"/>
            <w:tcBorders>
              <w:top w:val="nil"/>
              <w:left w:val="nil"/>
              <w:bottom w:val="nil"/>
              <w:right w:val="nil"/>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单位：许昌市节约用水中心</w:t>
            </w:r>
          </w:p>
        </w:tc>
        <w:tc>
          <w:tcPr>
            <w:tcW w:w="1999"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999"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96" w:type="dxa"/>
            <w:tcBorders>
              <w:top w:val="nil"/>
              <w:left w:val="nil"/>
              <w:bottom w:val="nil"/>
              <w:right w:val="nil"/>
            </w:tcBorders>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单位：万元</w:t>
            </w:r>
          </w:p>
        </w:tc>
      </w:tr>
      <w:tr>
        <w:tblPrEx>
          <w:tblCellMar>
            <w:top w:w="0" w:type="dxa"/>
            <w:left w:w="108" w:type="dxa"/>
            <w:bottom w:w="0" w:type="dxa"/>
            <w:right w:w="108" w:type="dxa"/>
          </w:tblCellMar>
        </w:tblPrEx>
        <w:trPr>
          <w:trHeight w:val="308" w:hRule="atLeast"/>
          <w:jc w:val="center"/>
        </w:trPr>
        <w:tc>
          <w:tcPr>
            <w:tcW w:w="608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494"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CellMar>
            <w:top w:w="0" w:type="dxa"/>
            <w:left w:w="108" w:type="dxa"/>
            <w:bottom w:w="0" w:type="dxa"/>
            <w:right w:w="108" w:type="dxa"/>
          </w:tblCellMar>
        </w:tblPrEx>
        <w:trPr>
          <w:trHeight w:val="312" w:hRule="atLeast"/>
          <w:jc w:val="center"/>
        </w:trPr>
        <w:tc>
          <w:tcPr>
            <w:tcW w:w="98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10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99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99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49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trHeight w:val="312" w:hRule="atLeast"/>
          <w:jc w:val="center"/>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1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9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9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jc w:val="center"/>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1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9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9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6086"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99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99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4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trHeight w:val="308" w:hRule="atLeast"/>
          <w:jc w:val="center"/>
        </w:trPr>
        <w:tc>
          <w:tcPr>
            <w:tcW w:w="6086"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99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709.97</w:t>
            </w:r>
          </w:p>
        </w:tc>
        <w:tc>
          <w:tcPr>
            <w:tcW w:w="199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709.97</w:t>
            </w:r>
          </w:p>
        </w:tc>
        <w:tc>
          <w:tcPr>
            <w:tcW w:w="24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1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24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1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24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1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24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1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84.58</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84.58</w:t>
            </w:r>
          </w:p>
        </w:tc>
        <w:tc>
          <w:tcPr>
            <w:tcW w:w="24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1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84.58</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84.58</w:t>
            </w:r>
          </w:p>
        </w:tc>
        <w:tc>
          <w:tcPr>
            <w:tcW w:w="24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51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38.61</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38.61</w:t>
            </w:r>
          </w:p>
        </w:tc>
        <w:tc>
          <w:tcPr>
            <w:tcW w:w="24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1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45.97</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45.97</w:t>
            </w:r>
          </w:p>
        </w:tc>
        <w:tc>
          <w:tcPr>
            <w:tcW w:w="24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1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22.83</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22.83</w:t>
            </w:r>
          </w:p>
        </w:tc>
        <w:tc>
          <w:tcPr>
            <w:tcW w:w="24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1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22.83</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22.83</w:t>
            </w:r>
          </w:p>
        </w:tc>
        <w:tc>
          <w:tcPr>
            <w:tcW w:w="24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51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22.83</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22.83</w:t>
            </w:r>
          </w:p>
        </w:tc>
        <w:tc>
          <w:tcPr>
            <w:tcW w:w="24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213</w:t>
            </w:r>
          </w:p>
        </w:tc>
        <w:tc>
          <w:tcPr>
            <w:tcW w:w="51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农林水支出</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599.26</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599.26</w:t>
            </w:r>
          </w:p>
        </w:tc>
        <w:tc>
          <w:tcPr>
            <w:tcW w:w="24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21303</w:t>
            </w:r>
          </w:p>
        </w:tc>
        <w:tc>
          <w:tcPr>
            <w:tcW w:w="51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水利</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599.26</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599.26</w:t>
            </w:r>
          </w:p>
        </w:tc>
        <w:tc>
          <w:tcPr>
            <w:tcW w:w="24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2130304</w:t>
            </w:r>
          </w:p>
        </w:tc>
        <w:tc>
          <w:tcPr>
            <w:tcW w:w="51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水利行业业务管理</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1.35</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1.35</w:t>
            </w:r>
          </w:p>
        </w:tc>
        <w:tc>
          <w:tcPr>
            <w:tcW w:w="24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2130311</w:t>
            </w:r>
          </w:p>
        </w:tc>
        <w:tc>
          <w:tcPr>
            <w:tcW w:w="510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水资源节约管理与保护</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597.91</w:t>
            </w:r>
          </w:p>
        </w:tc>
        <w:tc>
          <w:tcPr>
            <w:tcW w:w="199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597.91</w:t>
            </w:r>
          </w:p>
        </w:tc>
        <w:tc>
          <w:tcPr>
            <w:tcW w:w="24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2580" w:type="dxa"/>
            <w:gridSpan w:val="7"/>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注：本表反映单位本年度一般公共预算财政拨款支出情况。本套报表金额单位转换时可能存在尾数误差。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7"/>
        <w:tblW w:w="15518" w:type="dxa"/>
        <w:jc w:val="center"/>
        <w:tblLayout w:type="fixed"/>
        <w:tblCellMar>
          <w:top w:w="0" w:type="dxa"/>
          <w:left w:w="108" w:type="dxa"/>
          <w:bottom w:w="0" w:type="dxa"/>
          <w:right w:w="108" w:type="dxa"/>
        </w:tblCellMar>
      </w:tblPr>
      <w:tblGrid>
        <w:gridCol w:w="766"/>
        <w:gridCol w:w="2869"/>
        <w:gridCol w:w="1467"/>
        <w:gridCol w:w="766"/>
        <w:gridCol w:w="2266"/>
        <w:gridCol w:w="1467"/>
        <w:gridCol w:w="766"/>
        <w:gridCol w:w="3684"/>
        <w:gridCol w:w="1467"/>
      </w:tblGrid>
      <w:tr>
        <w:tblPrEx>
          <w:tblCellMar>
            <w:top w:w="0" w:type="dxa"/>
            <w:left w:w="108" w:type="dxa"/>
            <w:bottom w:w="0" w:type="dxa"/>
            <w:right w:w="108" w:type="dxa"/>
          </w:tblCellMar>
        </w:tblPrEx>
        <w:trPr>
          <w:trHeight w:val="398" w:hRule="atLeast"/>
          <w:jc w:val="center"/>
        </w:trPr>
        <w:tc>
          <w:tcPr>
            <w:tcW w:w="15518" w:type="dxa"/>
            <w:gridSpan w:val="9"/>
            <w:tcBorders>
              <w:top w:val="nil"/>
              <w:left w:val="nil"/>
              <w:bottom w:val="nil"/>
              <w:right w:val="nil"/>
            </w:tcBorders>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一般公共预算财政拨款基本支出决算表</w:t>
            </w:r>
          </w:p>
        </w:tc>
      </w:tr>
      <w:tr>
        <w:tblPrEx>
          <w:tblCellMar>
            <w:top w:w="0" w:type="dxa"/>
            <w:left w:w="108" w:type="dxa"/>
            <w:bottom w:w="0" w:type="dxa"/>
            <w:right w:w="108" w:type="dxa"/>
          </w:tblCellMar>
        </w:tblPrEx>
        <w:trPr>
          <w:trHeight w:val="260" w:hRule="atLeast"/>
          <w:jc w:val="center"/>
        </w:trPr>
        <w:tc>
          <w:tcPr>
            <w:tcW w:w="766"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869"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467"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766"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266"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467"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766"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368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467" w:type="dxa"/>
            <w:tcBorders>
              <w:top w:val="nil"/>
              <w:left w:val="nil"/>
              <w:bottom w:val="nil"/>
              <w:right w:val="nil"/>
            </w:tcBorders>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公开06表</w:t>
            </w:r>
          </w:p>
        </w:tc>
      </w:tr>
      <w:tr>
        <w:tblPrEx>
          <w:tblCellMar>
            <w:top w:w="0" w:type="dxa"/>
            <w:left w:w="108" w:type="dxa"/>
            <w:bottom w:w="0" w:type="dxa"/>
            <w:right w:w="108" w:type="dxa"/>
          </w:tblCellMar>
        </w:tblPrEx>
        <w:trPr>
          <w:trHeight w:val="260" w:hRule="atLeast"/>
          <w:jc w:val="center"/>
        </w:trPr>
        <w:tc>
          <w:tcPr>
            <w:tcW w:w="3635" w:type="dxa"/>
            <w:gridSpan w:val="2"/>
            <w:tcBorders>
              <w:top w:val="nil"/>
              <w:left w:val="nil"/>
              <w:bottom w:val="nil"/>
              <w:right w:val="nil"/>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单位：许昌市节约用水中心</w:t>
            </w:r>
          </w:p>
        </w:tc>
        <w:tc>
          <w:tcPr>
            <w:tcW w:w="1467"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766"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266"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467"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766"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368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467" w:type="dxa"/>
            <w:tcBorders>
              <w:top w:val="nil"/>
              <w:left w:val="nil"/>
              <w:bottom w:val="nil"/>
              <w:right w:val="nil"/>
            </w:tcBorders>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单位：万元</w:t>
            </w:r>
          </w:p>
        </w:tc>
      </w:tr>
      <w:tr>
        <w:tblPrEx>
          <w:tblCellMar>
            <w:top w:w="0" w:type="dxa"/>
            <w:left w:w="108" w:type="dxa"/>
            <w:bottom w:w="0" w:type="dxa"/>
            <w:right w:w="108" w:type="dxa"/>
          </w:tblCellMar>
        </w:tblPrEx>
        <w:trPr>
          <w:trHeight w:val="314" w:hRule="atLeast"/>
          <w:jc w:val="center"/>
        </w:trPr>
        <w:tc>
          <w:tcPr>
            <w:tcW w:w="51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10416"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CellMar>
            <w:top w:w="0" w:type="dxa"/>
            <w:left w:w="108" w:type="dxa"/>
            <w:bottom w:w="0" w:type="dxa"/>
            <w:right w:w="108" w:type="dxa"/>
          </w:tblCellMar>
        </w:tblPrEx>
        <w:trPr>
          <w:trHeight w:val="318" w:hRule="atLeast"/>
          <w:jc w:val="center"/>
        </w:trPr>
        <w:tc>
          <w:tcPr>
            <w:tcW w:w="766"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86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46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2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46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368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46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18" w:hRule="atLeast"/>
          <w:jc w:val="center"/>
        </w:trPr>
        <w:tc>
          <w:tcPr>
            <w:tcW w:w="7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86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68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632.17</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32.60</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266.84</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5.55</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18.87</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148.65</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32.59</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0.18</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45.97</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1.83</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0.94</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22.83</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2.56</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6.79</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4.44</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2.76</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36.12</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2.38</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55.88</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45.20</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0.07</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38.61</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286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22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3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146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nil"/>
              <w:left w:val="single" w:color="000000" w:sz="4" w:space="0"/>
              <w:bottom w:val="single" w:color="auto"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2869"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1467"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6.59</w:t>
            </w:r>
          </w:p>
        </w:tc>
        <w:tc>
          <w:tcPr>
            <w:tcW w:w="766"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2266"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1467"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3684"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1467" w:type="dxa"/>
            <w:tcBorders>
              <w:top w:val="nil"/>
              <w:left w:val="nil"/>
              <w:bottom w:val="single" w:color="auto"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286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22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3684"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286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22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3684"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286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22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3.30</w:t>
            </w:r>
          </w:p>
        </w:tc>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3684"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286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22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2.21</w:t>
            </w:r>
          </w:p>
        </w:tc>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3684"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286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22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2.00</w:t>
            </w:r>
          </w:p>
        </w:tc>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3684"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286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22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0.56</w:t>
            </w:r>
          </w:p>
        </w:tc>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684"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286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22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684"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86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22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1.47</w:t>
            </w:r>
          </w:p>
        </w:tc>
        <w:tc>
          <w:tcPr>
            <w:tcW w:w="7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684"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4" w:hRule="atLeast"/>
          <w:jc w:val="center"/>
        </w:trPr>
        <w:tc>
          <w:tcPr>
            <w:tcW w:w="3635" w:type="dxa"/>
            <w:gridSpan w:val="2"/>
            <w:tcBorders>
              <w:top w:val="single" w:color="auto"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1467"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677.37</w:t>
            </w:r>
          </w:p>
        </w:tc>
        <w:tc>
          <w:tcPr>
            <w:tcW w:w="8949" w:type="dxa"/>
            <w:gridSpan w:val="5"/>
            <w:tcBorders>
              <w:top w:val="single" w:color="auto"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1467" w:type="dxa"/>
            <w:tcBorders>
              <w:top w:val="single" w:color="auto" w:sz="4" w:space="0"/>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32.60</w:t>
            </w:r>
          </w:p>
        </w:tc>
      </w:tr>
      <w:tr>
        <w:tblPrEx>
          <w:tblCellMar>
            <w:top w:w="0" w:type="dxa"/>
            <w:left w:w="108" w:type="dxa"/>
            <w:bottom w:w="0" w:type="dxa"/>
            <w:right w:w="108" w:type="dxa"/>
          </w:tblCellMar>
        </w:tblPrEx>
        <w:trPr>
          <w:trHeight w:val="314" w:hRule="atLeast"/>
          <w:jc w:val="center"/>
        </w:trPr>
        <w:tc>
          <w:tcPr>
            <w:tcW w:w="15518" w:type="dxa"/>
            <w:gridSpan w:val="9"/>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注：本表反映单位本年度一般公共预算财政拨款基本支出明细情况。本表金额转换为万元时，因四舍五入可能存在尾差。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7"/>
        <w:tblW w:w="15390" w:type="dxa"/>
        <w:jc w:val="center"/>
        <w:tblLayout w:type="fixed"/>
        <w:tblCellMar>
          <w:top w:w="0" w:type="dxa"/>
          <w:left w:w="108" w:type="dxa"/>
          <w:bottom w:w="0" w:type="dxa"/>
          <w:right w:w="108" w:type="dxa"/>
        </w:tblCellMar>
      </w:tblPr>
      <w:tblGrid>
        <w:gridCol w:w="1254"/>
        <w:gridCol w:w="1406"/>
        <w:gridCol w:w="1102"/>
        <w:gridCol w:w="1254"/>
        <w:gridCol w:w="1254"/>
        <w:gridCol w:w="1254"/>
        <w:gridCol w:w="1254"/>
        <w:gridCol w:w="1254"/>
        <w:gridCol w:w="1254"/>
        <w:gridCol w:w="1245"/>
        <w:gridCol w:w="1254"/>
        <w:gridCol w:w="1491"/>
        <w:gridCol w:w="114"/>
      </w:tblGrid>
      <w:tr>
        <w:tblPrEx>
          <w:tblCellMar>
            <w:top w:w="0" w:type="dxa"/>
            <w:left w:w="108" w:type="dxa"/>
            <w:bottom w:w="0" w:type="dxa"/>
            <w:right w:w="108" w:type="dxa"/>
          </w:tblCellMar>
        </w:tblPrEx>
        <w:trPr>
          <w:gridAfter w:val="1"/>
          <w:wAfter w:w="114" w:type="dxa"/>
          <w:trHeight w:val="536" w:hRule="atLeast"/>
          <w:jc w:val="center"/>
        </w:trPr>
        <w:tc>
          <w:tcPr>
            <w:tcW w:w="15276" w:type="dxa"/>
            <w:gridSpan w:val="12"/>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color w:val="000000"/>
                <w:kern w:val="0"/>
                <w:sz w:val="30"/>
                <w:szCs w:val="30"/>
              </w:rPr>
              <w:t>一般公共预算财政拨款“三公”经费支出决算表</w:t>
            </w:r>
          </w:p>
        </w:tc>
      </w:tr>
      <w:tr>
        <w:tblPrEx>
          <w:tblCellMar>
            <w:top w:w="0" w:type="dxa"/>
            <w:left w:w="108" w:type="dxa"/>
            <w:bottom w:w="0" w:type="dxa"/>
            <w:right w:w="108" w:type="dxa"/>
          </w:tblCellMar>
        </w:tblPrEx>
        <w:trPr>
          <w:gridAfter w:val="1"/>
          <w:wAfter w:w="114" w:type="dxa"/>
          <w:trHeight w:val="253" w:hRule="atLeast"/>
          <w:jc w:val="center"/>
        </w:trPr>
        <w:tc>
          <w:tcPr>
            <w:tcW w:w="125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406"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102"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5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5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5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5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5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5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45"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5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491" w:type="dxa"/>
            <w:tcBorders>
              <w:top w:val="nil"/>
              <w:left w:val="nil"/>
              <w:bottom w:val="nil"/>
              <w:right w:val="nil"/>
            </w:tcBorders>
            <w:vAlign w:val="bottom"/>
          </w:tcPr>
          <w:p>
            <w:pPr>
              <w:widowControl/>
              <w:ind w:right="100"/>
              <w:jc w:val="right"/>
              <w:rPr>
                <w:rFonts w:ascii="宋体" w:hAnsi="宋体" w:cs="Arial"/>
                <w:color w:val="000000"/>
                <w:kern w:val="0"/>
                <w:sz w:val="18"/>
                <w:szCs w:val="18"/>
              </w:rPr>
            </w:pPr>
            <w:r>
              <w:rPr>
                <w:rFonts w:hint="eastAsia" w:ascii="宋体" w:hAnsi="宋体" w:cs="Arial"/>
                <w:color w:val="000000"/>
                <w:kern w:val="0"/>
                <w:sz w:val="18"/>
                <w:szCs w:val="18"/>
              </w:rPr>
              <w:t>公开07表</w:t>
            </w:r>
          </w:p>
        </w:tc>
      </w:tr>
      <w:tr>
        <w:tblPrEx>
          <w:tblCellMar>
            <w:top w:w="0" w:type="dxa"/>
            <w:left w:w="108" w:type="dxa"/>
            <w:bottom w:w="0" w:type="dxa"/>
            <w:right w:w="108" w:type="dxa"/>
          </w:tblCellMar>
        </w:tblPrEx>
        <w:trPr>
          <w:trHeight w:val="253" w:hRule="atLeast"/>
          <w:jc w:val="center"/>
        </w:trPr>
        <w:tc>
          <w:tcPr>
            <w:tcW w:w="2660" w:type="dxa"/>
            <w:gridSpan w:val="2"/>
            <w:tcBorders>
              <w:top w:val="nil"/>
              <w:left w:val="nil"/>
              <w:bottom w:val="nil"/>
              <w:right w:val="nil"/>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单位：许昌市节约用水中心</w:t>
            </w:r>
          </w:p>
        </w:tc>
        <w:tc>
          <w:tcPr>
            <w:tcW w:w="1102"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5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5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5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5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5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5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45"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25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605" w:type="dxa"/>
            <w:gridSpan w:val="2"/>
            <w:tcBorders>
              <w:top w:val="nil"/>
              <w:left w:val="nil"/>
              <w:bottom w:val="nil"/>
              <w:right w:val="nil"/>
            </w:tcBorders>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单位:万元</w:t>
            </w:r>
          </w:p>
        </w:tc>
      </w:tr>
      <w:tr>
        <w:tblPrEx>
          <w:tblCellMar>
            <w:top w:w="0" w:type="dxa"/>
            <w:left w:w="108" w:type="dxa"/>
            <w:bottom w:w="0" w:type="dxa"/>
            <w:right w:w="108" w:type="dxa"/>
          </w:tblCellMar>
        </w:tblPrEx>
        <w:trPr>
          <w:gridAfter w:val="1"/>
          <w:wAfter w:w="114" w:type="dxa"/>
          <w:trHeight w:val="306" w:hRule="atLeast"/>
          <w:jc w:val="center"/>
        </w:trPr>
        <w:tc>
          <w:tcPr>
            <w:tcW w:w="752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7752"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gridAfter w:val="1"/>
          <w:wAfter w:w="114" w:type="dxa"/>
          <w:trHeight w:val="306" w:hRule="atLeast"/>
          <w:jc w:val="center"/>
        </w:trPr>
        <w:tc>
          <w:tcPr>
            <w:tcW w:w="1254"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40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610"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25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125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25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753"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49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CellMar>
            <w:top w:w="0" w:type="dxa"/>
            <w:left w:w="108" w:type="dxa"/>
            <w:bottom w:w="0" w:type="dxa"/>
            <w:right w:w="108" w:type="dxa"/>
          </w:tblCellMar>
        </w:tblPrEx>
        <w:trPr>
          <w:gridAfter w:val="1"/>
          <w:wAfter w:w="114" w:type="dxa"/>
          <w:trHeight w:val="610" w:hRule="atLeast"/>
          <w:jc w:val="center"/>
        </w:trPr>
        <w:tc>
          <w:tcPr>
            <w:tcW w:w="1254"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40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10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25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25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254"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254"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254"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25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24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25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4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114" w:type="dxa"/>
          <w:trHeight w:val="306" w:hRule="atLeast"/>
          <w:jc w:val="center"/>
        </w:trPr>
        <w:tc>
          <w:tcPr>
            <w:tcW w:w="1254"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40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0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5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5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5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5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25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25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24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25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49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CellMar>
            <w:top w:w="0" w:type="dxa"/>
            <w:left w:w="108" w:type="dxa"/>
            <w:bottom w:w="0" w:type="dxa"/>
            <w:right w:w="108" w:type="dxa"/>
          </w:tblCellMar>
        </w:tblPrEx>
        <w:trPr>
          <w:gridAfter w:val="1"/>
          <w:wAfter w:w="114" w:type="dxa"/>
          <w:trHeight w:val="306" w:hRule="atLeast"/>
          <w:jc w:val="center"/>
        </w:trPr>
        <w:tc>
          <w:tcPr>
            <w:tcW w:w="1254" w:type="dxa"/>
            <w:tcBorders>
              <w:top w:val="nil"/>
              <w:left w:val="single" w:color="000000" w:sz="4" w:space="0"/>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2.80</w:t>
            </w:r>
          </w:p>
        </w:tc>
        <w:tc>
          <w:tcPr>
            <w:tcW w:w="140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0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2.00</w:t>
            </w:r>
          </w:p>
        </w:tc>
        <w:tc>
          <w:tcPr>
            <w:tcW w:w="125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5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2.00</w:t>
            </w:r>
          </w:p>
        </w:tc>
        <w:tc>
          <w:tcPr>
            <w:tcW w:w="125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0.80　</w:t>
            </w:r>
          </w:p>
        </w:tc>
        <w:tc>
          <w:tcPr>
            <w:tcW w:w="125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2.00</w:t>
            </w:r>
          </w:p>
        </w:tc>
        <w:tc>
          <w:tcPr>
            <w:tcW w:w="125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5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2.00</w:t>
            </w:r>
          </w:p>
        </w:tc>
        <w:tc>
          <w:tcPr>
            <w:tcW w:w="124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5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2.00</w:t>
            </w:r>
          </w:p>
        </w:tc>
        <w:tc>
          <w:tcPr>
            <w:tcW w:w="149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114" w:type="dxa"/>
          <w:trHeight w:val="610" w:hRule="atLeast"/>
          <w:jc w:val="center"/>
        </w:trPr>
        <w:tc>
          <w:tcPr>
            <w:tcW w:w="15276" w:type="dxa"/>
            <w:gridSpan w:val="12"/>
            <w:tcBorders>
              <w:top w:val="nil"/>
              <w:left w:val="nil"/>
              <w:bottom w:val="nil"/>
              <w:right w:val="nil"/>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7"/>
        <w:tblW w:w="15614" w:type="dxa"/>
        <w:jc w:val="center"/>
        <w:tblLayout w:type="fixed"/>
        <w:tblCellMar>
          <w:top w:w="0" w:type="dxa"/>
          <w:left w:w="108" w:type="dxa"/>
          <w:bottom w:w="0" w:type="dxa"/>
          <w:right w:w="108" w:type="dxa"/>
        </w:tblCellMar>
      </w:tblPr>
      <w:tblGrid>
        <w:gridCol w:w="237"/>
        <w:gridCol w:w="237"/>
        <w:gridCol w:w="236"/>
        <w:gridCol w:w="2139"/>
        <w:gridCol w:w="1931"/>
        <w:gridCol w:w="1931"/>
        <w:gridCol w:w="1931"/>
        <w:gridCol w:w="1931"/>
        <w:gridCol w:w="1931"/>
        <w:gridCol w:w="3110"/>
      </w:tblGrid>
      <w:tr>
        <w:tblPrEx>
          <w:tblCellMar>
            <w:top w:w="0" w:type="dxa"/>
            <w:left w:w="108" w:type="dxa"/>
            <w:bottom w:w="0" w:type="dxa"/>
            <w:right w:w="108" w:type="dxa"/>
          </w:tblCellMar>
        </w:tblPrEx>
        <w:trPr>
          <w:trHeight w:val="390" w:hRule="atLeast"/>
          <w:jc w:val="center"/>
        </w:trPr>
        <w:tc>
          <w:tcPr>
            <w:tcW w:w="15614" w:type="dxa"/>
            <w:gridSpan w:val="10"/>
            <w:tcBorders>
              <w:top w:val="nil"/>
              <w:left w:val="nil"/>
              <w:bottom w:val="nil"/>
              <w:right w:val="nil"/>
            </w:tcBorders>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jc w:val="center"/>
        </w:trPr>
        <w:tc>
          <w:tcPr>
            <w:tcW w:w="237"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37"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36"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139"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93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93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93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93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93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3110" w:type="dxa"/>
            <w:tcBorders>
              <w:top w:val="nil"/>
              <w:left w:val="nil"/>
              <w:bottom w:val="nil"/>
              <w:right w:val="nil"/>
            </w:tcBorders>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公开08表</w:t>
            </w:r>
          </w:p>
        </w:tc>
      </w:tr>
      <w:tr>
        <w:tblPrEx>
          <w:tblCellMar>
            <w:top w:w="0" w:type="dxa"/>
            <w:left w:w="108" w:type="dxa"/>
            <w:bottom w:w="0" w:type="dxa"/>
            <w:right w:w="108" w:type="dxa"/>
          </w:tblCellMar>
        </w:tblPrEx>
        <w:trPr>
          <w:trHeight w:val="255" w:hRule="atLeast"/>
          <w:jc w:val="center"/>
        </w:trPr>
        <w:tc>
          <w:tcPr>
            <w:tcW w:w="2849" w:type="dxa"/>
            <w:gridSpan w:val="4"/>
            <w:tcBorders>
              <w:top w:val="nil"/>
              <w:left w:val="nil"/>
              <w:bottom w:val="nil"/>
              <w:right w:val="nil"/>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单位：许昌市节约用水中心</w:t>
            </w:r>
          </w:p>
        </w:tc>
        <w:tc>
          <w:tcPr>
            <w:tcW w:w="193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93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93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93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93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3110" w:type="dxa"/>
            <w:tcBorders>
              <w:top w:val="nil"/>
              <w:left w:val="nil"/>
              <w:bottom w:val="nil"/>
              <w:right w:val="nil"/>
            </w:tcBorders>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单位：万元</w:t>
            </w:r>
          </w:p>
        </w:tc>
      </w:tr>
      <w:tr>
        <w:tblPrEx>
          <w:tblCellMar>
            <w:top w:w="0" w:type="dxa"/>
            <w:left w:w="108" w:type="dxa"/>
            <w:bottom w:w="0" w:type="dxa"/>
            <w:right w:w="108" w:type="dxa"/>
          </w:tblCellMar>
        </w:tblPrEx>
        <w:trPr>
          <w:trHeight w:val="308" w:hRule="atLeast"/>
          <w:jc w:val="center"/>
        </w:trPr>
        <w:tc>
          <w:tcPr>
            <w:tcW w:w="284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93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93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579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311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0" w:type="dxa"/>
            <w:left w:w="108" w:type="dxa"/>
            <w:bottom w:w="0" w:type="dxa"/>
            <w:right w:w="108" w:type="dxa"/>
          </w:tblCellMar>
        </w:tblPrEx>
        <w:trPr>
          <w:trHeight w:val="312" w:hRule="atLeast"/>
          <w:jc w:val="center"/>
        </w:trPr>
        <w:tc>
          <w:tcPr>
            <w:tcW w:w="710"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213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93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93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93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93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93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311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jc w:val="center"/>
        </w:trPr>
        <w:tc>
          <w:tcPr>
            <w:tcW w:w="71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3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3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1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jc w:val="center"/>
        </w:trPr>
        <w:tc>
          <w:tcPr>
            <w:tcW w:w="71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3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3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1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2849"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93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93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93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93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93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311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jc w:val="center"/>
        </w:trPr>
        <w:tc>
          <w:tcPr>
            <w:tcW w:w="2849"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93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93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93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93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93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311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jc w:val="center"/>
        </w:trPr>
        <w:tc>
          <w:tcPr>
            <w:tcW w:w="710"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13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93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3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3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3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3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710"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13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93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3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3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3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3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710"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13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93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3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3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3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3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jc w:val="center"/>
        </w:trPr>
        <w:tc>
          <w:tcPr>
            <w:tcW w:w="15614" w:type="dxa"/>
            <w:gridSpan w:val="10"/>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注：本表反映单位本年度政府性基金预算财政拨款收入、支出及结转和结余情况。本表金额转换为万元时，因四舍五入可能存在尾差。</w:t>
            </w:r>
          </w:p>
        </w:tc>
      </w:tr>
    </w:tbl>
    <w:p>
      <w:pPr>
        <w:rPr>
          <w:rFonts w:ascii="仿宋_GB2312" w:hAnsi="仿宋_GB2312" w:eastAsia="仿宋_GB2312" w:cs="仿宋_GB2312"/>
          <w:sz w:val="28"/>
          <w:szCs w:val="28"/>
        </w:rPr>
        <w:sectPr>
          <w:pgSz w:w="16838" w:h="11906" w:orient="landscape"/>
          <w:pgMar w:top="720" w:right="720" w:bottom="720" w:left="720" w:header="720" w:footer="720" w:gutter="0"/>
          <w:pgNumType w:fmt="numberInDash"/>
          <w:cols w:space="720" w:num="1"/>
          <w:docGrid w:type="lines" w:linePitch="312" w:charSpace="0"/>
        </w:sectPr>
      </w:pPr>
      <w:r>
        <w:rPr>
          <w:rFonts w:hint="eastAsia" w:ascii="仿宋_GB2312" w:hAnsi="仿宋_GB2312" w:eastAsia="仿宋_GB2312" w:cs="仿宋_GB2312"/>
          <w:sz w:val="28"/>
          <w:szCs w:val="28"/>
        </w:rPr>
        <w:t>说明：我单位没有政府性基金收入，也没有使用政府性基金安排的支出，故本表无数据。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第三部分2021年度单位决算情况说明</w:t>
      </w:r>
    </w:p>
    <w:p>
      <w:pPr>
        <w:jc w:val="left"/>
        <w:rPr>
          <w:rFonts w:ascii="黑体" w:hAnsi="黑体" w:eastAsia="黑体" w:cs="黑体"/>
          <w:sz w:val="32"/>
          <w:szCs w:val="32"/>
          <w:lang w:val="zh-CN"/>
        </w:rPr>
      </w:pPr>
    </w:p>
    <w:p>
      <w:pPr>
        <w:jc w:val="left"/>
        <w:rPr>
          <w:rFonts w:ascii="黑体" w:hAnsi="黑体" w:eastAsia="黑体" w:cs="黑体"/>
          <w:sz w:val="32"/>
          <w:szCs w:val="32"/>
          <w:lang w:val="zh-CN"/>
        </w:rPr>
      </w:pPr>
    </w:p>
    <w:p>
      <w:pPr>
        <w:jc w:val="left"/>
        <w:rPr>
          <w:rFonts w:ascii="黑体" w:hAnsi="黑体" w:eastAsia="黑体" w:cs="黑体"/>
          <w:sz w:val="32"/>
          <w:szCs w:val="32"/>
          <w:lang w:val="zh-CN"/>
        </w:rPr>
      </w:pPr>
    </w:p>
    <w:p>
      <w:pPr>
        <w:jc w:val="left"/>
        <w:rPr>
          <w:rFonts w:ascii="黑体" w:hAnsi="黑体" w:eastAsia="黑体" w:cs="黑体"/>
          <w:sz w:val="32"/>
          <w:szCs w:val="32"/>
          <w:lang w:val="zh-CN"/>
        </w:rPr>
      </w:pPr>
    </w:p>
    <w:p>
      <w:pPr>
        <w:jc w:val="left"/>
        <w:rPr>
          <w:rFonts w:ascii="黑体" w:hAnsi="黑体" w:eastAsia="黑体" w:cs="黑体"/>
          <w:sz w:val="32"/>
          <w:szCs w:val="32"/>
          <w:lang w:val="zh-CN"/>
        </w:rPr>
      </w:pPr>
    </w:p>
    <w:p>
      <w:pPr>
        <w:jc w:val="left"/>
        <w:rPr>
          <w:rFonts w:ascii="黑体" w:hAnsi="黑体" w:eastAsia="黑体" w:cs="黑体"/>
          <w:sz w:val="32"/>
          <w:szCs w:val="32"/>
          <w:lang w:val="zh-CN"/>
        </w:rPr>
      </w:pPr>
    </w:p>
    <w:p>
      <w:pPr>
        <w:jc w:val="left"/>
        <w:rPr>
          <w:rFonts w:ascii="黑体" w:hAnsi="黑体" w:eastAsia="黑体" w:cs="黑体"/>
          <w:sz w:val="32"/>
          <w:szCs w:val="32"/>
          <w:lang w:val="zh-CN"/>
        </w:rPr>
      </w:pPr>
    </w:p>
    <w:p>
      <w:pPr>
        <w:jc w:val="left"/>
        <w:rPr>
          <w:rFonts w:ascii="黑体" w:hAnsi="黑体" w:eastAsia="黑体" w:cs="黑体"/>
          <w:sz w:val="32"/>
          <w:szCs w:val="32"/>
          <w:lang w:val="zh-CN"/>
        </w:rPr>
      </w:pPr>
    </w:p>
    <w:p>
      <w:pPr>
        <w:jc w:val="left"/>
        <w:rPr>
          <w:rFonts w:ascii="黑体" w:hAnsi="黑体" w:eastAsia="黑体" w:cs="黑体"/>
          <w:sz w:val="32"/>
          <w:szCs w:val="32"/>
          <w:lang w:val="zh-CN"/>
        </w:rPr>
      </w:pPr>
    </w:p>
    <w:p>
      <w:pPr>
        <w:jc w:val="left"/>
        <w:rPr>
          <w:rFonts w:ascii="黑体" w:hAnsi="黑体" w:eastAsia="黑体" w:cs="黑体"/>
          <w:sz w:val="32"/>
          <w:szCs w:val="32"/>
          <w:lang w:val="zh-CN"/>
        </w:rPr>
      </w:pPr>
    </w:p>
    <w:p>
      <w:pPr>
        <w:jc w:val="left"/>
        <w:rPr>
          <w:rFonts w:ascii="黑体" w:hAnsi="黑体" w:eastAsia="黑体" w:cs="黑体"/>
          <w:sz w:val="32"/>
          <w:szCs w:val="32"/>
          <w:lang w:val="zh-CN"/>
        </w:rPr>
      </w:pPr>
    </w:p>
    <w:p>
      <w:pPr>
        <w:jc w:val="left"/>
        <w:rPr>
          <w:rFonts w:ascii="黑体" w:hAnsi="黑体" w:eastAsia="黑体" w:cs="黑体"/>
          <w:sz w:val="32"/>
          <w:szCs w:val="32"/>
          <w:lang w:val="zh-CN"/>
        </w:rPr>
      </w:pPr>
    </w:p>
    <w:p>
      <w:pPr>
        <w:jc w:val="left"/>
        <w:rPr>
          <w:rFonts w:ascii="黑体" w:hAnsi="黑体" w:eastAsia="黑体" w:cs="黑体"/>
          <w:sz w:val="32"/>
          <w:szCs w:val="32"/>
          <w:lang w:val="zh-CN"/>
        </w:rPr>
      </w:pPr>
    </w:p>
    <w:p>
      <w:pPr>
        <w:jc w:val="left"/>
        <w:rPr>
          <w:rFonts w:ascii="黑体" w:hAnsi="黑体" w:eastAsia="黑体" w:cs="黑体"/>
          <w:sz w:val="32"/>
          <w:szCs w:val="32"/>
          <w:lang w:val="zh-CN"/>
        </w:rPr>
      </w:pPr>
    </w:p>
    <w:p>
      <w:pPr>
        <w:jc w:val="left"/>
        <w:rPr>
          <w:rFonts w:ascii="黑体" w:hAnsi="黑体" w:eastAsia="黑体" w:cs="黑体"/>
          <w:sz w:val="32"/>
          <w:szCs w:val="32"/>
          <w:lang w:val="zh-CN"/>
        </w:rPr>
      </w:pPr>
    </w:p>
    <w:p>
      <w:pPr>
        <w:ind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一、收入支出决算总体情况说明</w:t>
      </w:r>
    </w:p>
    <w:p>
      <w:pPr>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年度收、支总计均为</w:t>
      </w:r>
      <w:r>
        <w:rPr>
          <w:rFonts w:hint="eastAsia" w:ascii="仿宋_GB2312" w:hAnsi="仿宋_GB2312" w:eastAsia="仿宋_GB2312" w:cs="仿宋_GB2312"/>
          <w:sz w:val="32"/>
          <w:szCs w:val="32"/>
        </w:rPr>
        <w:t xml:space="preserve">709.97万元，与上年度相比，收、支总计增加12.69万元，增加1.82%，主要原因是人员年度薪级调增。                          </w:t>
      </w:r>
      <w:r>
        <w:rPr>
          <w:rFonts w:hint="eastAsia" w:ascii="仿宋_GB2312" w:hAnsi="仿宋_GB2312" w:eastAsia="仿宋_GB2312" w:cs="仿宋_GB2312"/>
          <w:sz w:val="32"/>
          <w:szCs w:val="32"/>
          <w:lang w:val="zh-CN"/>
        </w:rPr>
        <w:t>。</w:t>
      </w:r>
    </w:p>
    <w:p>
      <w:pPr>
        <w:ind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二、收入决算情况说明</w:t>
      </w:r>
    </w:p>
    <w:p>
      <w:pPr>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年度收入总计</w:t>
      </w:r>
      <w:r>
        <w:rPr>
          <w:rFonts w:hint="eastAsia" w:ascii="仿宋_GB2312" w:hAnsi="仿宋_GB2312" w:eastAsia="仿宋_GB2312" w:cs="仿宋_GB2312"/>
          <w:sz w:val="32"/>
          <w:szCs w:val="32"/>
        </w:rPr>
        <w:t>644.60</w:t>
      </w:r>
      <w:r>
        <w:rPr>
          <w:rFonts w:hint="eastAsia" w:ascii="仿宋_GB2312" w:hAnsi="仿宋_GB2312" w:eastAsia="仿宋_GB2312" w:cs="仿宋_GB2312"/>
          <w:sz w:val="32"/>
          <w:szCs w:val="32"/>
          <w:lang w:val="zh-CN"/>
        </w:rPr>
        <w:t>万元，其中：财政拨款收入</w:t>
      </w:r>
      <w:r>
        <w:rPr>
          <w:rFonts w:hint="eastAsia" w:ascii="仿宋_GB2312" w:hAnsi="仿宋_GB2312" w:eastAsia="仿宋_GB2312" w:cs="仿宋_GB2312"/>
          <w:sz w:val="32"/>
          <w:szCs w:val="32"/>
        </w:rPr>
        <w:t>644.60</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%；上级补助收入0.00万元，占0.00%；事业收入0.00万元，占0.00%；经营收入0.00万元，占0.00%；附属单位上缴收入0.00万元，占0.00%；其他收入0.00万元，占0.00%。</w:t>
      </w:r>
    </w:p>
    <w:p>
      <w:pPr>
        <w:ind w:firstLine="640" w:firstLineChars="200"/>
        <w:jc w:val="left"/>
        <w:rPr>
          <w:rFonts w:ascii="宋体" w:hAnsi="宋体"/>
          <w:sz w:val="38"/>
          <w:lang w:val="zh-CN"/>
        </w:rPr>
      </w:pPr>
      <w:r>
        <w:rPr>
          <w:rFonts w:hint="eastAsia" w:ascii="黑体" w:hAnsi="黑体" w:eastAsia="黑体" w:cs="黑体"/>
          <w:sz w:val="32"/>
          <w:szCs w:val="32"/>
          <w:lang w:val="zh-CN"/>
        </w:rPr>
        <w:t>三、支出决算情况说明</w:t>
      </w:r>
    </w:p>
    <w:p>
      <w:pPr>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年度支出合计</w:t>
      </w:r>
      <w:r>
        <w:rPr>
          <w:rFonts w:hint="eastAsia" w:ascii="仿宋_GB2312" w:hAnsi="仿宋_GB2312" w:eastAsia="仿宋_GB2312" w:cs="仿宋_GB2312"/>
          <w:sz w:val="32"/>
          <w:szCs w:val="32"/>
        </w:rPr>
        <w:t>709.97</w:t>
      </w:r>
      <w:r>
        <w:rPr>
          <w:rFonts w:hint="eastAsia" w:ascii="仿宋_GB2312" w:hAnsi="仿宋_GB2312" w:eastAsia="仿宋_GB2312" w:cs="仿宋_GB2312"/>
          <w:sz w:val="32"/>
          <w:szCs w:val="32"/>
          <w:lang w:val="zh-CN"/>
        </w:rPr>
        <w:t>万元，其中：基本支出</w:t>
      </w:r>
      <w:r>
        <w:rPr>
          <w:rFonts w:hint="eastAsia" w:ascii="仿宋_GB2312" w:hAnsi="仿宋_GB2312" w:eastAsia="仿宋_GB2312" w:cs="仿宋_GB2312"/>
          <w:sz w:val="32"/>
          <w:szCs w:val="32"/>
        </w:rPr>
        <w:t>709.97</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%；项目支出</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lang w:val="zh-CN"/>
        </w:rPr>
        <w:t>万元，占0.00%;上缴上级支出0.00万元，占0.00%；经营支出0.00万元，占0.00%；对附属单位补助支出0.00万元，占0.00%。</w:t>
      </w:r>
    </w:p>
    <w:p>
      <w:pPr>
        <w:ind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四、财政拨款收入支出决算总体情况说明</w:t>
      </w:r>
    </w:p>
    <w:p>
      <w:pPr>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年度财政拨款收、支总计均为</w:t>
      </w:r>
      <w:r>
        <w:rPr>
          <w:rFonts w:hint="eastAsia" w:ascii="仿宋_GB2312" w:hAnsi="仿宋_GB2312" w:eastAsia="仿宋_GB2312" w:cs="仿宋_GB2312"/>
          <w:sz w:val="32"/>
          <w:szCs w:val="32"/>
        </w:rPr>
        <w:t>709.97</w:t>
      </w:r>
      <w:r>
        <w:rPr>
          <w:rFonts w:hint="eastAsia" w:ascii="仿宋_GB2312" w:hAnsi="仿宋_GB2312" w:eastAsia="仿宋_GB2312" w:cs="仿宋_GB2312"/>
          <w:sz w:val="32"/>
          <w:szCs w:val="32"/>
          <w:lang w:val="zh-CN"/>
        </w:rPr>
        <w:t>万元。与上年度相比，财政拨款收、支总计增长12.69</w:t>
      </w:r>
      <w:r>
        <w:rPr>
          <w:rFonts w:hint="eastAsia" w:ascii="仿宋_GB2312" w:hAnsi="仿宋_GB2312" w:eastAsia="仿宋_GB2312" w:cs="仿宋_GB2312"/>
          <w:sz w:val="32"/>
          <w:szCs w:val="32"/>
        </w:rPr>
        <w:t>万元，增比1.82%，</w:t>
      </w:r>
      <w:r>
        <w:rPr>
          <w:rFonts w:hint="eastAsia" w:ascii="仿宋_GB2312" w:hAnsi="仿宋_GB2312" w:eastAsia="仿宋_GB2312" w:cs="仿宋_GB2312"/>
          <w:sz w:val="32"/>
          <w:szCs w:val="32"/>
          <w:lang w:val="zh-CN"/>
        </w:rPr>
        <w:t>主要原因是人员</w:t>
      </w:r>
      <w:r>
        <w:rPr>
          <w:rFonts w:hint="eastAsia" w:ascii="仿宋_GB2312" w:hAnsi="仿宋_GB2312" w:eastAsia="仿宋_GB2312" w:cs="仿宋_GB2312"/>
          <w:sz w:val="32"/>
          <w:szCs w:val="32"/>
        </w:rPr>
        <w:t>年度薪级调增</w:t>
      </w:r>
      <w:r>
        <w:rPr>
          <w:rFonts w:hint="eastAsia" w:ascii="仿宋_GB2312" w:hAnsi="仿宋_GB2312" w:eastAsia="仿宋_GB2312" w:cs="仿宋_GB2312"/>
          <w:sz w:val="32"/>
          <w:szCs w:val="32"/>
          <w:lang w:val="zh-CN"/>
        </w:rPr>
        <w:t>。</w:t>
      </w:r>
    </w:p>
    <w:p>
      <w:pPr>
        <w:ind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五、一般公共预算财政拨款支出决算情况说明</w:t>
      </w:r>
    </w:p>
    <w:p>
      <w:pPr>
        <w:ind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（一）总体情况。</w:t>
      </w:r>
    </w:p>
    <w:p>
      <w:pPr>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年度一般公共预算财政拨款支出</w:t>
      </w:r>
      <w:r>
        <w:rPr>
          <w:rFonts w:hint="eastAsia" w:ascii="仿宋_GB2312" w:hAnsi="仿宋_GB2312" w:eastAsia="仿宋_GB2312" w:cs="仿宋_GB2312"/>
          <w:sz w:val="32"/>
          <w:szCs w:val="32"/>
        </w:rPr>
        <w:t>709.97</w:t>
      </w:r>
      <w:r>
        <w:rPr>
          <w:rFonts w:hint="eastAsia" w:ascii="仿宋_GB2312" w:hAnsi="仿宋_GB2312" w:eastAsia="仿宋_GB2312" w:cs="仿宋_GB2312"/>
          <w:sz w:val="32"/>
          <w:szCs w:val="32"/>
          <w:lang w:val="zh-CN"/>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%。与上年度相比，一般公共预算财政拨款支出增长12.69万元，增比</w:t>
      </w:r>
      <w:r>
        <w:rPr>
          <w:rFonts w:hint="eastAsia" w:ascii="仿宋_GB2312" w:hAnsi="仿宋_GB2312" w:eastAsia="仿宋_GB2312" w:cs="仿宋_GB2312"/>
          <w:sz w:val="32"/>
          <w:szCs w:val="32"/>
        </w:rPr>
        <w:t>1.82</w:t>
      </w:r>
      <w:r>
        <w:rPr>
          <w:rFonts w:hint="eastAsia" w:ascii="仿宋_GB2312" w:hAnsi="仿宋_GB2312" w:eastAsia="仿宋_GB2312" w:cs="仿宋_GB2312"/>
          <w:sz w:val="32"/>
          <w:szCs w:val="32"/>
          <w:lang w:val="zh-CN"/>
        </w:rPr>
        <w:t>%。主要原因是</w:t>
      </w:r>
      <w:r>
        <w:rPr>
          <w:rFonts w:hint="eastAsia" w:ascii="仿宋_GB2312" w:hAnsi="仿宋_GB2312" w:eastAsia="仿宋_GB2312" w:cs="仿宋_GB2312"/>
          <w:sz w:val="32"/>
          <w:szCs w:val="32"/>
        </w:rPr>
        <w:t>人员年度薪级工资调增</w:t>
      </w:r>
      <w:r>
        <w:rPr>
          <w:rFonts w:hint="eastAsia" w:ascii="仿宋_GB2312" w:hAnsi="仿宋_GB2312" w:eastAsia="仿宋_GB2312" w:cs="仿宋_GB2312"/>
          <w:sz w:val="32"/>
          <w:szCs w:val="32"/>
          <w:lang w:val="zh-CN"/>
        </w:rPr>
        <w:t>。</w:t>
      </w:r>
    </w:p>
    <w:p>
      <w:pPr>
        <w:ind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（二）结构情况。</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年度一般公共预算财政拨款支出</w:t>
      </w:r>
      <w:r>
        <w:rPr>
          <w:rFonts w:hint="eastAsia" w:ascii="仿宋_GB2312" w:hAnsi="仿宋_GB2312" w:eastAsia="仿宋_GB2312" w:cs="仿宋_GB2312"/>
          <w:sz w:val="32"/>
          <w:szCs w:val="32"/>
        </w:rPr>
        <w:t>709.97</w:t>
      </w:r>
      <w:r>
        <w:rPr>
          <w:rFonts w:hint="eastAsia" w:ascii="仿宋_GB2312" w:hAnsi="仿宋_GB2312" w:eastAsia="仿宋_GB2312" w:cs="仿宋_GB2312"/>
          <w:sz w:val="32"/>
          <w:szCs w:val="32"/>
          <w:lang w:val="zh-CN"/>
        </w:rPr>
        <w:t>万元，主要用于以下方面：一般公共服务（类）支出</w:t>
      </w:r>
      <w:r>
        <w:rPr>
          <w:rFonts w:hint="eastAsia" w:ascii="仿宋_GB2312" w:hAnsi="仿宋_GB2312" w:eastAsia="仿宋_GB2312" w:cs="仿宋_GB2312"/>
          <w:sz w:val="32"/>
          <w:szCs w:val="32"/>
        </w:rPr>
        <w:t>3.30</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rPr>
        <w:t>0.46</w:t>
      </w:r>
      <w:r>
        <w:rPr>
          <w:rFonts w:hint="eastAsia" w:ascii="仿宋_GB2312" w:hAnsi="仿宋_GB2312" w:eastAsia="仿宋_GB2312" w:cs="仿宋_GB2312"/>
          <w:sz w:val="32"/>
          <w:szCs w:val="32"/>
          <w:lang w:val="zh-CN"/>
        </w:rPr>
        <w:t>%；社会保障和就业（类）支出</w:t>
      </w:r>
      <w:r>
        <w:rPr>
          <w:rFonts w:hint="eastAsia" w:ascii="仿宋_GB2312" w:hAnsi="仿宋_GB2312" w:eastAsia="仿宋_GB2312" w:cs="仿宋_GB2312"/>
          <w:sz w:val="32"/>
          <w:szCs w:val="32"/>
        </w:rPr>
        <w:t>84.58</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rPr>
        <w:t>11.91</w:t>
      </w:r>
      <w:r>
        <w:rPr>
          <w:rFonts w:hint="eastAsia" w:ascii="仿宋_GB2312" w:hAnsi="仿宋_GB2312" w:eastAsia="仿宋_GB2312" w:cs="仿宋_GB2312"/>
          <w:sz w:val="32"/>
          <w:szCs w:val="32"/>
          <w:lang w:val="zh-CN"/>
        </w:rPr>
        <w:t>%，卫生健康（类）支出</w:t>
      </w:r>
      <w:r>
        <w:rPr>
          <w:rFonts w:hint="eastAsia" w:ascii="仿宋_GB2312" w:hAnsi="仿宋_GB2312" w:eastAsia="仿宋_GB2312" w:cs="仿宋_GB2312"/>
          <w:sz w:val="32"/>
          <w:szCs w:val="32"/>
        </w:rPr>
        <w:t>22.83万元，占3.22%，</w:t>
      </w:r>
      <w:r>
        <w:rPr>
          <w:rFonts w:hint="eastAsia" w:ascii="仿宋_GB2312" w:hAnsi="仿宋_GB2312" w:eastAsia="仿宋_GB2312" w:cs="仿宋_GB2312"/>
          <w:sz w:val="32"/>
          <w:szCs w:val="32"/>
          <w:lang w:val="zh-CN"/>
        </w:rPr>
        <w:t>农林水（类）支出</w:t>
      </w:r>
      <w:r>
        <w:rPr>
          <w:rFonts w:hint="eastAsia" w:ascii="仿宋_GB2312" w:hAnsi="仿宋_GB2312" w:eastAsia="仿宋_GB2312" w:cs="仿宋_GB2312"/>
          <w:sz w:val="32"/>
          <w:szCs w:val="32"/>
        </w:rPr>
        <w:t>599.26万元，占84.41%</w:t>
      </w:r>
      <w:r>
        <w:rPr>
          <w:rFonts w:hint="eastAsia" w:ascii="仿宋_GB2312" w:hAnsi="仿宋_GB2312" w:eastAsia="仿宋_GB2312" w:cs="仿宋_GB2312"/>
          <w:sz w:val="32"/>
          <w:szCs w:val="32"/>
          <w:lang w:val="zh-CN"/>
        </w:rPr>
        <w:t>。</w:t>
      </w:r>
    </w:p>
    <w:p>
      <w:pPr>
        <w:ind w:firstLine="640" w:firstLineChars="200"/>
        <w:rPr>
          <w:rFonts w:ascii="宋体" w:hAnsi="宋体"/>
          <w:sz w:val="38"/>
          <w:lang w:val="zh-CN"/>
        </w:rPr>
      </w:pPr>
      <w:r>
        <w:rPr>
          <w:rFonts w:hint="eastAsia" w:ascii="黑体" w:hAnsi="黑体" w:eastAsia="黑体" w:cs="黑体"/>
          <w:sz w:val="32"/>
          <w:szCs w:val="32"/>
          <w:lang w:val="zh-CN"/>
        </w:rPr>
        <w:t>（三）具体情况。</w:t>
      </w:r>
    </w:p>
    <w:p>
      <w:pP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年度一般公共预算财政拨款支出年初预算为644.60万元，支出决算为</w:t>
      </w:r>
      <w:r>
        <w:rPr>
          <w:rFonts w:hint="eastAsia" w:ascii="仿宋_GB2312" w:hAnsi="仿宋_GB2312" w:eastAsia="仿宋_GB2312" w:cs="仿宋_GB2312"/>
          <w:sz w:val="32"/>
          <w:szCs w:val="32"/>
        </w:rPr>
        <w:t>709.97</w:t>
      </w:r>
      <w:r>
        <w:rPr>
          <w:rFonts w:hint="eastAsia" w:ascii="仿宋_GB2312" w:hAnsi="仿宋_GB2312" w:eastAsia="仿宋_GB2312" w:cs="仿宋_GB2312"/>
          <w:sz w:val="32"/>
          <w:szCs w:val="32"/>
          <w:lang w:val="zh-CN"/>
        </w:rPr>
        <w:t>万元，完成年初预算</w:t>
      </w:r>
      <w:r>
        <w:rPr>
          <w:rFonts w:hint="eastAsia" w:ascii="仿宋_GB2312" w:hAnsi="仿宋_GB2312" w:eastAsia="仿宋_GB2312" w:cs="仿宋_GB2312"/>
          <w:sz w:val="32"/>
          <w:szCs w:val="32"/>
        </w:rPr>
        <w:t>110.14</w:t>
      </w:r>
      <w:r>
        <w:rPr>
          <w:rFonts w:hint="eastAsia" w:ascii="仿宋_GB2312" w:hAnsi="仿宋_GB2312" w:eastAsia="仿宋_GB2312" w:cs="仿宋_GB2312"/>
          <w:sz w:val="32"/>
          <w:szCs w:val="32"/>
          <w:lang w:val="zh-CN"/>
        </w:rPr>
        <w:t>%。其中：</w:t>
      </w:r>
    </w:p>
    <w:p>
      <w:pPr>
        <w:ind w:firstLine="643" w:firstLineChars="200"/>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1.一般公共服务支出（类）群众团体事务（款）工会事务（项）。</w:t>
      </w:r>
      <w:r>
        <w:rPr>
          <w:rFonts w:hint="eastAsia" w:ascii="仿宋_GB2312" w:hAnsi="仿宋_GB2312" w:eastAsia="仿宋_GB2312" w:cs="仿宋_GB2312"/>
          <w:sz w:val="32"/>
          <w:szCs w:val="32"/>
          <w:lang w:val="zh-CN"/>
        </w:rPr>
        <w:t>年初预算为</w:t>
      </w:r>
      <w:r>
        <w:rPr>
          <w:rFonts w:hint="eastAsia" w:ascii="仿宋_GB2312" w:hAnsi="仿宋_GB2312" w:eastAsia="仿宋_GB2312" w:cs="仿宋_GB2312"/>
          <w:sz w:val="32"/>
          <w:szCs w:val="32"/>
        </w:rPr>
        <w:t>3.30</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rPr>
        <w:t>3.30</w:t>
      </w:r>
      <w:r>
        <w:rPr>
          <w:rFonts w:hint="eastAsia" w:ascii="仿宋_GB2312" w:hAnsi="仿宋_GB2312" w:eastAsia="仿宋_GB2312" w:cs="仿宋_GB2312"/>
          <w:sz w:val="32"/>
          <w:szCs w:val="32"/>
          <w:lang w:val="zh-CN"/>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。决算数与年初预算数不存在差异。</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2.社会保障和就业支出（类）行政事业单位养老支出（款）事业单位离退休费（项）。</w:t>
      </w:r>
      <w:r>
        <w:rPr>
          <w:rFonts w:hint="eastAsia" w:ascii="仿宋_GB2312" w:hAnsi="仿宋_GB2312" w:eastAsia="仿宋_GB2312" w:cs="仿宋_GB2312"/>
          <w:sz w:val="32"/>
          <w:szCs w:val="32"/>
        </w:rPr>
        <w:t>年初预算为32.41万元，支出决算为38.61万元，完成预算119.13%。</w:t>
      </w:r>
      <w:r>
        <w:rPr>
          <w:rFonts w:hint="eastAsia" w:ascii="仿宋_GB2312" w:hAnsi="仿宋_GB2312" w:eastAsia="仿宋_GB2312" w:cs="仿宋_GB2312"/>
          <w:sz w:val="32"/>
          <w:szCs w:val="32"/>
          <w:lang w:val="zh-CN"/>
        </w:rPr>
        <w:t>决算数与年初预算数存在差异的主要原因是退休人员文明奖及平时健康休养费计算基数调增</w:t>
      </w:r>
      <w:r>
        <w:rPr>
          <w:rFonts w:hint="eastAsia" w:ascii="仿宋_GB2312" w:hAnsi="仿宋_GB2312" w:eastAsia="仿宋_GB2312" w:cs="仿宋_GB2312"/>
          <w:sz w:val="32"/>
          <w:szCs w:val="32"/>
        </w:rPr>
        <w:t>。</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3.社会保障和就业支出（类）行政事业单位养老支出（款）机关事业单位基本养老保险缴费（项）</w:t>
      </w:r>
      <w:r>
        <w:rPr>
          <w:rFonts w:hint="eastAsia" w:ascii="仿宋_GB2312" w:hAnsi="仿宋_GB2312" w:eastAsia="仿宋_GB2312" w:cs="仿宋_GB2312"/>
          <w:sz w:val="32"/>
          <w:szCs w:val="32"/>
        </w:rPr>
        <w:t>。年初预算39.24万元，支出决算45.97万元，完成预算117.15%</w:t>
      </w:r>
      <w:r>
        <w:rPr>
          <w:rFonts w:hint="eastAsia" w:ascii="仿宋_GB2312" w:hAnsi="仿宋_GB2312" w:eastAsia="仿宋_GB2312" w:cs="仿宋_GB2312"/>
          <w:sz w:val="32"/>
          <w:szCs w:val="32"/>
          <w:lang w:val="zh-CN"/>
        </w:rPr>
        <w:t>。决算数与年初预算数存在差异的主要原因是支出使用的有上年结转资金。</w:t>
      </w:r>
    </w:p>
    <w:p>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4.卫生健康支出(类）行政事业单位医疗（款）事业单位医疗（项）。</w:t>
      </w:r>
      <w:r>
        <w:rPr>
          <w:rFonts w:hint="eastAsia" w:ascii="仿宋_GB2312" w:hAnsi="仿宋_GB2312" w:eastAsia="仿宋_GB2312" w:cs="仿宋_GB2312"/>
          <w:sz w:val="32"/>
          <w:szCs w:val="32"/>
        </w:rPr>
        <w:t>年初预算18.97万元，支出决算22.83万元，完成预算120.35%，</w:t>
      </w:r>
      <w:r>
        <w:rPr>
          <w:rFonts w:hint="eastAsia" w:ascii="仿宋_GB2312" w:hAnsi="仿宋_GB2312" w:eastAsia="仿宋_GB2312" w:cs="仿宋_GB2312"/>
          <w:sz w:val="32"/>
          <w:szCs w:val="32"/>
          <w:lang w:val="zh-CN"/>
        </w:rPr>
        <w:t>决算数与年初预算数存在差异的主要原因是支出使用的有上年结转资金。</w:t>
      </w:r>
    </w:p>
    <w:p>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5.农林水支出（类）水利(款)水利行业业务管理（项</w:t>
      </w:r>
      <w:r>
        <w:rPr>
          <w:rFonts w:hint="eastAsia" w:ascii="仿宋_GB2312" w:hAnsi="仿宋_GB2312" w:eastAsia="仿宋_GB2312" w:cs="仿宋_GB2312"/>
          <w:sz w:val="32"/>
          <w:szCs w:val="32"/>
        </w:rPr>
        <w:t>）。年初预算0.00万元，支出决算1.35万元，决算数与年初预算数存在差异的主要原因是使用上年度结转资金。</w:t>
      </w:r>
    </w:p>
    <w:p>
      <w:pPr>
        <w:ind w:firstLine="643" w:firstLineChars="200"/>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val="zh-CN"/>
        </w:rPr>
        <w:t>农林水支出（类）水利（款）水资源节约管理与保护（项）</w:t>
      </w:r>
      <w:r>
        <w:rPr>
          <w:rFonts w:hint="eastAsia" w:ascii="仿宋_GB2312" w:hAnsi="仿宋_GB2312" w:eastAsia="仿宋_GB2312" w:cs="仿宋_GB2312"/>
          <w:sz w:val="32"/>
          <w:szCs w:val="32"/>
          <w:lang w:val="zh-CN"/>
        </w:rPr>
        <w:t>年初预算为551.78万元，支出决算为</w:t>
      </w:r>
      <w:r>
        <w:rPr>
          <w:rFonts w:hint="eastAsia" w:ascii="仿宋_GB2312" w:hAnsi="仿宋_GB2312" w:eastAsia="仿宋_GB2312" w:cs="仿宋_GB2312"/>
          <w:sz w:val="32"/>
          <w:szCs w:val="32"/>
        </w:rPr>
        <w:t>597.91</w:t>
      </w:r>
      <w:r>
        <w:rPr>
          <w:rFonts w:hint="eastAsia" w:ascii="仿宋_GB2312" w:hAnsi="仿宋_GB2312" w:eastAsia="仿宋_GB2312" w:cs="仿宋_GB2312"/>
          <w:sz w:val="32"/>
          <w:szCs w:val="32"/>
          <w:lang w:val="zh-CN"/>
        </w:rPr>
        <w:t>万元，完成年初预算的</w:t>
      </w:r>
      <w:r>
        <w:rPr>
          <w:rFonts w:hint="eastAsia" w:ascii="仿宋_GB2312" w:hAnsi="仿宋_GB2312" w:eastAsia="仿宋_GB2312" w:cs="仿宋_GB2312"/>
          <w:sz w:val="32"/>
          <w:szCs w:val="32"/>
        </w:rPr>
        <w:t>108.36</w:t>
      </w:r>
      <w:r>
        <w:rPr>
          <w:rFonts w:hint="eastAsia" w:ascii="仿宋_GB2312" w:hAnsi="仿宋_GB2312" w:eastAsia="仿宋_GB2312" w:cs="仿宋_GB2312"/>
          <w:sz w:val="32"/>
          <w:szCs w:val="32"/>
          <w:lang w:val="zh-CN"/>
        </w:rPr>
        <w:t>%。决算数与年初预算数存在差异的主要原因是在职人员年度薪资调增以及补发</w:t>
      </w:r>
      <w:r>
        <w:rPr>
          <w:rFonts w:hint="eastAsia" w:ascii="仿宋_GB2312" w:hAnsi="仿宋_GB2312" w:eastAsia="仿宋_GB2312" w:cs="仿宋_GB2312"/>
          <w:sz w:val="32"/>
          <w:szCs w:val="32"/>
        </w:rPr>
        <w:t>2019年度未休假人员补助</w:t>
      </w:r>
      <w:r>
        <w:rPr>
          <w:rFonts w:hint="eastAsia" w:ascii="仿宋_GB2312" w:hAnsi="仿宋_GB2312" w:eastAsia="仿宋_GB2312" w:cs="仿宋_GB2312"/>
          <w:sz w:val="32"/>
          <w:szCs w:val="32"/>
          <w:lang w:val="zh-CN"/>
        </w:rPr>
        <w:t>。</w:t>
      </w:r>
    </w:p>
    <w:p>
      <w:pPr>
        <w:ind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六、一般公共预算财政拨款基本支出决算情况说明</w:t>
      </w:r>
    </w:p>
    <w:p>
      <w:pPr>
        <w:widowControl/>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20</w:t>
      </w:r>
      <w:r>
        <w:rPr>
          <w:rFonts w:hint="eastAsia"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lang w:val="zh-CN"/>
        </w:rPr>
        <w:t>年度一般公共预算财政拨款基本支出</w:t>
      </w:r>
      <w:r>
        <w:rPr>
          <w:rFonts w:hint="eastAsia" w:ascii="仿宋_GB2312" w:hAnsi="仿宋_GB2312" w:eastAsia="仿宋_GB2312" w:cs="仿宋_GB2312"/>
          <w:color w:val="000000"/>
          <w:sz w:val="32"/>
          <w:szCs w:val="32"/>
        </w:rPr>
        <w:t>709.97</w:t>
      </w:r>
      <w:r>
        <w:rPr>
          <w:rFonts w:hint="eastAsia" w:ascii="仿宋_GB2312" w:hAnsi="仿宋_GB2312" w:eastAsia="仿宋_GB2312" w:cs="仿宋_GB2312"/>
          <w:color w:val="000000"/>
          <w:sz w:val="32"/>
          <w:szCs w:val="32"/>
          <w:lang w:val="zh-CN"/>
        </w:rPr>
        <w:t>万元。其中：</w:t>
      </w:r>
      <w:r>
        <w:rPr>
          <w:rFonts w:hint="eastAsia" w:ascii="仿宋_GB2312" w:hAnsi="仿宋_GB2312" w:eastAsia="仿宋_GB2312" w:cs="仿宋_GB2312"/>
          <w:b/>
          <w:bCs/>
          <w:color w:val="000000"/>
          <w:sz w:val="32"/>
          <w:szCs w:val="32"/>
          <w:lang w:val="zh-CN"/>
        </w:rPr>
        <w:t>人员经费</w:t>
      </w:r>
      <w:r>
        <w:rPr>
          <w:rFonts w:hint="eastAsia" w:ascii="仿宋_GB2312" w:hAnsi="仿宋_GB2312" w:eastAsia="仿宋_GB2312" w:cs="仿宋_GB2312"/>
          <w:b/>
          <w:bCs/>
          <w:color w:val="000000"/>
          <w:sz w:val="32"/>
          <w:szCs w:val="32"/>
        </w:rPr>
        <w:t>677.37</w:t>
      </w:r>
      <w:r>
        <w:rPr>
          <w:rFonts w:hint="eastAsia" w:ascii="仿宋_GB2312" w:hAnsi="仿宋_GB2312" w:eastAsia="仿宋_GB2312" w:cs="仿宋_GB2312"/>
          <w:b/>
          <w:bCs/>
          <w:color w:val="000000"/>
          <w:sz w:val="32"/>
          <w:szCs w:val="32"/>
          <w:lang w:val="zh-CN"/>
        </w:rPr>
        <w:t>万元</w:t>
      </w:r>
      <w:r>
        <w:rPr>
          <w:rFonts w:hint="eastAsia" w:ascii="仿宋_GB2312" w:hAnsi="仿宋_GB2312" w:eastAsia="仿宋_GB2312" w:cs="仿宋_GB2312"/>
          <w:color w:val="000000"/>
          <w:sz w:val="32"/>
          <w:szCs w:val="32"/>
          <w:lang w:val="zh-CN"/>
        </w:rPr>
        <w:t>，主要包括：基本工资、津贴补贴、绩效工资、机关事业单位基本养老保险缴费、职工基本医疗保险缴费、其他社会保障缴费、其他工资福利支出（退伍军人）、退休费、生活补助、奖金、住房公积金、其他对个人和家庭的补助支出；</w:t>
      </w:r>
      <w:r>
        <w:rPr>
          <w:rFonts w:hint="eastAsia" w:ascii="仿宋_GB2312" w:hAnsi="仿宋_GB2312" w:eastAsia="仿宋_GB2312" w:cs="仿宋_GB2312"/>
          <w:b/>
          <w:bCs/>
          <w:color w:val="000000"/>
          <w:sz w:val="32"/>
          <w:szCs w:val="32"/>
          <w:lang w:val="zh-CN"/>
        </w:rPr>
        <w:t>公用经费</w:t>
      </w:r>
      <w:r>
        <w:rPr>
          <w:rFonts w:hint="eastAsia" w:ascii="仿宋_GB2312" w:hAnsi="仿宋_GB2312" w:eastAsia="仿宋_GB2312" w:cs="仿宋_GB2312"/>
          <w:b/>
          <w:bCs/>
          <w:color w:val="000000"/>
          <w:sz w:val="32"/>
          <w:szCs w:val="32"/>
        </w:rPr>
        <w:t>32.60</w:t>
      </w:r>
      <w:r>
        <w:rPr>
          <w:rFonts w:hint="eastAsia" w:ascii="仿宋_GB2312" w:hAnsi="仿宋_GB2312" w:eastAsia="仿宋_GB2312" w:cs="仿宋_GB2312"/>
          <w:b/>
          <w:bCs/>
          <w:color w:val="000000"/>
          <w:sz w:val="32"/>
          <w:szCs w:val="32"/>
          <w:lang w:val="zh-CN"/>
        </w:rPr>
        <w:t>万元</w:t>
      </w:r>
      <w:r>
        <w:rPr>
          <w:rFonts w:hint="eastAsia" w:ascii="仿宋_GB2312" w:hAnsi="仿宋_GB2312" w:eastAsia="仿宋_GB2312" w:cs="仿宋_GB2312"/>
          <w:color w:val="000000"/>
          <w:sz w:val="32"/>
          <w:szCs w:val="32"/>
          <w:lang w:val="zh-CN"/>
        </w:rPr>
        <w:t>，主要包括：办公费、水费、电费、邮电费、取暖费、物业管理费、差旅费、维修（护）费、培训费、工会经费、福利费、公务用车运行维护费、其他交通费用、其他商品和服务支出。</w:t>
      </w:r>
    </w:p>
    <w:p>
      <w:pPr>
        <w:ind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七、一般公共预算财政拨款“三公”经费支出决算情况说明</w:t>
      </w:r>
    </w:p>
    <w:p>
      <w:pPr>
        <w:ind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年度“三公”经费财政拨款支出预算为</w:t>
      </w:r>
      <w:r>
        <w:rPr>
          <w:rFonts w:hint="eastAsia" w:ascii="仿宋_GB2312" w:hAnsi="仿宋_GB2312" w:eastAsia="仿宋_GB2312" w:cs="仿宋_GB2312"/>
          <w:sz w:val="32"/>
          <w:szCs w:val="32"/>
        </w:rPr>
        <w:t>2.80</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rPr>
        <w:t>2.00</w:t>
      </w:r>
      <w:r>
        <w:rPr>
          <w:rFonts w:hint="eastAsia" w:ascii="仿宋_GB2312" w:hAnsi="仿宋_GB2312" w:eastAsia="仿宋_GB2312" w:cs="仿宋_GB2312"/>
          <w:sz w:val="32"/>
          <w:szCs w:val="32"/>
          <w:lang w:val="zh-CN"/>
        </w:rPr>
        <w:t>万元，完成预算的</w:t>
      </w:r>
      <w:r>
        <w:rPr>
          <w:rFonts w:hint="eastAsia" w:ascii="仿宋_GB2312" w:hAnsi="仿宋_GB2312" w:eastAsia="仿宋_GB2312" w:cs="仿宋_GB2312"/>
          <w:sz w:val="32"/>
          <w:szCs w:val="32"/>
        </w:rPr>
        <w:t>71.43</w:t>
      </w:r>
      <w:r>
        <w:rPr>
          <w:rFonts w:hint="eastAsia" w:ascii="仿宋_GB2312" w:hAnsi="仿宋_GB2312" w:eastAsia="仿宋_GB2312" w:cs="仿宋_GB2312"/>
          <w:sz w:val="32"/>
          <w:szCs w:val="32"/>
          <w:lang w:val="zh-CN"/>
        </w:rPr>
        <w:t>%。决算数与年初预算数存在差异的原因是</w:t>
      </w:r>
      <w:r>
        <w:rPr>
          <w:rFonts w:hint="eastAsia" w:ascii="仿宋_GB2312" w:hAnsi="仿宋_GB2312" w:eastAsia="仿宋_GB2312" w:cs="仿宋_GB2312"/>
          <w:sz w:val="32"/>
          <w:szCs w:val="32"/>
        </w:rPr>
        <w:t>严格执行中央八项规定精神，厉行节约压缩三公经费支出。</w:t>
      </w:r>
    </w:p>
    <w:p>
      <w:pPr>
        <w:ind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（二）“三公”经费财政拨款支出决算具体情况说明。</w:t>
      </w:r>
    </w:p>
    <w:p>
      <w:pPr>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年度“三公”经费财政拨款支出决算中，因公出国（境）费支出决算0.00万元；公务用车购置及运行费支出决算</w:t>
      </w:r>
      <w:r>
        <w:rPr>
          <w:rFonts w:hint="eastAsia" w:ascii="仿宋_GB2312" w:hAnsi="仿宋_GB2312" w:eastAsia="仿宋_GB2312" w:cs="仿宋_GB2312"/>
          <w:sz w:val="32"/>
          <w:szCs w:val="32"/>
        </w:rPr>
        <w:t>2.00</w:t>
      </w:r>
      <w:r>
        <w:rPr>
          <w:rFonts w:hint="eastAsia" w:ascii="仿宋_GB2312" w:hAnsi="仿宋_GB2312" w:eastAsia="仿宋_GB2312" w:cs="仿宋_GB2312"/>
          <w:sz w:val="32"/>
          <w:szCs w:val="32"/>
          <w:lang w:val="zh-CN"/>
        </w:rPr>
        <w:t>万元，完成预算的</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，占100%</w:t>
      </w:r>
      <w:r>
        <w:rPr>
          <w:rFonts w:hint="eastAsia" w:ascii="仿宋_GB2312" w:hAnsi="仿宋_GB2312" w:eastAsia="仿宋_GB2312" w:cs="仿宋_GB2312"/>
          <w:sz w:val="32"/>
          <w:szCs w:val="32"/>
          <w:lang w:val="zh-CN"/>
        </w:rPr>
        <w:t>，公务接待费支出决算0.00万元</w:t>
      </w:r>
      <w:r>
        <w:rPr>
          <w:rFonts w:hint="eastAsia" w:ascii="仿宋_GB2312" w:hAnsi="仿宋_GB2312" w:eastAsia="仿宋_GB2312" w:cs="仿宋_GB2312"/>
          <w:sz w:val="32"/>
          <w:szCs w:val="32"/>
        </w:rPr>
        <w:t>，完成预算的0.00%，占0.00%</w:t>
      </w:r>
      <w:r>
        <w:rPr>
          <w:rFonts w:hint="eastAsia" w:ascii="仿宋_GB2312" w:hAnsi="仿宋_GB2312" w:eastAsia="仿宋_GB2312" w:cs="仿宋_GB2312"/>
          <w:sz w:val="32"/>
          <w:szCs w:val="32"/>
          <w:lang w:val="zh-CN"/>
        </w:rPr>
        <w:t>。具体情况如下：</w:t>
      </w:r>
    </w:p>
    <w:p>
      <w:pPr>
        <w:ind w:firstLine="643"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1</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zh-CN"/>
        </w:rPr>
        <w:t>因公出国（境）费</w:t>
      </w:r>
      <w:r>
        <w:rPr>
          <w:rFonts w:hint="eastAsia" w:ascii="仿宋_GB2312" w:hAnsi="仿宋_GB2312" w:eastAsia="仿宋_GB2312" w:cs="仿宋_GB2312"/>
          <w:sz w:val="32"/>
          <w:szCs w:val="32"/>
          <w:lang w:val="zh-CN"/>
        </w:rPr>
        <w:t>预算为0.00万元，支出决算为0.00万元。决算数与预算数不存在差异。全年因公出国（境）团组0个，累计0人次。全年因公出国（境）团组0个，累计0人次。</w:t>
      </w:r>
    </w:p>
    <w:p>
      <w:pPr>
        <w:ind w:firstLine="643"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zh-CN"/>
        </w:rPr>
        <w:t>公务用车购置及运行费</w:t>
      </w:r>
      <w:r>
        <w:rPr>
          <w:rFonts w:hint="eastAsia" w:ascii="仿宋_GB2312" w:hAnsi="仿宋_GB2312" w:eastAsia="仿宋_GB2312" w:cs="仿宋_GB2312"/>
          <w:sz w:val="32"/>
          <w:szCs w:val="32"/>
          <w:lang w:val="zh-CN"/>
        </w:rPr>
        <w:t xml:space="preserve"> 预算为</w:t>
      </w:r>
      <w:r>
        <w:rPr>
          <w:rFonts w:hint="eastAsia" w:ascii="仿宋_GB2312" w:hAnsi="仿宋_GB2312" w:eastAsia="仿宋_GB2312" w:cs="仿宋_GB2312"/>
          <w:sz w:val="32"/>
          <w:szCs w:val="32"/>
        </w:rPr>
        <w:t>2.00</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rPr>
        <w:t>2.00</w:t>
      </w:r>
      <w:r>
        <w:rPr>
          <w:rFonts w:hint="eastAsia" w:ascii="仿宋_GB2312" w:hAnsi="仿宋_GB2312" w:eastAsia="仿宋_GB2312" w:cs="仿宋_GB2312"/>
          <w:sz w:val="32"/>
          <w:szCs w:val="32"/>
          <w:lang w:val="zh-CN"/>
        </w:rPr>
        <w:t>万元，完成预算的</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%，决算数与年初预算数不存在差异。</w:t>
      </w:r>
    </w:p>
    <w:p>
      <w:pPr>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公务用车购置支出为0.00万元，购置车辆</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辆。</w:t>
      </w:r>
    </w:p>
    <w:p>
      <w:pPr>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公务用车运行支出</w:t>
      </w:r>
      <w:r>
        <w:rPr>
          <w:rFonts w:hint="eastAsia" w:ascii="仿宋_GB2312" w:hAnsi="仿宋_GB2312" w:eastAsia="仿宋_GB2312" w:cs="仿宋_GB2312"/>
          <w:sz w:val="32"/>
          <w:szCs w:val="32"/>
        </w:rPr>
        <w:t>2.00</w:t>
      </w:r>
      <w:r>
        <w:rPr>
          <w:rFonts w:hint="eastAsia" w:ascii="仿宋_GB2312" w:hAnsi="仿宋_GB2312" w:eastAsia="仿宋_GB2312" w:cs="仿宋_GB2312"/>
          <w:sz w:val="32"/>
          <w:szCs w:val="32"/>
          <w:lang w:val="zh-CN"/>
        </w:rPr>
        <w:t>万元。主要用于公车燃油费、保险费、维修费、过路过桥费。20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年期末，部门开支财政拨款的公务用车保有量</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辆。</w:t>
      </w:r>
    </w:p>
    <w:p>
      <w:pPr>
        <w:widowControl/>
        <w:spacing w:line="590" w:lineRule="exact"/>
        <w:ind w:firstLine="643" w:firstLineChars="200"/>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3.公务接待费</w:t>
      </w:r>
      <w:r>
        <w:rPr>
          <w:rFonts w:hint="eastAsia" w:ascii="仿宋_GB2312" w:hAnsi="仿宋_GB2312" w:eastAsia="仿宋_GB2312" w:cs="仿宋_GB2312"/>
          <w:sz w:val="32"/>
          <w:szCs w:val="32"/>
          <w:lang w:val="zh-CN"/>
        </w:rPr>
        <w:t>预算为0.80万元，支出决算为0.00万元，完成预算的</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lang w:val="zh-CN"/>
        </w:rPr>
        <w:t>%。决算数与年初预算数存在差异的原因是</w:t>
      </w:r>
      <w:r>
        <w:rPr>
          <w:rFonts w:hint="eastAsia" w:ascii="仿宋_GB2312" w:hAnsi="仿宋_GB2312" w:eastAsia="仿宋_GB2312" w:cs="仿宋_GB2312"/>
          <w:sz w:val="32"/>
          <w:szCs w:val="32"/>
        </w:rPr>
        <w:t>严格执行中央八项规定精神，厉行节约压缩三公经费支出。</w:t>
      </w:r>
      <w:r>
        <w:rPr>
          <w:rFonts w:hint="eastAsia" w:ascii="仿宋_GB2312" w:hAnsi="仿宋_GB2312" w:eastAsia="仿宋_GB2312" w:cs="仿宋_GB2312"/>
          <w:sz w:val="32"/>
          <w:szCs w:val="32"/>
          <w:lang w:val="zh-CN"/>
        </w:rPr>
        <w:t>其中：</w:t>
      </w:r>
    </w:p>
    <w:p>
      <w:pPr>
        <w:ind w:firstLine="643"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外宾接待支出</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lang w:val="zh-CN"/>
        </w:rPr>
        <w:t>万元。20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年共接待国（境）外来访团组</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个、来访外宾</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人次（不包括陪同人员）。</w:t>
      </w:r>
    </w:p>
    <w:p>
      <w:pPr>
        <w:ind w:firstLine="643"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其他国内公务接待支出</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lang w:val="zh-CN"/>
        </w:rPr>
        <w:t>万元。20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年共接待国内来访团组</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个、来宾</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人次（不包括陪同人员）。</w:t>
      </w:r>
    </w:p>
    <w:p>
      <w:pPr>
        <w:ind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八、政府性基金预算财政拨款支出决算情况说明</w:t>
      </w:r>
    </w:p>
    <w:p>
      <w:r>
        <w:rPr>
          <w:rFonts w:hint="eastAsia" w:ascii="仿宋_GB2312" w:hAnsi="仿宋_GB2312" w:eastAsia="仿宋_GB2312" w:cs="仿宋_GB2312"/>
          <w:sz w:val="32"/>
          <w:szCs w:val="32"/>
          <w:lang w:val="zh-CN"/>
        </w:rPr>
        <w:t xml:space="preserve">   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年度政府性基金预算财政拨款支出年初预算为0.00万元，支出决算为0.00万元。不存在项目年末结转和结余资金数额较大。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情况说明：我单位</w:t>
      </w:r>
      <w:r>
        <w:rPr>
          <w:rFonts w:hint="eastAsia" w:ascii="仿宋_GB2312" w:hAnsi="仿宋_GB2312" w:eastAsia="仿宋_GB2312" w:cs="仿宋_GB2312"/>
          <w:sz w:val="32"/>
          <w:szCs w:val="32"/>
        </w:rPr>
        <w:t>2021年度没有政府性基金收入，也没有使用政府性基金安排的支出。</w:t>
      </w:r>
    </w:p>
    <w:p>
      <w:pPr>
        <w:ind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九、机关运行经费支出情况说明</w:t>
      </w:r>
    </w:p>
    <w:p>
      <w:pPr>
        <w:ind w:firstLine="1120" w:firstLineChars="35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我单位不是行政机关，也不是参照公务员管理事业单位，没有机关运行经费支出。</w:t>
      </w:r>
    </w:p>
    <w:p>
      <w:pPr>
        <w:ind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十、政府采购支出情况说明</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2021年度政府采购支出总额0.00万元，其中：政府采购货物支出0.00万元、政府采购工程支出0.00万元、政府采购服务支出0.00万元。授予中小企业合同金额0.00万元</w:t>
      </w:r>
      <w:bookmarkStart w:id="0" w:name="_GoBack"/>
      <w:bookmarkEnd w:id="0"/>
      <w:r>
        <w:rPr>
          <w:rFonts w:hint="eastAsia" w:ascii="仿宋_GB2312" w:hAnsi="仿宋_GB2312" w:eastAsia="仿宋_GB2312" w:cs="仿宋_GB2312"/>
          <w:sz w:val="32"/>
          <w:szCs w:val="32"/>
        </w:rPr>
        <w:t>，其中：授予小微企业合同金额0.00万元。</w:t>
      </w:r>
    </w:p>
    <w:p>
      <w:pPr>
        <w:ind w:firstLine="640" w:firstLineChars="200"/>
        <w:jc w:val="left"/>
        <w:rPr>
          <w:rFonts w:ascii="仿宋_GB2312" w:hAnsi="仿宋_GB2312" w:eastAsia="仿宋_GB2312" w:cs="仿宋_GB2312"/>
          <w:sz w:val="32"/>
          <w:szCs w:val="32"/>
          <w:lang w:val="zh-CN"/>
        </w:rPr>
      </w:pPr>
      <w:r>
        <w:rPr>
          <w:rFonts w:hint="eastAsia" w:ascii="黑体" w:hAnsi="黑体" w:eastAsia="黑体" w:cs="黑体"/>
          <w:bCs/>
          <w:sz w:val="32"/>
          <w:szCs w:val="32"/>
          <w:lang w:val="zh-CN"/>
        </w:rPr>
        <w:t>十一、国有资产占用情况说明</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年期末，我单位共有车辆</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辆，其中：省级领导干部用车0辆、主要领导干部用车0辆、机要通信用车0辆、应急保障车0辆、执法执勤用车0辆、特种专业技术用车0辆、离退休干部用车0辆、其他用车</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辆；单位价值50万元以上通用设备0台（套），单位价值100万元以上专用设备0台（套）。</w:t>
      </w:r>
    </w:p>
    <w:p>
      <w:pPr>
        <w:widowControl/>
        <w:spacing w:line="360" w:lineRule="auto"/>
        <w:ind w:firstLine="640" w:firstLineChars="200"/>
        <w:outlineLvl w:val="2"/>
        <w:rPr>
          <w:rFonts w:ascii="黑体" w:hAnsi="黑体" w:eastAsia="黑体" w:cs="黑体"/>
          <w:sz w:val="32"/>
          <w:szCs w:val="32"/>
          <w:lang w:val="zh-CN"/>
        </w:rPr>
      </w:pPr>
      <w:r>
        <w:rPr>
          <w:rFonts w:hint="eastAsia" w:ascii="黑体" w:hAnsi="黑体" w:eastAsia="黑体" w:cs="黑体"/>
          <w:sz w:val="32"/>
          <w:szCs w:val="32"/>
          <w:lang w:val="zh-CN"/>
        </w:rPr>
        <w:t>十二、 预算绩效情况说明</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我单位以绩效目标实现为导向，加强组织领导，制定工作方案，认真组织开展绩效工作，按照年度目标任务，逐项落实责任人和完成时间节点。</w:t>
      </w:r>
      <w:r>
        <w:rPr>
          <w:rFonts w:hint="eastAsia" w:ascii="仿宋_GB2312" w:eastAsia="仿宋_GB2312"/>
          <w:sz w:val="32"/>
          <w:szCs w:val="32"/>
        </w:rPr>
        <w:t>对本单位预算绩效监控工作进行明确分工，明确工作要求，整体预算绩效做到日常监控，并对绩效运行监控信息进行收集、审核、分析、填报，分析偏离绩效目标的原因，并及时采取纠偏措施，</w:t>
      </w:r>
      <w:r>
        <w:rPr>
          <w:rFonts w:hint="eastAsia" w:ascii="仿宋_GB2312" w:hAnsi="仿宋_GB2312" w:eastAsia="仿宋_GB2312" w:cs="仿宋_GB2312"/>
          <w:sz w:val="32"/>
          <w:szCs w:val="32"/>
        </w:rPr>
        <w:t>定期对绩效目标完成情况开展自查，及时发现问题并解决问题，将绩效评价结果更好地应用到工作中。</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号）等文件精神，我单位对本单位整体绩效目标和项目支出绩效目标进行了自评。</w:t>
      </w:r>
      <w:r>
        <w:rPr>
          <w:rFonts w:hint="eastAsia" w:ascii="仿宋_GB2312" w:hAnsi="仿宋_GB2312" w:eastAsia="仿宋_GB2312" w:cs="仿宋_GB2312"/>
          <w:b/>
          <w:sz w:val="32"/>
          <w:szCs w:val="32"/>
        </w:rPr>
        <w:t>一是单位整体绩效自评情况</w:t>
      </w:r>
      <w:r>
        <w:rPr>
          <w:rFonts w:hint="eastAsia" w:ascii="仿宋_GB2312" w:hAnsi="仿宋_GB2312" w:eastAsia="仿宋_GB2312" w:cs="仿宋_GB2312"/>
          <w:sz w:val="32"/>
          <w:szCs w:val="32"/>
        </w:rPr>
        <w:t xml:space="preserve"> ：</w:t>
      </w:r>
      <w:r>
        <w:rPr>
          <w:rFonts w:hint="eastAsia" w:ascii="仿宋_GB2312" w:hAnsi="楷体_GB2312" w:eastAsia="仿宋_GB2312" w:cs="楷体_GB2312"/>
          <w:bCs/>
          <w:sz w:val="32"/>
          <w:szCs w:val="32"/>
        </w:rPr>
        <w:t>2021年，按照单位职责，完成年度的</w:t>
      </w:r>
      <w:r>
        <w:rPr>
          <w:rFonts w:hint="eastAsia" w:ascii="仿宋_GB2312" w:eastAsia="仿宋_GB2312"/>
          <w:sz w:val="32"/>
          <w:szCs w:val="32"/>
        </w:rPr>
        <w:t>节水宣传工作，全市（含城市规划区）水资源开发利用和节约用水管理服务工作，年度计划用水管理工作和创建节水型企业（单位）和节水型小区等重点工作，单位各项年度工作任务已完成，自评结果为优秀。</w:t>
      </w:r>
      <w:r>
        <w:rPr>
          <w:rFonts w:hint="eastAsia" w:ascii="仿宋_GB2312" w:hAnsi="仿宋_GB2312" w:eastAsia="仿宋_GB2312" w:cs="仿宋_GB2312"/>
          <w:b/>
          <w:sz w:val="32"/>
          <w:szCs w:val="32"/>
        </w:rPr>
        <w:t>二是项目绩效自评情况</w:t>
      </w:r>
      <w:r>
        <w:rPr>
          <w:rFonts w:hint="eastAsia" w:ascii="仿宋_GB2312" w:hAnsi="仿宋_GB2312" w:eastAsia="仿宋_GB2312" w:cs="仿宋_GB2312"/>
          <w:sz w:val="32"/>
          <w:szCs w:val="32"/>
        </w:rPr>
        <w:t>。我单位共有0个项目批复了绩效目标，项目金额0.00万元。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基于项目预期目标的实现程度，对2021年度项目支出绩效进行自评，绩效自评平均得分为/分。其中：0个项目评价等级为“优”、0个项目评价等级为“良”、0个项目评价等级为“中”、0个项目评价等级为“差”。</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spacing w:line="360" w:lineRule="auto"/>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48"/>
          <w:szCs w:val="48"/>
        </w:rPr>
        <w:t>第四部分 名词解释</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rect id="文本框 205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ocKKAsYBAACSAwAADgAAAAAAAAABACAAAAAfAQAAZHJzL2Uyb0RvYy54&#10;bWxQSwUGAAAAAAYABgBZAQAAVwUAAAAA&#1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rect>
      </w:pict>
    </w:r>
    <w:r>
      <w:pict>
        <v:rect id="文本框 1027" o:spid="_x0000_s2050"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s+ZqQ8YBAACSAwAADgAAAAAAAAABACAAAAAfAQAAZHJzL2Uyb0RvYy54&#10;bWxQSwUGAAAAAAYABgBZAQAAVwUAAAAA&#10;">
          <v:path/>
          <v:fill on="f" focussize="0,0"/>
          <v:stroke on="f"/>
          <v:imagedata o:title=""/>
          <o:lock v:ext="edit"/>
          <v:textbox inset="0mm,0mm,0mm,0mm" style="mso-fit-shape-to-text:t;">
            <w:txbxContent>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rect id="文本框 2055" o:spid="_x0000_s2049"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eUM7nGAQAAkgMAAA4AAABkcnMvZTJvRG9jLnhtbK1TzY7TMBC+I/EO&#10;lu80aaVF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gTOHPC0oVffny//Px9+fWN&#10;rcqbm+RQH7CixodwD1OGFCa5Qws2vUkIG7Kr56uraohMUnG5Xq3XJRku6WxOCKd4/DwAxvfKW5aC&#10;mgNdW3ZTnD5iHFvnljTN+TttDNVFZdxfBcJMlSIxHjmmKA77YSK+982ZBPd04zV3tOCcmQ+ODE3L&#10;MQcwB/s5OAbQh46oLTMvDO+OkUhkbmnCCDsNpqvK6qa1SrvwNM9dj7/S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x5QzucYBAACSAwAADgAAAAAAAAABACAAAAAfAQAAZHJzL2Uyb0RvYy54&#10;bWxQSwUGAAAAAAYABgBZAQAAVwUAAAAA&#1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JkMjJlNTM4ODlkODU0ODBlY2U2ZTZhZjkyODAwMjcifQ=="/>
  </w:docVars>
  <w:rsids>
    <w:rsidRoot w:val="00830CEB"/>
    <w:rsid w:val="0003354B"/>
    <w:rsid w:val="000F32DB"/>
    <w:rsid w:val="003D3D61"/>
    <w:rsid w:val="00595E69"/>
    <w:rsid w:val="00662E07"/>
    <w:rsid w:val="006E07D2"/>
    <w:rsid w:val="00830CEB"/>
    <w:rsid w:val="00851B27"/>
    <w:rsid w:val="00897D6A"/>
    <w:rsid w:val="008A5C92"/>
    <w:rsid w:val="00A177F1"/>
    <w:rsid w:val="00B07B63"/>
    <w:rsid w:val="00BF77B8"/>
    <w:rsid w:val="00D56BCE"/>
    <w:rsid w:val="00E74D3E"/>
    <w:rsid w:val="00E87DE4"/>
    <w:rsid w:val="00F32375"/>
    <w:rsid w:val="00F86224"/>
    <w:rsid w:val="102743C9"/>
    <w:rsid w:val="66DF6ECE"/>
    <w:rsid w:val="73F152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rPr>
      <w:rFonts w:cs="黑体"/>
    </w:rPr>
  </w:style>
  <w:style w:type="paragraph" w:styleId="3">
    <w:name w:val="Body Text"/>
    <w:basedOn w:val="1"/>
    <w:qFormat/>
    <w:uiPriority w:val="1"/>
    <w:rPr>
      <w:rFonts w:ascii="仿宋_GB2312" w:hAnsi="仿宋_GB2312" w:eastAsia="仿宋_GB2312" w:cs="仿宋_GB2312"/>
      <w:sz w:val="32"/>
      <w:szCs w:val="32"/>
      <w:lang w:val="zh-CN" w:bidi="zh-CN"/>
    </w:rPr>
  </w:style>
  <w:style w:type="paragraph" w:styleId="4">
    <w:name w:val="Balloon Text"/>
    <w:basedOn w:val="1"/>
    <w:link w:val="15"/>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styleId="11">
    <w:name w:val="annotation reference"/>
    <w:basedOn w:val="8"/>
    <w:semiHidden/>
    <w:unhideWhenUsed/>
    <w:qFormat/>
    <w:uiPriority w:val="99"/>
    <w:rPr>
      <w:sz w:val="21"/>
      <w:szCs w:val="21"/>
    </w:rPr>
  </w:style>
  <w:style w:type="paragraph" w:customStyle="1" w:styleId="12">
    <w:name w:val="列出段落1"/>
    <w:basedOn w:val="1"/>
    <w:unhideWhenUsed/>
    <w:qFormat/>
    <w:uiPriority w:val="99"/>
    <w:pPr>
      <w:ind w:firstLine="420" w:firstLineChars="200"/>
    </w:pPr>
  </w:style>
  <w:style w:type="character" w:customStyle="1" w:styleId="13">
    <w:name w:val="font01"/>
    <w:basedOn w:val="8"/>
    <w:qFormat/>
    <w:uiPriority w:val="0"/>
    <w:rPr>
      <w:rFonts w:hint="eastAsia" w:ascii="宋体" w:hAnsi="宋体" w:eastAsia="宋体" w:cs="宋体"/>
      <w:color w:val="000000"/>
      <w:sz w:val="22"/>
      <w:szCs w:val="22"/>
      <w:u w:val="none"/>
    </w:rPr>
  </w:style>
  <w:style w:type="character" w:customStyle="1" w:styleId="14">
    <w:name w:val="font41"/>
    <w:basedOn w:val="8"/>
    <w:qFormat/>
    <w:uiPriority w:val="0"/>
    <w:rPr>
      <w:rFonts w:hint="eastAsia" w:ascii="宋体" w:hAnsi="宋体" w:eastAsia="宋体" w:cs="宋体"/>
      <w:color w:val="000000"/>
      <w:sz w:val="24"/>
      <w:szCs w:val="24"/>
      <w:u w:val="none"/>
    </w:rPr>
  </w:style>
  <w:style w:type="character" w:customStyle="1" w:styleId="15">
    <w:name w:val="批注框文本 Char"/>
    <w:basedOn w:val="8"/>
    <w:link w:val="4"/>
    <w:uiPriority w:val="99"/>
    <w:rPr>
      <w:kern w:val="2"/>
      <w:sz w:val="18"/>
      <w:szCs w:val="18"/>
    </w:rPr>
  </w:style>
  <w:style w:type="character" w:customStyle="1" w:styleId="16">
    <w:name w:val="font21"/>
    <w:basedOn w:val="8"/>
    <w:qFormat/>
    <w:uiPriority w:val="0"/>
    <w:rPr>
      <w:rFonts w:hint="eastAsia" w:ascii="宋体" w:hAnsi="宋体" w:eastAsia="宋体" w:cs="宋体"/>
      <w:color w:val="000000"/>
      <w:sz w:val="22"/>
      <w:szCs w:val="22"/>
      <w:u w:val="none"/>
    </w:rPr>
  </w:style>
  <w:style w:type="character" w:customStyle="1" w:styleId="17">
    <w:name w:val="font11"/>
    <w:basedOn w:val="8"/>
    <w:qFormat/>
    <w:uiPriority w:val="0"/>
    <w:rPr>
      <w:rFonts w:hint="eastAsia" w:ascii="宋体" w:hAnsi="宋体" w:eastAsia="宋体" w:cs="宋体"/>
      <w:color w:val="000000"/>
      <w:sz w:val="20"/>
      <w:szCs w:val="20"/>
      <w:u w:val="none"/>
    </w:rPr>
  </w:style>
  <w:style w:type="character" w:customStyle="1" w:styleId="18">
    <w:name w:val="页眉 Char"/>
    <w:link w:val="6"/>
    <w:qFormat/>
    <w:uiPriority w:val="99"/>
    <w:rPr>
      <w:kern w:val="2"/>
      <w:sz w:val="18"/>
      <w:szCs w:val="18"/>
    </w:rPr>
  </w:style>
  <w:style w:type="character" w:customStyle="1" w:styleId="19">
    <w:name w:val="页脚 Char"/>
    <w:link w:val="5"/>
    <w:uiPriority w:val="99"/>
    <w:rPr>
      <w:kern w:val="2"/>
      <w:sz w:val="18"/>
      <w:szCs w:val="18"/>
    </w:rPr>
  </w:style>
  <w:style w:type="character" w:customStyle="1" w:styleId="20">
    <w:name w:val="font51"/>
    <w:basedOn w:val="8"/>
    <w:qFormat/>
    <w:uiPriority w:val="0"/>
    <w:rPr>
      <w:rFonts w:hint="eastAsia" w:ascii="宋体" w:hAnsi="宋体" w:eastAsia="宋体" w:cs="宋体"/>
      <w:color w:val="000000"/>
      <w:sz w:val="24"/>
      <w:szCs w:val="24"/>
      <w:u w:val="none"/>
    </w:rPr>
  </w:style>
  <w:style w:type="character" w:customStyle="1" w:styleId="21">
    <w:name w:val="批注文字 Char"/>
    <w:basedOn w:val="8"/>
    <w:link w:val="2"/>
    <w:uiPriority w:val="0"/>
    <w:rPr>
      <w:rFonts w:cs="黑体"/>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7834</Words>
  <Characters>9514</Characters>
  <Lines>87</Lines>
  <Paragraphs>24</Paragraphs>
  <TotalTime>32</TotalTime>
  <ScaleCrop>false</ScaleCrop>
  <LinksUpToDate>false</LinksUpToDate>
  <CharactersWithSpaces>10375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2019-09-03T06:23:00Z</dcterms:created>
  <dc:creator>管理者</dc:creator>
  <cp:lastModifiedBy>飞  云</cp:lastModifiedBy>
  <cp:lastPrinted>2023-05-10T00:53:00Z</cp:lastPrinted>
  <dcterms:modified xsi:type="dcterms:W3CDTF">2023-05-10T08:59:39Z</dcterms:modified>
  <dc:title>2021年度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C81CC47BC00F43A894763D92D8C6D287_13</vt:lpwstr>
  </property>
</Properties>
</file>