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color w:val="auto"/>
          <w:sz w:val="52"/>
          <w:szCs w:val="52"/>
          <w:highlight w:val="none"/>
          <w:lang w:val="en-US" w:eastAsia="zh-CN"/>
        </w:rPr>
        <w:t>许昌市自然资源和规划局建安区服务中心单位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color w:val="auto"/>
          <w:sz w:val="32"/>
          <w:szCs w:val="32"/>
          <w:highlight w:val="none"/>
          <w:lang w:val="en-US" w:eastAsia="zh-CN"/>
        </w:rPr>
        <w:t>许昌市自然资源和规划局建安区服务中心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color w:val="auto"/>
          <w:sz w:val="48"/>
          <w:szCs w:val="48"/>
          <w:highlight w:val="none"/>
          <w:lang w:val="en-US" w:eastAsia="zh-CN"/>
        </w:rPr>
      </w:pPr>
      <w:r>
        <w:rPr>
          <w:rFonts w:hint="eastAsia" w:ascii="黑体" w:hAnsi="黑体" w:eastAsia="黑体" w:cs="黑体"/>
          <w:sz w:val="48"/>
          <w:szCs w:val="48"/>
          <w:highlight w:val="none"/>
        </w:rPr>
        <w:t xml:space="preserve">第一部分  </w:t>
      </w:r>
      <w:r>
        <w:rPr>
          <w:rFonts w:hint="eastAsia" w:ascii="黑体" w:hAnsi="黑体" w:eastAsia="黑体" w:cs="黑体"/>
          <w:color w:val="auto"/>
          <w:sz w:val="48"/>
          <w:szCs w:val="48"/>
          <w:highlight w:val="none"/>
          <w:lang w:val="en-US" w:eastAsia="zh-CN"/>
        </w:rPr>
        <w:t>许昌市自然资源和规划局</w:t>
      </w: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color w:val="auto"/>
          <w:sz w:val="48"/>
          <w:szCs w:val="48"/>
          <w:highlight w:val="none"/>
          <w:lang w:val="en-US" w:eastAsia="zh-CN"/>
        </w:rPr>
        <w:t xml:space="preserve">      建安区服务中心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宋体" w:eastAsia="仿宋_GB2312" w:cs="宋体"/>
          <w:kern w:val="0"/>
          <w:sz w:val="32"/>
          <w:szCs w:val="32"/>
          <w:lang w:val="en-US" w:eastAsia="zh-CN"/>
        </w:rPr>
        <w:t>许昌市自然资源和规划局建安区服务中心</w:t>
      </w:r>
      <w:r>
        <w:rPr>
          <w:rFonts w:hint="eastAsia" w:ascii="仿宋_GB2312" w:hAnsi="宋体" w:eastAsia="仿宋_GB2312" w:cs="宋体"/>
          <w:kern w:val="0"/>
          <w:sz w:val="32"/>
          <w:szCs w:val="32"/>
        </w:rPr>
        <w:t>主要负责宣传和贯彻执行中央、省、市有关城乡规划的法律、法规、规章及方针、政策；负责拟订辖区城乡规划编制计划；负责组织编制辖区内分区规划、控制性详细规划、城市设计、专项规划、重要地块修建性详细规划，并负责所编制规划的论证及上报工作；负责辖区内建设项目规划方案的初审、论证及上报工作；负责辖区内建设项目的批后监管工作；做好本辖区城建重点项目的谋划、规划技术服务工作</w:t>
      </w:r>
      <w:r>
        <w:rPr>
          <w:rFonts w:hint="eastAsia" w:ascii="仿宋_GB2312" w:hAnsi="宋体" w:eastAsia="仿宋_GB2312" w:cs="宋体"/>
          <w:kern w:val="0"/>
          <w:sz w:val="32"/>
          <w:szCs w:val="32"/>
          <w:highlight w:val="none"/>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宋体" w:eastAsia="仿宋_GB2312" w:cs="宋体"/>
          <w:kern w:val="0"/>
          <w:sz w:val="32"/>
          <w:szCs w:val="32"/>
          <w:lang w:eastAsia="zh-CN"/>
        </w:rPr>
        <w:t>许昌市自然资源和规划局建安区服务中心</w:t>
      </w:r>
      <w:r>
        <w:rPr>
          <w:rFonts w:hint="eastAsia" w:ascii="仿宋_GB2312" w:hAnsi="仿宋_GB2312" w:eastAsia="仿宋_GB2312" w:cs="仿宋_GB2312"/>
          <w:color w:val="auto"/>
          <w:kern w:val="0"/>
          <w:sz w:val="32"/>
          <w:szCs w:val="32"/>
          <w:highlight w:val="none"/>
          <w:lang w:val="en-US" w:eastAsia="zh-CN"/>
        </w:rPr>
        <w:t>内设机构</w:t>
      </w:r>
      <w:r>
        <w:rPr>
          <w:rFonts w:hint="default" w:ascii="仿宋_GB2312" w:hAnsi="仿宋_GB2312" w:eastAsia="仿宋_GB2312" w:cs="仿宋_GB2312"/>
          <w:color w:val="auto"/>
          <w:kern w:val="0"/>
          <w:sz w:val="32"/>
          <w:szCs w:val="32"/>
          <w:highlight w:val="none"/>
          <w:lang w:val="en" w:eastAsia="zh-CN"/>
        </w:rPr>
        <w:t>1</w:t>
      </w:r>
      <w:r>
        <w:rPr>
          <w:rFonts w:hint="eastAsia" w:ascii="仿宋_GB2312" w:hAnsi="仿宋_GB2312" w:eastAsia="仿宋_GB2312" w:cs="仿宋_GB2312"/>
          <w:color w:val="auto"/>
          <w:kern w:val="0"/>
          <w:sz w:val="32"/>
          <w:szCs w:val="32"/>
          <w:highlight w:val="none"/>
          <w:lang w:val="en-US" w:eastAsia="zh-CN"/>
        </w:rPr>
        <w:t>个，包括：办公室。</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宋体" w:eastAsia="仿宋_GB2312" w:cs="宋体"/>
          <w:kern w:val="0"/>
          <w:sz w:val="32"/>
          <w:szCs w:val="32"/>
          <w:lang w:eastAsia="zh-CN"/>
        </w:rPr>
        <w:t>许昌市自然资源和规划局建安区服务中心单位</w:t>
      </w:r>
      <w:r>
        <w:rPr>
          <w:rFonts w:hint="eastAsia" w:ascii="仿宋_GB2312" w:hAnsi="仿宋_GB2312" w:eastAsia="仿宋_GB2312" w:cs="仿宋_GB2312"/>
          <w:kern w:val="0"/>
          <w:sz w:val="32"/>
          <w:szCs w:val="32"/>
          <w:highlight w:val="none"/>
        </w:rPr>
        <w:t>决算包括：本级决算</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1个</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w:t>
      </w:r>
      <w:r>
        <w:rPr>
          <w:rFonts w:hint="default"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en-US" w:eastAsia="zh-CN"/>
        </w:rPr>
        <w:t>个，具体是：</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宋体" w:eastAsia="仿宋_GB2312" w:cs="宋体"/>
          <w:kern w:val="0"/>
          <w:sz w:val="32"/>
          <w:szCs w:val="32"/>
          <w:highlight w:val="none"/>
          <w:lang w:val="en-US" w:eastAsia="zh-CN"/>
        </w:rPr>
        <w:t>1、</w:t>
      </w:r>
      <w:r>
        <w:rPr>
          <w:rFonts w:hint="eastAsia" w:ascii="仿宋_GB2312" w:hAnsi="宋体" w:eastAsia="仿宋_GB2312" w:cs="宋体"/>
          <w:kern w:val="0"/>
          <w:sz w:val="32"/>
          <w:szCs w:val="32"/>
          <w:highlight w:val="none"/>
          <w:lang w:eastAsia="zh-CN"/>
        </w:rPr>
        <w:t>许昌市自然资源和规划局建安区服务中心</w:t>
      </w: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360"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许昌市自然资源和规划局建安区服务中心</w:t>
            </w: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支出</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决算数</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1"/>
                <w:szCs w:val="21"/>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1"/>
                <w:szCs w:val="21"/>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67.22</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0.36</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二、政府性基金</w:t>
            </w:r>
            <w:r>
              <w:rPr>
                <w:rFonts w:ascii="宋体" w:hAnsi="宋体" w:cs="宋体"/>
                <w:color w:val="000000"/>
                <w:kern w:val="0"/>
                <w:sz w:val="21"/>
                <w:szCs w:val="21"/>
                <w:highlight w:val="none"/>
                <w:lang w:bidi="ar"/>
              </w:rPr>
              <w:t>预算财政拨款</w:t>
            </w:r>
            <w:r>
              <w:rPr>
                <w:rFonts w:hint="eastAsia" w:ascii="宋体" w:hAnsi="宋体" w:cs="宋体"/>
                <w:color w:val="000000"/>
                <w:kern w:val="0"/>
                <w:sz w:val="21"/>
                <w:szCs w:val="21"/>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1"/>
                <w:szCs w:val="21"/>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w:t>
            </w:r>
            <w:bookmarkStart w:id="0" w:name="_GoBack"/>
            <w:r>
              <w:rPr>
                <w:rFonts w:hint="eastAsia" w:ascii="宋体" w:hAnsi="宋体" w:cs="宋体"/>
                <w:color w:val="000000"/>
                <w:kern w:val="0"/>
                <w:sz w:val="21"/>
                <w:szCs w:val="21"/>
                <w:highlight w:val="none"/>
                <w:lang w:bidi="ar"/>
              </w:rPr>
              <w:t>5</w:t>
            </w:r>
            <w:bookmarkEnd w:id="0"/>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4.14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三、国有资本</w:t>
            </w:r>
            <w:r>
              <w:rPr>
                <w:rFonts w:ascii="宋体" w:hAnsi="宋体" w:cs="宋体"/>
                <w:color w:val="000000"/>
                <w:kern w:val="0"/>
                <w:sz w:val="21"/>
                <w:szCs w:val="21"/>
                <w:highlight w:val="none"/>
                <w:lang w:bidi="ar"/>
              </w:rPr>
              <w:t>经营预算财政拨款</w:t>
            </w:r>
            <w:r>
              <w:rPr>
                <w:rFonts w:hint="eastAsia" w:ascii="宋体" w:hAnsi="宋体" w:cs="宋体"/>
                <w:color w:val="000000"/>
                <w:kern w:val="0"/>
                <w:sz w:val="21"/>
                <w:szCs w:val="21"/>
                <w:highlight w:val="none"/>
                <w:lang w:bidi="ar"/>
              </w:rPr>
              <w:t>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1"/>
                <w:szCs w:val="21"/>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4.42</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1"/>
                <w:szCs w:val="21"/>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1"/>
                <w:szCs w:val="21"/>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1"/>
                <w:szCs w:val="21"/>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65.44</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1"/>
                <w:szCs w:val="21"/>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1"/>
                <w:szCs w:val="21"/>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kern w:val="0"/>
                <w:sz w:val="21"/>
                <w:szCs w:val="21"/>
                <w:highlight w:val="none"/>
                <w:lang w:bidi="ar"/>
              </w:rPr>
            </w:pPr>
            <w:r>
              <w:rPr>
                <w:rFonts w:hint="eastAsia" w:ascii="宋体" w:hAnsi="宋体" w:cs="宋体"/>
                <w:color w:val="000000"/>
                <w:kern w:val="0"/>
                <w:sz w:val="21"/>
                <w:szCs w:val="21"/>
                <w:highlight w:val="none"/>
                <w:lang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1"/>
                <w:szCs w:val="21"/>
                <w:highlight w:val="none"/>
                <w:lang w:bidi="ar"/>
              </w:rPr>
            </w:pP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1"/>
                <w:szCs w:val="21"/>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1"/>
                <w:szCs w:val="21"/>
                <w:highlight w:val="none"/>
                <w:lang w:bidi="ar"/>
              </w:rPr>
            </w:pP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1"/>
                <w:szCs w:val="21"/>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1"/>
                <w:szCs w:val="21"/>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1"/>
                <w:szCs w:val="21"/>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1"/>
                <w:szCs w:val="21"/>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1"/>
                <w:szCs w:val="21"/>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1"/>
                <w:szCs w:val="21"/>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1"/>
                <w:szCs w:val="21"/>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1"/>
                <w:szCs w:val="21"/>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1"/>
                <w:szCs w:val="21"/>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1"/>
                <w:szCs w:val="21"/>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b w:val="0"/>
                <w:bCs w:val="0"/>
                <w:color w:val="000000"/>
                <w:sz w:val="21"/>
                <w:szCs w:val="21"/>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67.22</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74.37</w:t>
            </w: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 xml:space="preserve">         使用非</w:t>
            </w:r>
            <w:r>
              <w:rPr>
                <w:rFonts w:ascii="宋体" w:hAnsi="宋体" w:cs="宋体"/>
                <w:color w:val="000000"/>
                <w:kern w:val="0"/>
                <w:sz w:val="21"/>
                <w:szCs w:val="21"/>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1"/>
                <w:szCs w:val="21"/>
                <w:highlight w:val="none"/>
                <w:lang w:val="en-US" w:eastAsia="zh-CN"/>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b w:val="0"/>
                <w:bCs w:val="0"/>
                <w:color w:val="000000"/>
                <w:sz w:val="21"/>
                <w:szCs w:val="21"/>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 xml:space="preserve">         </w:t>
            </w:r>
            <w:r>
              <w:rPr>
                <w:rFonts w:hint="eastAsia" w:ascii="宋体" w:hAnsi="宋体" w:cs="宋体"/>
                <w:color w:val="000000"/>
                <w:kern w:val="0"/>
                <w:sz w:val="21"/>
                <w:szCs w:val="21"/>
                <w:highlight w:val="none"/>
                <w:lang w:eastAsia="zh-CN" w:bidi="ar"/>
              </w:rPr>
              <w:t>年初</w:t>
            </w:r>
            <w:r>
              <w:rPr>
                <w:rFonts w:hint="eastAsia" w:ascii="宋体" w:hAnsi="宋体" w:cs="宋体"/>
                <w:color w:val="000000"/>
                <w:kern w:val="0"/>
                <w:sz w:val="21"/>
                <w:szCs w:val="21"/>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1"/>
                <w:szCs w:val="21"/>
                <w:highlight w:val="none"/>
              </w:rPr>
            </w:pPr>
            <w:r>
              <w:rPr>
                <w:rFonts w:hint="eastAsia" w:ascii="宋体" w:hAnsi="宋体" w:cs="宋体"/>
                <w:color w:val="000000"/>
                <w:sz w:val="21"/>
                <w:szCs w:val="21"/>
                <w:highlight w:val="none"/>
                <w:lang w:val="en-US" w:eastAsia="zh-CN"/>
              </w:rPr>
              <w:t>7.15</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b w:val="0"/>
                <w:bCs w:val="0"/>
                <w:color w:val="000000"/>
                <w:sz w:val="21"/>
                <w:szCs w:val="21"/>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1"/>
                <w:szCs w:val="21"/>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12</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1"/>
                <w:szCs w:val="21"/>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1"/>
                <w:szCs w:val="21"/>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25</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jc w:val="right"/>
              <w:rPr>
                <w:rFonts w:hint="eastAsia" w:ascii="宋体" w:hAnsi="宋体" w:cs="宋体"/>
                <w:b w:val="0"/>
                <w:bCs w:val="0"/>
                <w:color w:val="000000"/>
                <w:sz w:val="21"/>
                <w:szCs w:val="21"/>
                <w:highlight w:val="none"/>
              </w:rPr>
            </w:pPr>
          </w:p>
        </w:tc>
      </w:tr>
      <w:tr>
        <w:tblPrEx>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lang w:bidi="ar"/>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74.37</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1"/>
                <w:szCs w:val="21"/>
                <w:highlight w:val="none"/>
              </w:rPr>
            </w:pPr>
            <w:r>
              <w:rPr>
                <w:rFonts w:hint="eastAsia" w:ascii="宋体" w:hAnsi="宋体" w:cs="宋体"/>
                <w:b/>
                <w:color w:val="000000"/>
                <w:kern w:val="0"/>
                <w:sz w:val="21"/>
                <w:szCs w:val="21"/>
                <w:highlight w:val="none"/>
                <w:lang w:bidi="ar"/>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26</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b w:val="0"/>
                <w:bCs w:val="0"/>
                <w:color w:val="000000"/>
                <w:sz w:val="21"/>
                <w:szCs w:val="21"/>
                <w:highlight w:val="none"/>
                <w:lang w:val="en-US" w:eastAsia="zh-CN"/>
              </w:rPr>
            </w:pPr>
            <w:r>
              <w:rPr>
                <w:rFonts w:hint="eastAsia" w:ascii="宋体" w:hAnsi="宋体" w:cs="宋体"/>
                <w:b w:val="0"/>
                <w:bCs w:val="0"/>
                <w:color w:val="000000"/>
                <w:sz w:val="21"/>
                <w:szCs w:val="21"/>
                <w:highlight w:val="none"/>
                <w:lang w:val="en-US" w:eastAsia="zh-CN"/>
              </w:rPr>
              <w:t>74.37</w:t>
            </w:r>
          </w:p>
        </w:tc>
      </w:tr>
      <w:tr>
        <w:tblPrEx>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1"/>
                <w:szCs w:val="21"/>
                <w:highlight w:val="none"/>
              </w:rPr>
            </w:pPr>
            <w:r>
              <w:rPr>
                <w:rFonts w:hint="eastAsia" w:ascii="宋体" w:hAnsi="宋体" w:cs="宋体"/>
                <w:color w:val="000000"/>
                <w:kern w:val="0"/>
                <w:sz w:val="21"/>
                <w:szCs w:val="21"/>
                <w:highlight w:val="none"/>
                <w:lang w:bidi="ar"/>
              </w:rPr>
              <w:t>注：本表反映</w:t>
            </w:r>
            <w:r>
              <w:rPr>
                <w:rFonts w:hint="eastAsia" w:ascii="宋体" w:hAnsi="宋体" w:cs="宋体"/>
                <w:color w:val="000000"/>
                <w:kern w:val="0"/>
                <w:sz w:val="21"/>
                <w:szCs w:val="21"/>
                <w:highlight w:val="none"/>
                <w:lang w:eastAsia="zh-CN" w:bidi="ar"/>
              </w:rPr>
              <w:t>单位</w:t>
            </w:r>
            <w:r>
              <w:rPr>
                <w:rFonts w:hint="eastAsia" w:ascii="宋体" w:hAnsi="宋体" w:cs="宋体"/>
                <w:color w:val="000000"/>
                <w:kern w:val="0"/>
                <w:sz w:val="21"/>
                <w:szCs w:val="21"/>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27"/>
        <w:gridCol w:w="59"/>
        <w:gridCol w:w="2076"/>
        <w:gridCol w:w="748"/>
        <w:gridCol w:w="467"/>
        <w:gridCol w:w="1086"/>
        <w:gridCol w:w="429"/>
        <w:gridCol w:w="1124"/>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7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4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5463" w:type="dxa"/>
            <w:gridSpan w:val="6"/>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许昌市自然资源和规划局建安区服务中心</w:t>
            </w: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3162"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21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51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财政拨款收入</w:t>
            </w:r>
          </w:p>
        </w:tc>
        <w:tc>
          <w:tcPr>
            <w:tcW w:w="1388"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07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2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07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1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3162"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3162"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67.22</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67.22</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201</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一般公共服务支出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0.36</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0.36</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20129</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群众团体事务</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0.36</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0.36</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2012906</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 xml:space="preserve">  工会事务</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0.36</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0.36</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208</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社会保障和就业支出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3.37</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3.37</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20805</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行政事业单位养老支出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3.37</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3.37</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2080505</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val="en-US" w:eastAsia="zh-CN"/>
              </w:rPr>
              <w:t xml:space="preserve">  机关事业单位基本养老保险缴费支出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3.37</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3.37</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210</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卫生健康支出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3.86</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3.86</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21011</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行政事业单位医疗</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3.86</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3.86</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2101101</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 xml:space="preserve">  行政单位医疗</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default" w:ascii="宋体" w:hAnsi="宋体" w:eastAsia="宋体" w:cs="宋体"/>
                <w:color w:val="000000"/>
                <w:sz w:val="20"/>
                <w:szCs w:val="20"/>
                <w:highlight w:val="none"/>
                <w:lang w:val="en-US" w:eastAsia="zh-CN"/>
              </w:rPr>
              <w:t>1.97</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default" w:ascii="宋体" w:hAnsi="宋体" w:eastAsia="宋体" w:cs="宋体"/>
                <w:color w:val="000000"/>
                <w:sz w:val="20"/>
                <w:szCs w:val="20"/>
                <w:highlight w:val="none"/>
                <w:lang w:val="en-US" w:eastAsia="zh-CN"/>
              </w:rPr>
              <w:t>1.97</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2101103</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 xml:space="preserve">  公务员医疗补助</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default" w:ascii="宋体" w:hAnsi="宋体" w:eastAsia="宋体" w:cs="宋体"/>
                <w:color w:val="000000"/>
                <w:sz w:val="20"/>
                <w:szCs w:val="20"/>
                <w:highlight w:val="none"/>
                <w:lang w:val="en-US" w:eastAsia="zh-CN"/>
              </w:rPr>
              <w:t>1.89</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default" w:ascii="宋体" w:hAnsi="宋体" w:eastAsia="宋体" w:cs="宋体"/>
                <w:color w:val="000000"/>
                <w:sz w:val="20"/>
                <w:szCs w:val="20"/>
                <w:highlight w:val="none"/>
                <w:lang w:val="en-US" w:eastAsia="zh-CN"/>
              </w:rPr>
              <w:t>1.89</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212</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城乡社区支出</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59.62</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59.62</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21201</w:t>
            </w:r>
          </w:p>
        </w:tc>
        <w:tc>
          <w:tcPr>
            <w:tcW w:w="207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城乡社区管理事务</w:t>
            </w: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59.62</w:t>
            </w:r>
          </w:p>
        </w:tc>
        <w:tc>
          <w:tcPr>
            <w:tcW w:w="15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59.62</w:t>
            </w:r>
          </w:p>
        </w:tc>
        <w:tc>
          <w:tcPr>
            <w:tcW w:w="13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2120101</w:t>
            </w:r>
          </w:p>
        </w:tc>
        <w:tc>
          <w:tcPr>
            <w:tcW w:w="2076"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 xml:space="preserve">  行政运行</w:t>
            </w:r>
          </w:p>
        </w:tc>
        <w:tc>
          <w:tcPr>
            <w:tcW w:w="12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59.62</w:t>
            </w:r>
          </w:p>
        </w:tc>
        <w:tc>
          <w:tcPr>
            <w:tcW w:w="151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59.62</w:t>
            </w:r>
          </w:p>
        </w:tc>
        <w:tc>
          <w:tcPr>
            <w:tcW w:w="138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20"/>
        <w:gridCol w:w="63"/>
        <w:gridCol w:w="27"/>
        <w:gridCol w:w="2132"/>
        <w:gridCol w:w="991"/>
        <w:gridCol w:w="130"/>
        <w:gridCol w:w="1672"/>
        <w:gridCol w:w="232"/>
        <w:gridCol w:w="1569"/>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88"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112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3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公开03表</w:t>
            </w:r>
          </w:p>
        </w:tc>
      </w:tr>
      <w:tr>
        <w:trPr>
          <w:trHeight w:val="300" w:hRule="atLeast"/>
        </w:trPr>
        <w:tc>
          <w:tcPr>
            <w:tcW w:w="7936" w:type="dxa"/>
            <w:gridSpan w:val="9"/>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许昌市自然资源和规划局建安区服务中心</w:t>
            </w: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3342"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12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对附属单位补助支出</w:t>
            </w:r>
          </w:p>
        </w:tc>
      </w:tr>
      <w:tr>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15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12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15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2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3342"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12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3342"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74.37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74.37</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201</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highlight w:val="none"/>
                <w:lang w:val="en-US" w:eastAsia="zh-CN" w:bidi="ar-SA"/>
              </w:rPr>
            </w:pPr>
            <w:r>
              <w:rPr>
                <w:rFonts w:hint="eastAsia" w:ascii="宋体" w:hAnsi="宋体" w:cs="宋体"/>
                <w:color w:val="000000"/>
                <w:sz w:val="20"/>
                <w:szCs w:val="20"/>
                <w:highlight w:val="none"/>
              </w:rPr>
              <w:t>一般公共服务支出</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20129</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群众团体事物</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2012906</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工会事务</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default" w:ascii="宋体" w:hAnsi="宋体" w:cs="宋体"/>
                <w:color w:val="000000"/>
                <w:sz w:val="20"/>
                <w:szCs w:val="20"/>
                <w:highlight w:val="none"/>
                <w:lang w:val="en-US" w:eastAsia="zh-CN"/>
              </w:rPr>
              <w:t>0.36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208</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社会保障和就业支出</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4.14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color w:val="000000"/>
                <w:kern w:val="2"/>
                <w:sz w:val="20"/>
                <w:szCs w:val="20"/>
                <w:highlight w:val="none"/>
                <w:lang w:val="en-US" w:eastAsia="zh-CN" w:bidi="ar-SA"/>
              </w:rPr>
              <w:t>20805</w:t>
            </w:r>
          </w:p>
        </w:tc>
        <w:tc>
          <w:tcPr>
            <w:tcW w:w="21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color w:val="000000"/>
                <w:kern w:val="2"/>
                <w:sz w:val="20"/>
                <w:szCs w:val="20"/>
                <w:highlight w:val="none"/>
                <w:lang w:val="en-US" w:eastAsia="zh-CN" w:bidi="ar-SA"/>
              </w:rPr>
              <w:t>行政事业单位离退休</w:t>
            </w:r>
          </w:p>
        </w:tc>
        <w:tc>
          <w:tcPr>
            <w:tcW w:w="112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default" w:ascii="宋体" w:hAnsi="宋体" w:cs="宋体"/>
                <w:color w:val="000000"/>
                <w:kern w:val="2"/>
                <w:sz w:val="20"/>
                <w:szCs w:val="20"/>
                <w:highlight w:val="none"/>
                <w:lang w:val="en-US" w:eastAsia="zh-CN" w:bidi="ar-SA"/>
              </w:rPr>
              <w:t>4.14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default" w:ascii="宋体" w:hAnsi="宋体" w:cs="宋体"/>
                <w:color w:val="000000"/>
                <w:kern w:val="2"/>
                <w:sz w:val="20"/>
                <w:szCs w:val="20"/>
                <w:highlight w:val="none"/>
                <w:lang w:val="en-US" w:eastAsia="zh-CN" w:bidi="ar-SA"/>
              </w:rPr>
              <w:t>4.14</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2"/>
                <w:sz w:val="20"/>
                <w:szCs w:val="20"/>
                <w:highlight w:val="none"/>
                <w:lang w:val="en-US" w:eastAsia="zh-CN" w:bidi="ar-SA"/>
              </w:rPr>
              <w:t>2080505</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color w:val="000000"/>
                <w:kern w:val="2"/>
                <w:sz w:val="20"/>
                <w:szCs w:val="20"/>
                <w:highlight w:val="none"/>
                <w:lang w:val="en-US" w:eastAsia="zh-CN" w:bidi="ar-SA"/>
              </w:rPr>
              <w:t>行政事业单位养老支出</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kern w:val="2"/>
                <w:sz w:val="20"/>
                <w:szCs w:val="20"/>
                <w:highlight w:val="none"/>
                <w:lang w:val="en-US" w:eastAsia="zh-CN" w:bidi="ar-SA"/>
              </w:rPr>
              <w:t>4.14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kern w:val="2"/>
                <w:sz w:val="20"/>
                <w:szCs w:val="20"/>
                <w:highlight w:val="none"/>
                <w:lang w:val="en-US" w:eastAsia="zh-CN" w:bidi="ar-SA"/>
              </w:rPr>
              <w:t>4.14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210</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color w:val="000000"/>
                <w:kern w:val="2"/>
                <w:sz w:val="20"/>
                <w:szCs w:val="20"/>
                <w:highlight w:val="none"/>
                <w:lang w:val="en-US" w:eastAsia="zh-CN" w:bidi="ar-SA"/>
              </w:rPr>
              <w:t>卫生健康支出</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4.42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4.42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default" w:ascii="宋体" w:hAnsi="宋体" w:cs="宋体"/>
                <w:color w:val="000000"/>
                <w:kern w:val="2"/>
                <w:sz w:val="20"/>
                <w:szCs w:val="20"/>
                <w:highlight w:val="none"/>
                <w:lang w:val="en-US" w:eastAsia="zh-CN" w:bidi="ar-SA"/>
              </w:rPr>
              <w:t>21011</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color w:val="000000"/>
                <w:kern w:val="2"/>
                <w:sz w:val="20"/>
                <w:szCs w:val="20"/>
                <w:highlight w:val="none"/>
                <w:lang w:val="en-US" w:eastAsia="zh-CN" w:bidi="ar-SA"/>
              </w:rPr>
              <w:t>行政事业单位医疗</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default" w:ascii="宋体" w:hAnsi="宋体" w:cs="宋体"/>
                <w:color w:val="000000"/>
                <w:kern w:val="2"/>
                <w:sz w:val="20"/>
                <w:szCs w:val="20"/>
                <w:highlight w:val="none"/>
                <w:lang w:val="en-US" w:eastAsia="zh-CN" w:bidi="ar-SA"/>
              </w:rPr>
              <w:t>4.42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default" w:ascii="宋体" w:hAnsi="宋体" w:cs="宋体"/>
                <w:color w:val="000000"/>
                <w:kern w:val="2"/>
                <w:sz w:val="20"/>
                <w:szCs w:val="20"/>
                <w:highlight w:val="none"/>
                <w:lang w:val="en-US" w:eastAsia="zh-CN" w:bidi="ar-SA"/>
              </w:rPr>
              <w:t>4.42</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2"/>
                <w:sz w:val="20"/>
                <w:szCs w:val="20"/>
                <w:highlight w:val="none"/>
                <w:lang w:val="en-US" w:eastAsia="zh-CN" w:bidi="ar-SA"/>
              </w:rPr>
              <w:t>2101101</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color w:val="000000"/>
                <w:kern w:val="2"/>
                <w:sz w:val="20"/>
                <w:szCs w:val="20"/>
                <w:highlight w:val="none"/>
                <w:lang w:val="en-US" w:eastAsia="zh-CN" w:bidi="ar-SA"/>
              </w:rPr>
              <w:t>行政单位医疗</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rPr>
            </w:pPr>
            <w:r>
              <w:rPr>
                <w:rFonts w:hint="default" w:ascii="宋体" w:hAnsi="宋体" w:cs="宋体"/>
                <w:color w:val="000000"/>
                <w:kern w:val="2"/>
                <w:sz w:val="20"/>
                <w:szCs w:val="20"/>
                <w:highlight w:val="none"/>
                <w:lang w:val="en-US" w:eastAsia="zh-CN" w:bidi="ar-SA"/>
              </w:rPr>
              <w:t>2.25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rPr>
            </w:pPr>
            <w:r>
              <w:rPr>
                <w:rFonts w:hint="default" w:ascii="宋体" w:hAnsi="宋体" w:cs="宋体"/>
                <w:color w:val="000000"/>
                <w:kern w:val="2"/>
                <w:sz w:val="20"/>
                <w:szCs w:val="20"/>
                <w:highlight w:val="none"/>
                <w:lang w:val="en-US" w:eastAsia="zh-CN" w:bidi="ar-SA"/>
              </w:rPr>
              <w:t>2.25</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2"/>
                <w:sz w:val="20"/>
                <w:szCs w:val="20"/>
                <w:highlight w:val="none"/>
                <w:lang w:val="en-US" w:eastAsia="zh-CN" w:bidi="ar-SA"/>
              </w:rPr>
              <w:t>2101103</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color w:val="000000"/>
                <w:kern w:val="2"/>
                <w:sz w:val="20"/>
                <w:szCs w:val="20"/>
                <w:highlight w:val="none"/>
                <w:lang w:val="en-US" w:eastAsia="zh-CN" w:bidi="ar-SA"/>
              </w:rPr>
              <w:t>公务员医疗补助</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rPr>
            </w:pPr>
            <w:r>
              <w:rPr>
                <w:rFonts w:hint="default" w:ascii="宋体" w:hAnsi="宋体" w:cs="宋体"/>
                <w:color w:val="000000"/>
                <w:kern w:val="2"/>
                <w:sz w:val="20"/>
                <w:szCs w:val="20"/>
                <w:highlight w:val="none"/>
                <w:lang w:val="en-US" w:eastAsia="zh-CN" w:bidi="ar-SA"/>
              </w:rPr>
              <w:t>2.17</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rPr>
            </w:pPr>
            <w:r>
              <w:rPr>
                <w:rFonts w:hint="default" w:ascii="宋体" w:hAnsi="宋体" w:cs="宋体"/>
                <w:color w:val="000000"/>
                <w:kern w:val="2"/>
                <w:sz w:val="20"/>
                <w:szCs w:val="20"/>
                <w:highlight w:val="none"/>
                <w:lang w:val="en-US" w:eastAsia="zh-CN" w:bidi="ar-SA"/>
              </w:rPr>
              <w:t>2.17</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212</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color w:val="000000"/>
                <w:kern w:val="2"/>
                <w:sz w:val="20"/>
                <w:szCs w:val="20"/>
                <w:highlight w:val="none"/>
                <w:lang w:val="en-US" w:eastAsia="zh-CN" w:bidi="ar-SA"/>
              </w:rPr>
              <w:t>城乡社区支出</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default" w:ascii="宋体" w:hAnsi="宋体" w:cs="宋体"/>
                <w:color w:val="000000"/>
                <w:sz w:val="20"/>
                <w:szCs w:val="20"/>
                <w:highlight w:val="none"/>
                <w:lang w:val="en-US" w:eastAsia="zh-CN"/>
              </w:rPr>
              <w:t>21202</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color w:val="000000"/>
                <w:kern w:val="2"/>
                <w:sz w:val="20"/>
                <w:szCs w:val="20"/>
                <w:highlight w:val="none"/>
                <w:lang w:val="en-US" w:eastAsia="zh-CN" w:bidi="ar-SA"/>
              </w:rPr>
              <w:t>城乡社区规划与管理</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default" w:ascii="宋体" w:hAnsi="宋体" w:cs="宋体"/>
                <w:color w:val="000000"/>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default" w:ascii="宋体" w:hAnsi="宋体" w:cs="宋体"/>
                <w:color w:val="000000"/>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color w:val="000000"/>
                <w:sz w:val="20"/>
                <w:szCs w:val="20"/>
                <w:highlight w:val="none"/>
                <w:lang w:val="en-US" w:eastAsia="zh-CN"/>
              </w:rPr>
              <w:t>2120201</w:t>
            </w:r>
          </w:p>
        </w:tc>
        <w:tc>
          <w:tcPr>
            <w:tcW w:w="215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eastAsia="宋体" w:cs="宋体"/>
                <w:color w:val="000000"/>
                <w:kern w:val="2"/>
                <w:sz w:val="20"/>
                <w:szCs w:val="20"/>
                <w:highlight w:val="none"/>
                <w:lang w:val="en-US" w:eastAsia="zh-CN" w:bidi="ar-SA"/>
              </w:rPr>
              <w:t>城乡社区规划与管理</w:t>
            </w:r>
          </w:p>
        </w:tc>
        <w:tc>
          <w:tcPr>
            <w:tcW w:w="112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r>
              <w:rPr>
                <w:rFonts w:hint="eastAsia" w:ascii="宋体" w:hAnsi="宋体" w:cs="宋体"/>
                <w:color w:val="000000"/>
                <w:sz w:val="20"/>
                <w:szCs w:val="20"/>
                <w:highlight w:val="none"/>
                <w:lang w:val="en-US" w:eastAsia="zh-CN"/>
              </w:rPr>
              <w:t>65.44</w:t>
            </w: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3417"/>
        <w:gridCol w:w="1297"/>
        <w:gridCol w:w="1210"/>
        <w:gridCol w:w="2596"/>
        <w:gridCol w:w="993"/>
        <w:gridCol w:w="567"/>
        <w:gridCol w:w="1275"/>
        <w:gridCol w:w="617"/>
        <w:gridCol w:w="943"/>
        <w:gridCol w:w="1058"/>
      </w:tblGrid>
      <w:tr>
        <w:tblPrEx>
          <w:tblCellMar>
            <w:top w:w="0" w:type="dxa"/>
            <w:left w:w="0" w:type="dxa"/>
            <w:bottom w:w="0" w:type="dxa"/>
            <w:right w:w="0" w:type="dxa"/>
          </w:tblCellMar>
        </w:tblPrEx>
        <w:trPr>
          <w:trHeight w:val="360" w:hRule="atLeast"/>
        </w:trPr>
        <w:tc>
          <w:tcPr>
            <w:tcW w:w="12915"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财政拨款收入支出决算总表</w:t>
            </w:r>
          </w:p>
        </w:tc>
        <w:tc>
          <w:tcPr>
            <w:tcW w:w="1058"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94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05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trHeight w:val="300" w:hRule="atLeast"/>
        </w:trPr>
        <w:tc>
          <w:tcPr>
            <w:tcW w:w="4714" w:type="dxa"/>
            <w:gridSpan w:val="2"/>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许昌市自然资源和规划局建安区服务中心</w:t>
            </w: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9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01"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8049" w:type="dxa"/>
            <w:gridSpan w:val="7"/>
            <w:tcBorders>
              <w:top w:val="single" w:color="000000" w:sz="8"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630" w:hRule="atLeast"/>
        </w:trPr>
        <w:tc>
          <w:tcPr>
            <w:tcW w:w="3417" w:type="dxa"/>
            <w:tcBorders>
              <w:top w:val="single" w:color="auto"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29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210"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2596"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993"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56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27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560" w:type="dxa"/>
            <w:gridSpan w:val="2"/>
            <w:tcBorders>
              <w:top w:val="single" w:color="auto"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058" w:type="dxa"/>
            <w:tcBorders>
              <w:top w:val="single" w:color="auto" w:sz="4" w:space="0"/>
              <w:left w:val="single" w:color="000000" w:sz="4" w:space="0"/>
              <w:bottom w:val="single" w:color="000000" w:sz="4" w:space="0"/>
              <w:right w:val="single" w:color="auto" w:sz="4" w:space="0"/>
            </w:tcBorders>
            <w:noWrap w:val="0"/>
            <w:vAlign w:val="top"/>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560"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058" w:type="dxa"/>
            <w:tcBorders>
              <w:top w:val="single" w:color="000000" w:sz="4" w:space="0"/>
              <w:left w:val="single" w:color="000000" w:sz="4" w:space="0"/>
              <w:bottom w:val="single" w:color="000000" w:sz="4" w:space="0"/>
              <w:right w:val="single" w:color="auto" w:sz="4" w:space="0"/>
            </w:tcBorders>
            <w:shd w:val="clear" w:color="auto" w:fill="FFFFFF"/>
            <w:noWrap w:val="0"/>
            <w:vAlign w:val="top"/>
          </w:tcPr>
          <w:p>
            <w:pPr>
              <w:widowControl/>
              <w:jc w:val="center"/>
              <w:textAlignment w:val="center"/>
              <w:rPr>
                <w:rFonts w:hint="eastAsia"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67.22</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0.36</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0.36</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auto" w:sz="4"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八、社会保障和就业支出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4.14</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4.14</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auto" w:sz="4"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九、卫生健康支出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4.44</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4.44</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auto" w:sz="4"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十一、城乡社区支出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65.44</w:t>
            </w: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65.44</w:t>
            </w: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auto" w:sz="4"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auto" w:sz="4"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auto" w:sz="4"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w:t>
            </w:r>
          </w:p>
        </w:tc>
        <w:tc>
          <w:tcPr>
            <w:tcW w:w="567"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058" w:type="dxa"/>
            <w:tcBorders>
              <w:top w:val="single" w:color="000000" w:sz="4" w:space="0"/>
              <w:left w:val="single" w:color="000000" w:sz="4" w:space="0"/>
              <w:bottom w:val="single" w:color="000000" w:sz="4" w:space="0"/>
              <w:right w:val="single" w:color="auto" w:sz="4"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auto" w:sz="4" w:space="0"/>
            </w:tcBorders>
            <w:noWrap w:val="0"/>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67.22</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74.37</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74.37</w:t>
            </w: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highlight w:val="none"/>
              </w:rPr>
            </w:pPr>
          </w:p>
        </w:tc>
        <w:tc>
          <w:tcPr>
            <w:tcW w:w="1058" w:type="dxa"/>
            <w:tcBorders>
              <w:top w:val="single" w:color="000000" w:sz="4" w:space="0"/>
              <w:left w:val="nil"/>
              <w:bottom w:val="single" w:color="000000" w:sz="4" w:space="0"/>
              <w:right w:val="single" w:color="auto" w:sz="4"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7.15</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w:t>
            </w:r>
          </w:p>
        </w:tc>
        <w:tc>
          <w:tcPr>
            <w:tcW w:w="567"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single" w:color="000000" w:sz="4" w:space="0"/>
              <w:right w:val="single" w:color="auto" w:sz="4"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一般公共预算财政拨款</w:t>
            </w:r>
          </w:p>
        </w:tc>
        <w:tc>
          <w:tcPr>
            <w:tcW w:w="1297"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2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7.15</w:t>
            </w:r>
          </w:p>
        </w:tc>
        <w:tc>
          <w:tcPr>
            <w:tcW w:w="2596" w:type="dxa"/>
            <w:tcBorders>
              <w:top w:val="single" w:color="000000" w:sz="4" w:space="0"/>
              <w:left w:val="single" w:color="000000" w:sz="4" w:space="0"/>
              <w:bottom w:val="single" w:color="auto"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w:t>
            </w:r>
          </w:p>
        </w:tc>
        <w:tc>
          <w:tcPr>
            <w:tcW w:w="567" w:type="dxa"/>
            <w:tcBorders>
              <w:top w:val="single" w:color="000000" w:sz="4" w:space="0"/>
              <w:left w:val="nil"/>
              <w:bottom w:val="single" w:color="auto"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5"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000000" w:sz="4" w:space="0"/>
              <w:left w:val="nil"/>
              <w:bottom w:val="single" w:color="auto"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000000" w:sz="4" w:space="0"/>
              <w:left w:val="nil"/>
              <w:bottom w:val="single" w:color="auto" w:sz="4" w:space="0"/>
              <w:right w:val="single" w:color="auto" w:sz="4"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auto" w:sz="4" w:space="0"/>
              <w:left w:val="single" w:color="auto" w:sz="4" w:space="0"/>
              <w:bottom w:val="single" w:color="auto"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政府性基金预算财政拨款</w:t>
            </w:r>
          </w:p>
        </w:tc>
        <w:tc>
          <w:tcPr>
            <w:tcW w:w="1297"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c>
          <w:tcPr>
            <w:tcW w:w="1210" w:type="dxa"/>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auto" w:sz="4" w:space="0"/>
              <w:left w:val="single" w:color="000000" w:sz="4" w:space="0"/>
              <w:bottom w:val="single" w:color="auto"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w:t>
            </w:r>
          </w:p>
        </w:tc>
        <w:tc>
          <w:tcPr>
            <w:tcW w:w="567" w:type="dxa"/>
            <w:tcBorders>
              <w:top w:val="single" w:color="auto" w:sz="4" w:space="0"/>
              <w:left w:val="nil"/>
              <w:bottom w:val="single" w:color="auto"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5" w:type="dxa"/>
            <w:tcBorders>
              <w:top w:val="single" w:color="auto"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auto" w:sz="4" w:space="0"/>
              <w:left w:val="nil"/>
              <w:bottom w:val="single" w:color="auto"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auto" w:sz="4" w:space="0"/>
              <w:left w:val="nil"/>
              <w:bottom w:val="single" w:color="auto" w:sz="4" w:space="0"/>
              <w:right w:val="single" w:color="auto" w:sz="4"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auto" w:sz="4" w:space="0"/>
              <w:left w:val="single" w:color="auto" w:sz="4"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1297"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w:t>
            </w:r>
          </w:p>
        </w:tc>
        <w:tc>
          <w:tcPr>
            <w:tcW w:w="1210"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auto"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w:t>
            </w:r>
          </w:p>
        </w:tc>
        <w:tc>
          <w:tcPr>
            <w:tcW w:w="567" w:type="dxa"/>
            <w:tcBorders>
              <w:top w:val="single" w:color="auto"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75" w:type="dxa"/>
            <w:tcBorders>
              <w:top w:val="single" w:color="auto"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60" w:type="dxa"/>
            <w:gridSpan w:val="2"/>
            <w:tcBorders>
              <w:top w:val="single" w:color="auto"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058" w:type="dxa"/>
            <w:tcBorders>
              <w:top w:val="single" w:color="auto" w:sz="4" w:space="0"/>
              <w:left w:val="nil"/>
              <w:bottom w:val="nil"/>
              <w:right w:val="single" w:color="auto" w:sz="4"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auto" w:sz="4" w:space="0"/>
              <w:bottom w:val="single" w:color="auto" w:sz="4"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1297"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w:t>
            </w:r>
          </w:p>
        </w:tc>
        <w:tc>
          <w:tcPr>
            <w:tcW w:w="1210"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74.37</w:t>
            </w:r>
          </w:p>
        </w:tc>
        <w:tc>
          <w:tcPr>
            <w:tcW w:w="2596" w:type="dxa"/>
            <w:tcBorders>
              <w:top w:val="single" w:color="000000" w:sz="4" w:space="0"/>
              <w:left w:val="single" w:color="000000" w:sz="4" w:space="0"/>
              <w:bottom w:val="single" w:color="auto" w:sz="4"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993"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w:t>
            </w:r>
          </w:p>
        </w:tc>
        <w:tc>
          <w:tcPr>
            <w:tcW w:w="567" w:type="dxa"/>
            <w:tcBorders>
              <w:top w:val="single" w:color="000000" w:sz="4" w:space="0"/>
              <w:left w:val="nil"/>
              <w:bottom w:val="single" w:color="auto"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74.37</w:t>
            </w:r>
          </w:p>
        </w:tc>
        <w:tc>
          <w:tcPr>
            <w:tcW w:w="1275" w:type="dxa"/>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74.37</w:t>
            </w:r>
          </w:p>
        </w:tc>
        <w:tc>
          <w:tcPr>
            <w:tcW w:w="1560" w:type="dxa"/>
            <w:gridSpan w:val="2"/>
            <w:tcBorders>
              <w:top w:val="single" w:color="000000" w:sz="4" w:space="0"/>
              <w:left w:val="nil"/>
              <w:bottom w:val="single" w:color="auto"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highlight w:val="none"/>
              </w:rPr>
            </w:pPr>
          </w:p>
        </w:tc>
        <w:tc>
          <w:tcPr>
            <w:tcW w:w="1058" w:type="dxa"/>
            <w:tcBorders>
              <w:top w:val="single" w:color="000000" w:sz="4" w:space="0"/>
              <w:left w:val="nil"/>
              <w:bottom w:val="single" w:color="auto" w:sz="4" w:space="0"/>
              <w:right w:val="single" w:color="auto" w:sz="4"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585" w:hRule="atLeast"/>
        </w:trPr>
        <w:tc>
          <w:tcPr>
            <w:tcW w:w="12915" w:type="dxa"/>
            <w:gridSpan w:val="9"/>
            <w:tcBorders>
              <w:top w:val="single" w:color="auto" w:sz="4"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1058" w:type="dxa"/>
            <w:tcBorders>
              <w:top w:val="single" w:color="auto" w:sz="4"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397"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397"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Style w:val="16"/>
                <w:rFonts w:hint="default"/>
                <w:highlight w:val="none"/>
                <w:lang w:bidi="ar"/>
              </w:rPr>
              <w:t>5表</w:t>
            </w:r>
          </w:p>
        </w:tc>
      </w:tr>
      <w:tr>
        <w:tblPrEx>
          <w:tblCellMar>
            <w:top w:w="0" w:type="dxa"/>
            <w:left w:w="0" w:type="dxa"/>
            <w:bottom w:w="0" w:type="dxa"/>
            <w:right w:w="0" w:type="dxa"/>
          </w:tblCellMar>
        </w:tblPrEx>
        <w:trPr>
          <w:trHeight w:val="397" w:hRule="atLeast"/>
        </w:trPr>
        <w:tc>
          <w:tcPr>
            <w:tcW w:w="7088" w:type="dxa"/>
            <w:gridSpan w:val="4"/>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许昌市自然资源和规划局建安区服务中心</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val="en-US" w:eastAsia="zh-CN" w:bidi="ar"/>
              </w:rPr>
              <w:t xml:space="preserve"> 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397" w:hRule="atLeast"/>
        </w:trPr>
        <w:tc>
          <w:tcPr>
            <w:tcW w:w="3639"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项 </w:t>
            </w:r>
            <w:r>
              <w:rPr>
                <w:rStyle w:val="13"/>
                <w:rFonts w:hint="default"/>
                <w:sz w:val="20"/>
                <w:szCs w:val="20"/>
                <w:highlight w:val="none"/>
                <w:lang w:bidi="ar"/>
              </w:rPr>
              <w:t xml:space="preserve">   </w:t>
            </w:r>
            <w:r>
              <w:rPr>
                <w:rStyle w:val="15"/>
                <w:rFonts w:hint="default"/>
                <w:sz w:val="20"/>
                <w:szCs w:val="20"/>
                <w:highlight w:val="none"/>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r>
      <w:tr>
        <w:tblPrEx>
          <w:tblCellMar>
            <w:top w:w="0" w:type="dxa"/>
            <w:left w:w="0" w:type="dxa"/>
            <w:bottom w:w="0" w:type="dxa"/>
            <w:right w:w="0" w:type="dxa"/>
          </w:tblCellMar>
        </w:tblPrEx>
        <w:trPr>
          <w:trHeight w:val="397"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rPr>
          <w:trHeight w:val="397"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rPr>
          <w:trHeight w:val="397"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r>
      <w:tr>
        <w:tblPrEx>
          <w:tblCellMar>
            <w:top w:w="0" w:type="dxa"/>
            <w:left w:w="0" w:type="dxa"/>
            <w:bottom w:w="0" w:type="dxa"/>
            <w:right w:w="0" w:type="dxa"/>
          </w:tblCellMar>
        </w:tblPrEx>
        <w:trPr>
          <w:trHeight w:val="397"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74.37</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74.37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highlight w:val="none"/>
                <w:lang w:val="en-US" w:eastAsia="zh-CN" w:bidi="ar-SA"/>
              </w:rPr>
            </w:pPr>
            <w:r>
              <w:rPr>
                <w:rFonts w:hint="eastAsia" w:ascii="宋体" w:hAnsi="宋体" w:cs="宋体"/>
                <w:color w:val="000000"/>
                <w:sz w:val="20"/>
                <w:szCs w:val="20"/>
                <w:highlight w:val="none"/>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0.36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0.36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20129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群众团体事物</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0.36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0.36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2012906</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工会事务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0.36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0.36</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208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4.14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4.14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20805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行政事业</w:t>
            </w:r>
            <w:r>
              <w:rPr>
                <w:rFonts w:hint="eastAsia" w:ascii="宋体" w:hAnsi="宋体" w:cs="宋体"/>
                <w:color w:val="000000"/>
                <w:kern w:val="2"/>
                <w:sz w:val="20"/>
                <w:szCs w:val="20"/>
                <w:highlight w:val="none"/>
                <w:lang w:val="en-US" w:eastAsia="zh-CN" w:bidi="ar-SA"/>
              </w:rPr>
              <w:t>单位养老支出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kern w:val="2"/>
                <w:sz w:val="20"/>
                <w:szCs w:val="20"/>
                <w:highlight w:val="none"/>
                <w:lang w:val="en-US" w:eastAsia="zh-CN" w:bidi="ar-SA"/>
              </w:rPr>
            </w:pPr>
            <w:r>
              <w:rPr>
                <w:rFonts w:hint="default" w:ascii="宋体" w:hAnsi="宋体" w:cs="宋体"/>
                <w:color w:val="000000"/>
                <w:kern w:val="2"/>
                <w:sz w:val="20"/>
                <w:szCs w:val="20"/>
                <w:highlight w:val="none"/>
                <w:lang w:val="en-US" w:eastAsia="zh-CN" w:bidi="ar-SA"/>
              </w:rPr>
              <w:t>4.14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kern w:val="2"/>
                <w:sz w:val="20"/>
                <w:szCs w:val="20"/>
                <w:highlight w:val="none"/>
                <w:lang w:val="en-US" w:eastAsia="zh-CN" w:bidi="ar-SA"/>
              </w:rPr>
            </w:pPr>
            <w:r>
              <w:rPr>
                <w:rFonts w:hint="default" w:ascii="宋体" w:hAnsi="宋体" w:cs="宋体"/>
                <w:color w:val="000000"/>
                <w:kern w:val="2"/>
                <w:sz w:val="20"/>
                <w:szCs w:val="20"/>
                <w:highlight w:val="none"/>
                <w:lang w:val="en-US" w:eastAsia="zh-CN" w:bidi="ar-SA"/>
              </w:rPr>
              <w:t>4.14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kern w:val="2"/>
                <w:sz w:val="20"/>
                <w:szCs w:val="20"/>
                <w:highlight w:val="none"/>
                <w:lang w:val="en-US" w:eastAsia="zh-CN" w:bidi="ar-SA"/>
              </w:rPr>
              <w:t>2080505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kern w:val="2"/>
                <w:sz w:val="20"/>
                <w:szCs w:val="20"/>
                <w:highlight w:val="none"/>
                <w:lang w:val="en-US" w:eastAsia="zh-CN" w:bidi="ar-SA"/>
              </w:rPr>
              <w:t>机关</w:t>
            </w:r>
            <w:r>
              <w:rPr>
                <w:rFonts w:hint="eastAsia" w:ascii="宋体" w:hAnsi="宋体" w:eastAsia="宋体" w:cs="宋体"/>
                <w:color w:val="000000"/>
                <w:kern w:val="2"/>
                <w:sz w:val="20"/>
                <w:szCs w:val="20"/>
                <w:highlight w:val="none"/>
                <w:lang w:val="en-US" w:eastAsia="zh-CN" w:bidi="ar-SA"/>
              </w:rPr>
              <w:t>事业单位</w:t>
            </w:r>
            <w:r>
              <w:rPr>
                <w:rFonts w:hint="eastAsia" w:ascii="宋体" w:hAnsi="宋体" w:cs="宋体"/>
                <w:color w:val="000000"/>
                <w:kern w:val="2"/>
                <w:sz w:val="20"/>
                <w:szCs w:val="20"/>
                <w:highlight w:val="none"/>
                <w:lang w:val="en-US" w:eastAsia="zh-CN" w:bidi="ar-SA"/>
              </w:rPr>
              <w:t>基本</w:t>
            </w:r>
            <w:r>
              <w:rPr>
                <w:rFonts w:hint="eastAsia" w:ascii="宋体" w:hAnsi="宋体" w:eastAsia="宋体" w:cs="宋体"/>
                <w:color w:val="000000"/>
                <w:kern w:val="2"/>
                <w:sz w:val="20"/>
                <w:szCs w:val="20"/>
                <w:highlight w:val="none"/>
                <w:lang w:val="en-US" w:eastAsia="zh-CN" w:bidi="ar-SA"/>
              </w:rPr>
              <w:t>养老</w:t>
            </w:r>
            <w:r>
              <w:rPr>
                <w:rFonts w:hint="eastAsia" w:ascii="宋体" w:hAnsi="宋体" w:cs="宋体"/>
                <w:color w:val="000000"/>
                <w:kern w:val="2"/>
                <w:sz w:val="20"/>
                <w:szCs w:val="20"/>
                <w:highlight w:val="none"/>
                <w:lang w:val="en-US" w:eastAsia="zh-CN" w:bidi="ar-SA"/>
              </w:rPr>
              <w:t>保险缴费</w:t>
            </w:r>
            <w:r>
              <w:rPr>
                <w:rFonts w:hint="eastAsia" w:ascii="宋体" w:hAnsi="宋体" w:eastAsia="宋体" w:cs="宋体"/>
                <w:color w:val="000000"/>
                <w:kern w:val="2"/>
                <w:sz w:val="20"/>
                <w:szCs w:val="20"/>
                <w:highlight w:val="none"/>
                <w:lang w:val="en-US" w:eastAsia="zh-CN" w:bidi="ar-SA"/>
              </w:rPr>
              <w:t>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kern w:val="2"/>
                <w:sz w:val="20"/>
                <w:szCs w:val="20"/>
                <w:highlight w:val="none"/>
                <w:lang w:val="en-US" w:eastAsia="zh-CN" w:bidi="ar-SA"/>
              </w:rPr>
              <w:t>4.14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kern w:val="2"/>
                <w:sz w:val="20"/>
                <w:szCs w:val="20"/>
                <w:highlight w:val="none"/>
                <w:lang w:val="en-US" w:eastAsia="zh-CN" w:bidi="ar-SA"/>
              </w:rPr>
              <w:t>4.14</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210</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卫生健康支出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4.42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4.42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default" w:ascii="宋体" w:hAnsi="宋体" w:cs="宋体"/>
                <w:color w:val="000000"/>
                <w:kern w:val="2"/>
                <w:sz w:val="20"/>
                <w:szCs w:val="20"/>
                <w:highlight w:val="none"/>
                <w:lang w:val="en-US" w:eastAsia="zh-CN" w:bidi="ar-SA"/>
              </w:rPr>
            </w:pPr>
            <w:r>
              <w:rPr>
                <w:rFonts w:hint="default" w:ascii="宋体" w:hAnsi="宋体" w:cs="宋体"/>
                <w:color w:val="000000"/>
                <w:kern w:val="2"/>
                <w:sz w:val="20"/>
                <w:szCs w:val="20"/>
                <w:highlight w:val="none"/>
                <w:lang w:val="en-US" w:eastAsia="zh-CN" w:bidi="ar-SA"/>
              </w:rPr>
              <w:t>21011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行政事业单位医疗</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kern w:val="2"/>
                <w:sz w:val="20"/>
                <w:szCs w:val="20"/>
                <w:highlight w:val="none"/>
                <w:lang w:val="en-US" w:eastAsia="zh-CN" w:bidi="ar-SA"/>
              </w:rPr>
            </w:pPr>
            <w:r>
              <w:rPr>
                <w:rFonts w:hint="default" w:ascii="宋体" w:hAnsi="宋体" w:cs="宋体"/>
                <w:color w:val="000000"/>
                <w:kern w:val="2"/>
                <w:sz w:val="20"/>
                <w:szCs w:val="20"/>
                <w:highlight w:val="none"/>
                <w:lang w:val="en-US" w:eastAsia="zh-CN" w:bidi="ar-SA"/>
              </w:rPr>
              <w:t>4.42</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kern w:val="2"/>
                <w:sz w:val="20"/>
                <w:szCs w:val="20"/>
                <w:highlight w:val="none"/>
                <w:lang w:val="en-US" w:eastAsia="zh-CN" w:bidi="ar-SA"/>
              </w:rPr>
            </w:pPr>
            <w:r>
              <w:rPr>
                <w:rFonts w:hint="default" w:ascii="宋体" w:hAnsi="宋体" w:cs="宋体"/>
                <w:color w:val="000000"/>
                <w:kern w:val="2"/>
                <w:sz w:val="20"/>
                <w:szCs w:val="20"/>
                <w:highlight w:val="none"/>
                <w:lang w:val="en-US" w:eastAsia="zh-CN" w:bidi="ar-SA"/>
              </w:rPr>
              <w:t>4.42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kern w:val="2"/>
                <w:sz w:val="20"/>
                <w:szCs w:val="20"/>
                <w:highlight w:val="none"/>
                <w:lang w:val="en-US" w:eastAsia="zh-CN" w:bidi="ar-SA"/>
              </w:rPr>
              <w:t>2101101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行政单位医疗</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default" w:ascii="宋体" w:hAnsi="宋体" w:cs="宋体"/>
                <w:color w:val="000000"/>
                <w:kern w:val="2"/>
                <w:sz w:val="20"/>
                <w:szCs w:val="20"/>
                <w:highlight w:val="none"/>
                <w:lang w:val="en-US" w:eastAsia="zh-CN" w:bidi="ar-SA"/>
              </w:rPr>
              <w:t>2.25</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default" w:ascii="宋体" w:hAnsi="宋体" w:cs="宋体"/>
                <w:color w:val="000000"/>
                <w:kern w:val="2"/>
                <w:sz w:val="20"/>
                <w:szCs w:val="20"/>
                <w:highlight w:val="none"/>
                <w:lang w:val="en-US" w:eastAsia="zh-CN" w:bidi="ar-SA"/>
              </w:rPr>
              <w:t>2.25</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kern w:val="2"/>
                <w:sz w:val="20"/>
                <w:szCs w:val="20"/>
                <w:highlight w:val="none"/>
                <w:lang w:val="en-US" w:eastAsia="zh-CN" w:bidi="ar-SA"/>
              </w:rPr>
            </w:pPr>
            <w:r>
              <w:rPr>
                <w:rFonts w:hint="eastAsia" w:ascii="宋体" w:hAnsi="宋体" w:cs="宋体"/>
                <w:color w:val="000000"/>
                <w:kern w:val="2"/>
                <w:sz w:val="20"/>
                <w:szCs w:val="20"/>
                <w:highlight w:val="none"/>
                <w:lang w:val="en-US" w:eastAsia="zh-CN" w:bidi="ar-SA"/>
              </w:rPr>
              <w:t>2101103</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公务员医疗补助</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default" w:ascii="宋体" w:hAnsi="宋体" w:cs="宋体"/>
                <w:color w:val="000000"/>
                <w:kern w:val="2"/>
                <w:sz w:val="20"/>
                <w:szCs w:val="20"/>
                <w:highlight w:val="none"/>
                <w:lang w:val="en-US" w:eastAsia="zh-CN" w:bidi="ar-SA"/>
              </w:rPr>
              <w:t>2.17</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kern w:val="2"/>
                <w:sz w:val="20"/>
                <w:szCs w:val="20"/>
                <w:highlight w:val="none"/>
                <w:lang w:val="en-US" w:eastAsia="zh-CN" w:bidi="ar-SA"/>
              </w:rPr>
            </w:pPr>
            <w:r>
              <w:rPr>
                <w:rFonts w:hint="default" w:ascii="宋体" w:hAnsi="宋体" w:cs="宋体"/>
                <w:color w:val="000000"/>
                <w:kern w:val="2"/>
                <w:sz w:val="20"/>
                <w:szCs w:val="20"/>
                <w:highlight w:val="none"/>
                <w:lang w:val="en-US" w:eastAsia="zh-CN" w:bidi="ar-SA"/>
              </w:rPr>
              <w:t>2.17</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212</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城乡社区支出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65.44</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kern w:val="2"/>
                <w:sz w:val="20"/>
                <w:szCs w:val="20"/>
                <w:highlight w:val="none"/>
                <w:lang w:val="en-US" w:eastAsia="zh-CN" w:bidi="ar-SA"/>
              </w:rPr>
            </w:pPr>
            <w:r>
              <w:rPr>
                <w:rFonts w:hint="eastAsia" w:ascii="宋体" w:hAnsi="宋体" w:cs="宋体"/>
                <w:color w:val="000000"/>
                <w:sz w:val="20"/>
                <w:szCs w:val="20"/>
                <w:highlight w:val="none"/>
                <w:lang w:val="en-US" w:eastAsia="zh-CN"/>
              </w:rPr>
              <w:t>65.44</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21202</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城乡社区规划与管理</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65.44</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default" w:ascii="宋体" w:hAnsi="宋体" w:cs="宋体"/>
                <w:color w:val="000000"/>
                <w:sz w:val="20"/>
                <w:szCs w:val="20"/>
                <w:highlight w:val="none"/>
                <w:lang w:val="en-US" w:eastAsia="zh-CN"/>
              </w:rPr>
              <w:t>65.44</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2120201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kern w:val="2"/>
                <w:sz w:val="20"/>
                <w:szCs w:val="20"/>
                <w:highlight w:val="none"/>
                <w:lang w:val="en-US" w:eastAsia="zh-CN" w:bidi="ar-SA"/>
              </w:rPr>
            </w:pPr>
            <w:r>
              <w:rPr>
                <w:rFonts w:hint="eastAsia" w:ascii="宋体" w:hAnsi="宋体" w:eastAsia="宋体" w:cs="宋体"/>
                <w:color w:val="000000"/>
                <w:kern w:val="2"/>
                <w:sz w:val="20"/>
                <w:szCs w:val="20"/>
                <w:highlight w:val="none"/>
                <w:lang w:val="en-US" w:eastAsia="zh-CN" w:bidi="ar-SA"/>
              </w:rPr>
              <w:t>城乡社区规划与管理</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65.44</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65.44</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97"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575"/>
        <w:gridCol w:w="938"/>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4731" w:type="dxa"/>
            <w:gridSpan w:val="3"/>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许昌市自然资源和规划局建安区服务中心</w:t>
            </w: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4513" w:type="dxa"/>
            <w:gridSpan w:val="2"/>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69.30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w:t>
            </w:r>
          </w:p>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27.75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26.60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41.45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2.21</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31010</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31201</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31204</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费用补贴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31205</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利息补贴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0.48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对社会保障基金补助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31302</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31303</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3.38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39906</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39907</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39908</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39999</w:t>
            </w: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3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938"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69.30</w:t>
            </w:r>
          </w:p>
        </w:tc>
        <w:tc>
          <w:tcPr>
            <w:tcW w:w="8319"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5.07</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277" w:hRule="atLeast"/>
        </w:trPr>
        <w:tc>
          <w:tcPr>
            <w:tcW w:w="5751"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许昌市自然资源和规划局建安区服务中心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302"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0.45</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0.45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4018" w:type="dxa"/>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6306" w:type="dxa"/>
            <w:gridSpan w:val="6"/>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许昌市自然资源和规划局建安区服务中心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金额</w:t>
            </w: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无</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tc>
      </w:tr>
    </w:tbl>
    <w:p>
      <w:pPr>
        <w:widowControl/>
        <w:spacing w:line="59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说明：我</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rPr>
        <w:t>2021年度收、支总计均为74.3</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rPr>
        <w:t>万元。与上年度相比，收、支总计各减少15.58万元，下降17.32%。</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color w:val="auto"/>
          <w:sz w:val="32"/>
          <w:szCs w:val="32"/>
          <w:highlight w:val="none"/>
          <w:lang w:val="zh-CN" w:eastAsia="zh-CN"/>
        </w:rPr>
        <w:t>是</w:t>
      </w:r>
      <w:r>
        <w:rPr>
          <w:rFonts w:hint="eastAsia" w:ascii="仿宋_GB2312" w:hAnsi="仿宋_GB2312" w:eastAsia="仿宋_GB2312" w:cs="仿宋_GB2312"/>
          <w:color w:val="auto"/>
          <w:sz w:val="32"/>
          <w:szCs w:val="32"/>
          <w:highlight w:val="none"/>
          <w:lang w:val="en-US" w:eastAsia="zh-CN"/>
        </w:rPr>
        <w:t>2021年末在职人员为4人，而2020年期间在职人员为5人，人员减少1人，相应人员经费有所减少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hint="eastAsia" w:ascii="仿宋_GB2312" w:hAnsi="仿宋_GB2312" w:eastAsia="仿宋_GB2312"/>
          <w:sz w:val="32"/>
          <w:szCs w:val="24"/>
          <w:lang w:val="en-US"/>
        </w:rPr>
        <w:t>2021年度收入合计67.22万元，其中：财政拨款收入67.22万元，占100%；上级补助收入0万元，占0%；事业收入0万元，占0%；经营收入0万元，占0%；附属单位上缴收入0万元，占0%；其他收入0万元，占0%。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2021年度支出合计74.3</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lang w:val="en-US"/>
        </w:rPr>
        <w:t>万元，其中：基本支出74.3</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lang w:val="en-US"/>
        </w:rPr>
        <w:t>万元，占100%；项目支出0万元，占0%；上缴上级支出0万元，占0%；经营支出0万元，占0%；对附属单位补助支出0万元，占0%。</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2021年度财政拨款收、支总计均为74.3</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lang w:val="en-US"/>
        </w:rPr>
        <w:t>万元。与上年度相比，财政拨款收、支总计各减少15.58万元，下降17.32%。</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color w:val="auto"/>
          <w:sz w:val="32"/>
          <w:szCs w:val="32"/>
          <w:highlight w:val="none"/>
          <w:lang w:val="zh-CN" w:eastAsia="zh-CN"/>
        </w:rPr>
        <w:t>是</w:t>
      </w:r>
      <w:r>
        <w:rPr>
          <w:rFonts w:hint="eastAsia" w:ascii="仿宋_GB2312" w:hAnsi="仿宋_GB2312" w:eastAsia="仿宋_GB2312" w:cs="仿宋_GB2312"/>
          <w:color w:val="auto"/>
          <w:sz w:val="32"/>
          <w:szCs w:val="32"/>
          <w:highlight w:val="none"/>
          <w:lang w:val="en-US" w:eastAsia="zh-CN"/>
        </w:rPr>
        <w:t>2021年末在职人员为4人，而2020年期间在职人员为5人，人员减少1人，相应人员经费有所减少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 xml:space="preserve"> 2021年度一般公共预算财政拨款支出74.3</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lang w:val="en-US"/>
        </w:rPr>
        <w:t>万元，占支出合计的100%。与上年度相比，一般公共预算财政拨款支出减少4.36万元，下降</w:t>
      </w:r>
      <w:r>
        <w:rPr>
          <w:rFonts w:hint="default" w:ascii="仿宋_GB2312" w:hAnsi="仿宋_GB2312" w:eastAsia="仿宋_GB2312"/>
          <w:sz w:val="32"/>
          <w:szCs w:val="24"/>
          <w:lang w:val="en-US"/>
        </w:rPr>
        <w:t>5.56</w:t>
      </w:r>
      <w:r>
        <w:rPr>
          <w:rFonts w:hint="eastAsia" w:ascii="仿宋_GB2312" w:hAnsi="仿宋_GB2312" w:eastAsia="仿宋_GB2312"/>
          <w:sz w:val="32"/>
          <w:szCs w:val="24"/>
          <w:lang w:val="en-US"/>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办公经费的年初预算有所压减</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2021年度一般公共预算财政拨款支出74.3</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lang w:val="en-US"/>
        </w:rPr>
        <w:t>万元，主要用于以下方面：</w:t>
      </w:r>
      <w:r>
        <w:rPr>
          <w:rFonts w:hint="eastAsia" w:ascii="仿宋_GB2312" w:hAnsi="仿宋_GB2312" w:eastAsia="仿宋_GB2312" w:cs="仿宋_GB2312"/>
          <w:color w:val="auto"/>
          <w:sz w:val="32"/>
          <w:szCs w:val="32"/>
          <w:highlight w:val="none"/>
          <w:lang w:val="en-US" w:eastAsia="zh-CN"/>
        </w:rPr>
        <w:t>一般公共服务（类）支出0.36万元，占0.49%；社会保障和就业（类）支出4.14万元，占5.57%；卫生健康（类）支出4.42万元，占5.95%；城乡社区（类）支出65.44万元，占87.99%。</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2021年度一般公共预算财政拨款支出年初预算为85.36万元，支出决算为74.3</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lang w:val="en-US"/>
        </w:rPr>
        <w:t>万元，完成年初预算的87.13%。</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1．一般公共服务支出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lang w:val="en-US" w:eastAsia="zh-CN"/>
        </w:rPr>
        <w:t>群众团体事务</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color w:val="auto"/>
          <w:sz w:val="32"/>
          <w:szCs w:val="32"/>
          <w:highlight w:val="none"/>
          <w:lang w:val="en-US" w:eastAsia="zh-CN"/>
        </w:rPr>
        <w:t>工会事务（项）。</w:t>
      </w:r>
      <w:r>
        <w:rPr>
          <w:rFonts w:hint="eastAsia" w:ascii="仿宋_GB2312" w:hAnsi="仿宋_GB2312" w:eastAsia="仿宋_GB2312" w:cs="仿宋_GB2312"/>
          <w:color w:val="auto"/>
          <w:sz w:val="32"/>
          <w:szCs w:val="32"/>
          <w:highlight w:val="none"/>
          <w:lang w:val="en-US" w:eastAsia="zh-CN"/>
        </w:rPr>
        <w:t>年初预算为0.36万元，支出决算为0.36万元，完成年初预算的100%。决算数与年初预算数无差异。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lang w:val="en-US" w:eastAsia="zh-CN"/>
        </w:rPr>
        <w:t>行政事业单位养老支出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color w:val="auto"/>
          <w:sz w:val="32"/>
          <w:szCs w:val="32"/>
          <w:highlight w:val="none"/>
          <w:lang w:val="en-US" w:eastAsia="zh-CN"/>
        </w:rPr>
        <w:t>机关事业单位基本养老保险缴费支出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年初预算为4.67万元，支出决算为4.</w:t>
      </w:r>
      <w:r>
        <w:rPr>
          <w:rFonts w:hint="default"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lang w:val="en-US" w:eastAsia="zh-CN"/>
        </w:rPr>
        <w:t>万元，完成年初预算的</w:t>
      </w:r>
      <w:r>
        <w:rPr>
          <w:rFonts w:hint="default" w:ascii="仿宋_GB2312" w:hAnsi="仿宋_GB2312" w:eastAsia="仿宋_GB2312" w:cs="仿宋_GB2312"/>
          <w:color w:val="auto"/>
          <w:sz w:val="32"/>
          <w:szCs w:val="32"/>
          <w:highlight w:val="none"/>
          <w:lang w:val="en-US" w:eastAsia="zh-CN"/>
        </w:rPr>
        <w:t>88.65</w:t>
      </w:r>
      <w:r>
        <w:rPr>
          <w:rFonts w:hint="eastAsia" w:ascii="仿宋_GB2312" w:hAnsi="仿宋_GB2312" w:eastAsia="仿宋_GB2312" w:cs="仿宋_GB2312"/>
          <w:color w:val="auto"/>
          <w:sz w:val="32"/>
          <w:szCs w:val="32"/>
          <w:highlight w:val="none"/>
          <w:lang w:val="en-US" w:eastAsia="zh-CN"/>
        </w:rPr>
        <w:t>%。决算数与年初预算数存在差异的主要原因是养老保险实际执行基数比年初预算数要低。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3．卫生健康支出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color w:val="auto"/>
          <w:sz w:val="32"/>
          <w:szCs w:val="32"/>
          <w:highlight w:val="none"/>
          <w:lang w:val="en-US" w:eastAsia="zh-CN"/>
        </w:rPr>
        <w:t>行政单位医疗</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年初预算为2.41万元，支出决算为2.25万元，完成年初预算的93.36%。决算数与年初预算数存在差异的主要原因是医疗保险实际执行基数比年初预算数要低。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4．卫生健康支出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lang w:val="en-US" w:eastAsia="zh-CN"/>
        </w:rPr>
        <w:t>行政事业单位医疗</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color w:val="auto"/>
          <w:sz w:val="32"/>
          <w:szCs w:val="32"/>
          <w:highlight w:val="none"/>
          <w:lang w:val="en-US" w:eastAsia="zh-CN"/>
        </w:rPr>
        <w:t>公务员医疗补助</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年初预算为2.29万元，支出决算为2.17万元，完成年初预算的94.75%。决算数与年初预算数存在差异的主要原因是医疗保险实际执行基数比年初预算数要低。</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5．城乡社区支出</w:t>
      </w:r>
      <w:r>
        <w:rPr>
          <w:rFonts w:hint="eastAsia" w:ascii="仿宋_GB2312" w:hAnsi="仿宋_GB2312" w:eastAsia="仿宋_GB2312" w:cs="仿宋_GB2312"/>
          <w:b/>
          <w:bCs/>
          <w:sz w:val="32"/>
          <w:szCs w:val="32"/>
        </w:rPr>
        <w:t>（类）</w:t>
      </w:r>
      <w:r>
        <w:rPr>
          <w:rFonts w:hint="eastAsia" w:ascii="仿宋_GB2312" w:hAnsi="仿宋_GB2312" w:eastAsia="仿宋_GB2312" w:cs="仿宋_GB2312"/>
          <w:b/>
          <w:bCs/>
          <w:color w:val="auto"/>
          <w:sz w:val="32"/>
          <w:szCs w:val="32"/>
          <w:highlight w:val="none"/>
          <w:lang w:val="en-US" w:eastAsia="zh-CN"/>
        </w:rPr>
        <w:t>城乡社区规划与管理</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color w:val="auto"/>
          <w:sz w:val="32"/>
          <w:szCs w:val="32"/>
          <w:highlight w:val="none"/>
          <w:lang w:val="en-US" w:eastAsia="zh-CN"/>
        </w:rPr>
        <w:t>城乡社区规划与管理</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年初预算为75.63万元，支出决算为65.44万元，完成年初预算的86.52%。决算数与年初预算数存在差异的主要原因是办公经费开支有所减少。</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2021年度一般公共预算财政拨款基本支出74.3</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lang w:val="en-US"/>
        </w:rPr>
        <w:t>万元。其中：人员经费69.3</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万元，主要包括：基本工资、津贴补贴、</w:t>
      </w:r>
      <w:r>
        <w:rPr>
          <w:rFonts w:hint="eastAsia" w:ascii="仿宋_GB2312" w:hAnsi="仿宋_GB2312" w:eastAsia="仿宋_GB2312"/>
          <w:sz w:val="32"/>
          <w:szCs w:val="24"/>
          <w:lang w:val="en-US" w:eastAsia="zh-CN"/>
        </w:rPr>
        <w:t>奖金、</w:t>
      </w:r>
      <w:r>
        <w:rPr>
          <w:rFonts w:hint="eastAsia" w:ascii="仿宋_GB2312" w:hAnsi="仿宋_GB2312" w:eastAsia="仿宋_GB2312"/>
          <w:sz w:val="32"/>
          <w:szCs w:val="24"/>
          <w:lang w:val="en-US"/>
        </w:rPr>
        <w:t>机关事业单位基本养老保险缴费、职工基本医疗保险缴费</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lang w:val="en-US"/>
        </w:rPr>
        <w:t>公务员医疗补助缴费、其他社会保障缴费、住房公积金、</w:t>
      </w:r>
      <w:r>
        <w:rPr>
          <w:rFonts w:hint="eastAsia" w:ascii="仿宋_GB2312" w:hAnsi="仿宋_GB2312" w:eastAsia="仿宋_GB2312"/>
          <w:sz w:val="32"/>
          <w:szCs w:val="24"/>
          <w:lang w:val="en-US" w:eastAsia="zh-CN"/>
        </w:rPr>
        <w:t>其他工资福利支出</w:t>
      </w:r>
      <w:r>
        <w:rPr>
          <w:rFonts w:hint="eastAsia" w:ascii="仿宋_GB2312" w:hAnsi="仿宋_GB2312" w:eastAsia="仿宋_GB2312"/>
          <w:sz w:val="32"/>
          <w:szCs w:val="24"/>
          <w:lang w:val="en-US"/>
        </w:rPr>
        <w:t>；公用经费5.0</w:t>
      </w:r>
      <w:r>
        <w:rPr>
          <w:rFonts w:hint="eastAsia" w:ascii="仿宋_GB2312" w:hAnsi="仿宋_GB2312" w:eastAsia="仿宋_GB2312"/>
          <w:sz w:val="32"/>
          <w:szCs w:val="24"/>
          <w:lang w:val="en-US" w:eastAsia="zh-CN"/>
        </w:rPr>
        <w:t>7</w:t>
      </w:r>
      <w:r>
        <w:rPr>
          <w:rFonts w:hint="eastAsia" w:ascii="仿宋_GB2312" w:hAnsi="仿宋_GB2312" w:eastAsia="仿宋_GB2312"/>
          <w:sz w:val="32"/>
          <w:szCs w:val="24"/>
          <w:lang w:val="en-US"/>
        </w:rPr>
        <w:t>万元，主要包括：办公费、印刷费、</w:t>
      </w:r>
      <w:r>
        <w:rPr>
          <w:rFonts w:hint="eastAsia" w:ascii="仿宋_GB2312" w:hAnsi="仿宋_GB2312" w:eastAsia="仿宋_GB2312"/>
          <w:sz w:val="32"/>
          <w:szCs w:val="24"/>
          <w:lang w:val="en-US" w:eastAsia="zh-CN"/>
        </w:rPr>
        <w:t>咨询费、维修（护）费、</w:t>
      </w:r>
      <w:r>
        <w:rPr>
          <w:rFonts w:hint="eastAsia" w:ascii="仿宋_GB2312" w:hAnsi="仿宋_GB2312" w:eastAsia="仿宋_GB2312"/>
          <w:sz w:val="32"/>
          <w:szCs w:val="24"/>
          <w:lang w:val="en-US"/>
        </w:rPr>
        <w:t>工会经费、福利费、其他交通费用</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经费财政拨款支出预算为0.45万元，支出决算为0万元，完成预算的0%。2021年度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经费支出决算数与预算数存在差异的主要原因是</w:t>
      </w:r>
      <w:r>
        <w:rPr>
          <w:rFonts w:hint="eastAsia" w:ascii="仿宋_GB2312" w:hAnsi="仿宋_GB2312" w:eastAsia="仿宋_GB2312" w:cs="仿宋_GB2312"/>
          <w:sz w:val="32"/>
          <w:szCs w:val="32"/>
          <w:lang w:val="en-US" w:eastAsia="zh-CN"/>
        </w:rPr>
        <w:t>贯彻落实上级过紧日子要求，厉行节约</w:t>
      </w:r>
      <w:r>
        <w:rPr>
          <w:rFonts w:hint="eastAsia" w:ascii="仿宋_GB2312" w:hAnsi="仿宋_GB2312" w:eastAsia="仿宋_GB2312" w:cs="仿宋_GB2312"/>
          <w:sz w:val="32"/>
          <w:szCs w:val="32"/>
          <w:highlight w:val="none"/>
        </w:rPr>
        <w:t>。</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spacing w:beforeLines="0" w:afterLines="0" w:line="590" w:lineRule="exact"/>
        <w:ind w:firstLine="640"/>
        <w:rPr>
          <w:rFonts w:hint="default" w:ascii="Times New Roman" w:hAnsi="Times New Roman" w:eastAsia="Times New Roman"/>
          <w:kern w:val="0"/>
          <w:sz w:val="18"/>
          <w:szCs w:val="24"/>
          <w:lang w:val="en-US"/>
        </w:rPr>
      </w:pPr>
      <w:r>
        <w:rPr>
          <w:rFonts w:hint="eastAsia" w:ascii="仿宋_GB2312" w:hAnsi="仿宋_GB2312" w:eastAsia="仿宋_GB2312"/>
          <w:sz w:val="32"/>
          <w:szCs w:val="24"/>
          <w:lang w:val="en-US"/>
        </w:rPr>
        <w:t>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经费财政拨款支出决算中，因公出国（境）费支出决算0万元；公务用车购置及运行费支出决算0万元；公务接待费支出决算0万元，完成预算的0%，占0%；具体情况如下：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预算为0万元，支出决算为0万元。2021年度</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三公</w:t>
      </w:r>
      <w:r>
        <w:rPr>
          <w:rFonts w:hint="default" w:ascii="Times New Roman" w:hAnsi="Times New Roman" w:eastAsia="Times New Roman"/>
          <w:sz w:val="32"/>
          <w:szCs w:val="24"/>
          <w:lang w:val="en-US"/>
        </w:rPr>
        <w:t>”</w:t>
      </w:r>
      <w:r>
        <w:rPr>
          <w:rFonts w:hint="eastAsia" w:ascii="仿宋_GB2312" w:hAnsi="仿宋_GB2312" w:eastAsia="仿宋_GB2312"/>
          <w:sz w:val="32"/>
          <w:szCs w:val="24"/>
          <w:lang w:val="en-US"/>
        </w:rPr>
        <w:t>经费支出决算数与预算数不存在差异。因公出国（境）团组数0个，</w:t>
      </w:r>
      <w:r>
        <w:rPr>
          <w:rFonts w:hint="eastAsia" w:ascii="仿宋_GB2312" w:hAnsi="仿宋_GB2312" w:eastAsia="仿宋_GB2312"/>
          <w:sz w:val="32"/>
          <w:szCs w:val="24"/>
          <w:lang w:val="en-US" w:eastAsia="zh-CN"/>
        </w:rPr>
        <w:t>累计0人次</w:t>
      </w:r>
      <w:r>
        <w:rPr>
          <w:rFonts w:hint="eastAsia" w:ascii="仿宋_GB2312" w:hAnsi="仿宋_GB2312" w:eastAsia="仿宋_GB2312"/>
          <w:sz w:val="32"/>
          <w:szCs w:val="24"/>
          <w:lang w:val="en-US"/>
        </w:rPr>
        <w:t>。</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2．公务用车购置及运行费</w:t>
      </w:r>
      <w:r>
        <w:rPr>
          <w:rFonts w:hint="eastAsia" w:ascii="仿宋_GB2312" w:hAnsi="仿宋_GB2312" w:eastAsia="仿宋_GB2312"/>
          <w:sz w:val="32"/>
          <w:szCs w:val="24"/>
          <w:lang w:val="en-US"/>
        </w:rPr>
        <w:t>预算为0万元，支出决算为0万元。其中：</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公务用车购置支出</w:t>
      </w:r>
      <w:r>
        <w:rPr>
          <w:rFonts w:hint="eastAsia" w:ascii="仿宋_GB2312" w:hAnsi="仿宋_GB2312" w:eastAsia="仿宋_GB2312"/>
          <w:sz w:val="32"/>
          <w:szCs w:val="24"/>
          <w:lang w:val="en-US"/>
        </w:rPr>
        <w:t>0万元，购置车辆</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台。</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公务用车运行支出</w:t>
      </w:r>
      <w:r>
        <w:rPr>
          <w:rFonts w:hint="eastAsia" w:ascii="仿宋_GB2312" w:hAnsi="仿宋_GB2312" w:eastAsia="仿宋_GB2312"/>
          <w:sz w:val="32"/>
          <w:szCs w:val="24"/>
          <w:lang w:val="en-US"/>
        </w:rPr>
        <w:t>0万元。2021年期末，单位开支财政拨款的公务用车保有量为</w:t>
      </w:r>
      <w:r>
        <w:rPr>
          <w:rFonts w:hint="default" w:ascii="仿宋_GB2312" w:hAnsi="仿宋_GB2312" w:eastAsia="仿宋_GB2312"/>
          <w:sz w:val="32"/>
          <w:szCs w:val="24"/>
          <w:lang w:val="en-US" w:eastAsia="zh-CN"/>
        </w:rPr>
        <w:t>0</w:t>
      </w:r>
      <w:r>
        <w:rPr>
          <w:rFonts w:hint="eastAsia" w:ascii="仿宋_GB2312" w:hAnsi="仿宋_GB2312" w:eastAsia="仿宋_GB2312"/>
          <w:sz w:val="32"/>
          <w:szCs w:val="24"/>
          <w:lang w:val="en-US" w:eastAsia="zh-CN"/>
        </w:rPr>
        <w:t>辆</w:t>
      </w:r>
      <w:r>
        <w:rPr>
          <w:rFonts w:hint="eastAsia" w:ascii="仿宋_GB2312" w:hAnsi="仿宋_GB2312" w:eastAsia="仿宋_GB2312"/>
          <w:sz w:val="32"/>
          <w:szCs w:val="24"/>
          <w:lang w:val="en-US"/>
        </w:rPr>
        <w:t>。</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3.公务接待费</w:t>
      </w:r>
      <w:r>
        <w:rPr>
          <w:rFonts w:hint="eastAsia" w:ascii="仿宋_GB2312" w:hAnsi="仿宋_GB2312" w:eastAsia="仿宋_GB2312"/>
          <w:sz w:val="32"/>
          <w:szCs w:val="24"/>
          <w:lang w:val="en-US"/>
        </w:rPr>
        <w:t>预算为0.45万元，支出决算为0万元，完成预算的0%。决算数与预算数存在差异的主要原因是</w:t>
      </w:r>
      <w:r>
        <w:rPr>
          <w:rFonts w:hint="eastAsia" w:ascii="仿宋_GB2312" w:hAnsi="仿宋_GB2312" w:eastAsia="仿宋_GB2312" w:cs="仿宋_GB2312"/>
          <w:sz w:val="32"/>
          <w:szCs w:val="32"/>
          <w:lang w:val="en-US" w:eastAsia="zh-CN"/>
        </w:rPr>
        <w:t>贯彻落实上级过紧日子要求，厉行节约</w:t>
      </w:r>
      <w:r>
        <w:rPr>
          <w:rFonts w:hint="eastAsia" w:ascii="仿宋_GB2312" w:hAnsi="仿宋_GB2312" w:eastAsia="仿宋_GB2312"/>
          <w:sz w:val="32"/>
          <w:szCs w:val="24"/>
          <w:lang w:val="en-US"/>
        </w:rPr>
        <w:t>。其中：</w:t>
      </w:r>
    </w:p>
    <w:p>
      <w:pPr>
        <w:spacing w:beforeLines="0" w:afterLines="0" w:line="590" w:lineRule="exact"/>
        <w:ind w:firstLine="640"/>
        <w:rPr>
          <w:rFonts w:hint="default" w:ascii="Times New Roman" w:hAnsi="Times New Roman" w:eastAsia="Times New Roman"/>
          <w:sz w:val="32"/>
          <w:szCs w:val="24"/>
          <w:lang w:val="en-US"/>
        </w:rPr>
      </w:pPr>
      <w:r>
        <w:rPr>
          <w:rFonts w:hint="eastAsia" w:ascii="仿宋_GB2312" w:hAnsi="仿宋_GB2312" w:eastAsia="仿宋_GB2312"/>
          <w:b/>
          <w:sz w:val="32"/>
          <w:szCs w:val="24"/>
          <w:lang w:val="en-US"/>
        </w:rPr>
        <w:t>外宾接待支出</w:t>
      </w:r>
      <w:r>
        <w:rPr>
          <w:rFonts w:hint="eastAsia" w:ascii="仿宋_GB2312" w:hAnsi="仿宋_GB2312" w:eastAsia="仿宋_GB2312"/>
          <w:sz w:val="32"/>
          <w:szCs w:val="24"/>
          <w:lang w:val="en-US"/>
        </w:rPr>
        <w:t>0万元。2021年共接待国（境）外来访团组</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个、来访外宾</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人次（不包括陪同人员）。</w:t>
      </w:r>
    </w:p>
    <w:p>
      <w:pPr>
        <w:widowControl/>
        <w:spacing w:line="590" w:lineRule="exact"/>
        <w:ind w:firstLine="642" w:firstLineChars="200"/>
        <w:outlineLvl w:val="1"/>
        <w:rPr>
          <w:rFonts w:hint="eastAsia" w:ascii="仿宋_GB2312" w:hAnsi="仿宋_GB2312" w:eastAsia="仿宋_GB2312"/>
          <w:sz w:val="32"/>
          <w:szCs w:val="24"/>
          <w:lang w:val="en-US"/>
        </w:rPr>
      </w:pPr>
      <w:r>
        <w:rPr>
          <w:rFonts w:hint="eastAsia" w:ascii="仿宋_GB2312" w:hAnsi="仿宋_GB2312" w:eastAsia="仿宋_GB2312"/>
          <w:b/>
          <w:sz w:val="32"/>
          <w:szCs w:val="24"/>
          <w:lang w:val="en-US"/>
        </w:rPr>
        <w:t>其他国内公务接待支出</w:t>
      </w:r>
      <w:r>
        <w:rPr>
          <w:rFonts w:hint="eastAsia" w:ascii="仿宋_GB2312" w:hAnsi="仿宋_GB2312" w:eastAsia="仿宋_GB2312"/>
          <w:sz w:val="32"/>
          <w:szCs w:val="24"/>
          <w:lang w:val="en-US"/>
        </w:rPr>
        <w:t>0万元。2021年共接待国内来访团组</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个、来宾</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sz w:val="32"/>
          <w:szCs w:val="24"/>
          <w:lang w:val="en-US"/>
        </w:rPr>
        <w:t>2021年度政府性基金预算财政拨款支出年初预算为0万元，支出决算为0万元。</w:t>
      </w:r>
      <w:r>
        <w:rPr>
          <w:rFonts w:hint="eastAsia" w:ascii="仿宋_GB2312" w:hAnsi="仿宋_GB2312" w:eastAsia="仿宋_GB2312" w:cs="仿宋_GB2312"/>
          <w:sz w:val="32"/>
          <w:szCs w:val="32"/>
          <w:highlight w:val="none"/>
          <w:lang w:val="en-US" w:eastAsia="zh-CN"/>
        </w:rPr>
        <w:t>不存在</w:t>
      </w:r>
      <w:r>
        <w:rPr>
          <w:rFonts w:hint="eastAsia" w:ascii="仿宋_GB2312" w:hAnsi="仿宋_GB2312" w:eastAsia="仿宋_GB2312" w:cs="仿宋_GB2312"/>
          <w:sz w:val="32"/>
          <w:szCs w:val="32"/>
          <w:highlight w:val="none"/>
        </w:rPr>
        <w:t>项目年末结转和结余资金数额较大，</w:t>
      </w: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lang w:eastAsia="zh-CN"/>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outlineLvl w:val="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2021年度机关运行经费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default" w:ascii="仿宋_GB2312" w:hAnsi="仿宋_GB2312" w:eastAsia="仿宋_GB2312" w:cs="仿宋_GB2312"/>
          <w:sz w:val="32"/>
          <w:szCs w:val="32"/>
          <w:highlight w:val="none"/>
          <w:lang w:val="en-US" w:eastAsia="zh-CN"/>
        </w:rPr>
        <w:t>11.31</w:t>
      </w:r>
      <w:r>
        <w:rPr>
          <w:rFonts w:hint="eastAsia" w:ascii="仿宋_GB2312" w:hAnsi="仿宋_GB2312" w:eastAsia="仿宋_GB2312" w:cs="仿宋_GB2312"/>
          <w:sz w:val="32"/>
          <w:szCs w:val="32"/>
          <w:highlight w:val="none"/>
        </w:rPr>
        <w:t>万元，支出决算为</w:t>
      </w:r>
      <w:r>
        <w:rPr>
          <w:rFonts w:hint="default" w:ascii="仿宋_GB2312" w:hAnsi="仿宋_GB2312" w:eastAsia="仿宋_GB2312" w:cs="仿宋_GB2312"/>
          <w:sz w:val="32"/>
          <w:szCs w:val="32"/>
          <w:highlight w:val="none"/>
          <w:lang w:val="en-US" w:eastAsia="zh-CN"/>
        </w:rPr>
        <w:t>5.07</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default" w:ascii="仿宋_GB2312" w:hAnsi="仿宋_GB2312" w:eastAsia="仿宋_GB2312" w:cs="仿宋_GB2312"/>
          <w:sz w:val="32"/>
          <w:szCs w:val="32"/>
          <w:highlight w:val="none"/>
          <w:lang w:val="en-US" w:eastAsia="zh-CN"/>
        </w:rPr>
        <w:t>44.82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预算数存在差异的主要原因是贯彻落实上级过紧日子要求，厉行节约，压减支出。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spacing w:beforeLines="0" w:afterLines="0" w:line="59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2021年度政府采购支出总额</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万元，其中：政府采购货物支出</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万元、政府采购工程支出</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万元、政府采购服务支出</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万元。授予中小企业合同金额</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w:t>
      </w:r>
      <w:r>
        <w:rPr>
          <w:rFonts w:hint="eastAsia" w:ascii="仿宋_GB2312" w:hAnsi="仿宋_GB2312" w:eastAsia="仿宋_GB2312"/>
          <w:sz w:val="32"/>
          <w:szCs w:val="24"/>
          <w:lang w:val="en-US" w:eastAsia="zh-CN"/>
        </w:rPr>
        <w:t>，</w:t>
      </w:r>
      <w:r>
        <w:rPr>
          <w:rFonts w:hint="eastAsia" w:ascii="仿宋_GB2312" w:hAnsi="仿宋_GB2312" w:eastAsia="仿宋_GB2312"/>
          <w:sz w:val="32"/>
          <w:szCs w:val="24"/>
          <w:lang w:val="en-US"/>
        </w:rPr>
        <w:t>其中：授予小微企业合同金额</w:t>
      </w:r>
      <w:r>
        <w:rPr>
          <w:rFonts w:hint="eastAsia" w:ascii="仿宋_GB2312" w:hAnsi="仿宋_GB2312" w:eastAsia="仿宋_GB2312"/>
          <w:sz w:val="32"/>
          <w:szCs w:val="24"/>
          <w:lang w:val="en-US" w:eastAsia="zh-CN"/>
        </w:rPr>
        <w:t>0</w:t>
      </w:r>
      <w:r>
        <w:rPr>
          <w:rFonts w:hint="eastAsia" w:ascii="仿宋_GB2312" w:hAnsi="仿宋_GB2312" w:eastAsia="仿宋_GB2312"/>
          <w:sz w:val="32"/>
          <w:szCs w:val="24"/>
          <w:lang w:val="en-US"/>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sz w:val="32"/>
          <w:szCs w:val="24"/>
          <w:lang w:val="en-US"/>
        </w:rPr>
        <w:t>2021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许昌市自然资源和规划局建安区服务中心按照《中共许昌市委 许昌市人民政府关于全面实施预算绩效管理的实施意见》（许发〔2021〕13号）文件要求，对许昌市自然资源和规划局建安区服务中心整体支出和项目支出开展全过程预算绩效管理。2021年许昌市自然资源和规划局建安区服务中心纳入预算绩效管理的支出总额为85.36万元，其中：基本支出85.36万元；支出项目0个，支出金额0万元。开展项目绩效自评项目0个，自评金额0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（二）许昌市自然资源和规划局建安区服务中心整体和项目绩效自评结果。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eastAsia="zh-CN"/>
        </w:rPr>
        <w:t>2</w:t>
      </w:r>
      <w:r>
        <w:rPr>
          <w:rFonts w:hint="eastAsia" w:ascii="仿宋_GB2312" w:hAnsi="仿宋_GB2312" w:eastAsia="仿宋_GB2312" w:cs="仿宋_GB2312"/>
          <w:color w:val="auto"/>
          <w:sz w:val="32"/>
          <w:szCs w:val="32"/>
          <w:highlight w:val="none"/>
          <w:lang w:val="en-US" w:eastAsia="zh-CN"/>
        </w:rPr>
        <w:t>〕1号）等文件精神，许昌市自然资源和规划局建安区服务中心对许昌市自然资源和规划局建安区服务中心整体绩效目标和项目支出绩效目标进行了自评。一是许昌市自然资源和规划局建安区服务中心整体绩效自评情况良好。二是项目绩效自评情况。我单位共有0个项目批复了绩效目标，项目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M6pebnPAAAABQEA&#10;AA8AAAAAAAAAAQAgAAAAOAAAAGRycy9kb3ducmV2LnhtbFBLAQIUABQAAAAIAIdO4kDwHWr6yAEA&#10;AJkDAAAOAAAAAAAAAAEAIAAAADQBAABkcnMvZTJvRG9jLnhtbFBLAQIUAAoAAAAAAIdO4kAAAAAA&#10;AAAAAAAAAAAEAAAAAAAAAAAAEAAAABYAAABkcnMvUEsBAhQACgAAAAAAh07iQAAAAAAAAAAAAAAA&#10;AAYAAAAAAAAAAAAQAAAAKAMAAF9yZWx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BQAAAAIAIdO4kDOqXm5zwAAAAUB&#10;AAAPAAAAAAAAAAEAIAAAADgAAABkcnMvZG93bnJldi54bWxQSwECFAAUAAAACACHTuJAAHvdzckB&#10;AACZAwAADgAAAAAAAAABACAAAAA0AQAAZHJzL2Uyb0RvYy54bWxQSwECFAAKAAAAAACHTuJAAAAA&#10;AAAAAAAAAAAABAAAAAAAAAAAABAAAAAWAAAAZHJzL1BLAQIUAAoAAAAAAIdO4kAAAAAAAAAAAAAA&#10;AAAGAAAAAAAAAAAAEAAAACkDAABfcmVs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jMmM3OTgxYmU4ZjQ2MTQwN2RjZGJiYjgyNWE5YzE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9377A19"/>
    <w:rsid w:val="1A8D28EB"/>
    <w:rsid w:val="1A9F2D78"/>
    <w:rsid w:val="1B2E6FD8"/>
    <w:rsid w:val="1B877D21"/>
    <w:rsid w:val="1C4319A9"/>
    <w:rsid w:val="1D965BAD"/>
    <w:rsid w:val="1E443B4B"/>
    <w:rsid w:val="1E994F4A"/>
    <w:rsid w:val="1EAF0224"/>
    <w:rsid w:val="1F2230A4"/>
    <w:rsid w:val="1FFBD620"/>
    <w:rsid w:val="20210932"/>
    <w:rsid w:val="202448E0"/>
    <w:rsid w:val="20F614FE"/>
    <w:rsid w:val="21302EEA"/>
    <w:rsid w:val="22376FB5"/>
    <w:rsid w:val="23E152D7"/>
    <w:rsid w:val="23EE2489"/>
    <w:rsid w:val="255D43C8"/>
    <w:rsid w:val="26714EF8"/>
    <w:rsid w:val="26876BDD"/>
    <w:rsid w:val="2714632A"/>
    <w:rsid w:val="27541E73"/>
    <w:rsid w:val="27B0539E"/>
    <w:rsid w:val="28277C1A"/>
    <w:rsid w:val="29365CF8"/>
    <w:rsid w:val="299469B3"/>
    <w:rsid w:val="2A805789"/>
    <w:rsid w:val="2ADC0D75"/>
    <w:rsid w:val="2B4A0E52"/>
    <w:rsid w:val="2C975890"/>
    <w:rsid w:val="2DAB4E2D"/>
    <w:rsid w:val="2DEF21BB"/>
    <w:rsid w:val="2E4A2F05"/>
    <w:rsid w:val="2ECC1061"/>
    <w:rsid w:val="2FA476AD"/>
    <w:rsid w:val="303F7540"/>
    <w:rsid w:val="31DD00BF"/>
    <w:rsid w:val="3293174C"/>
    <w:rsid w:val="32BB38D4"/>
    <w:rsid w:val="32C9376D"/>
    <w:rsid w:val="33780472"/>
    <w:rsid w:val="33AF0905"/>
    <w:rsid w:val="355932F4"/>
    <w:rsid w:val="35611882"/>
    <w:rsid w:val="360633BA"/>
    <w:rsid w:val="36746FC3"/>
    <w:rsid w:val="368763AE"/>
    <w:rsid w:val="395D59E7"/>
    <w:rsid w:val="39A93932"/>
    <w:rsid w:val="3A915562"/>
    <w:rsid w:val="3B8D4765"/>
    <w:rsid w:val="3C000DBA"/>
    <w:rsid w:val="3DC045D3"/>
    <w:rsid w:val="3DFD88CC"/>
    <w:rsid w:val="3E504FFB"/>
    <w:rsid w:val="3E615CD0"/>
    <w:rsid w:val="3E9C47F6"/>
    <w:rsid w:val="3F8B0112"/>
    <w:rsid w:val="3FAB3095"/>
    <w:rsid w:val="3FE45947"/>
    <w:rsid w:val="41242965"/>
    <w:rsid w:val="42557BE2"/>
    <w:rsid w:val="435671EA"/>
    <w:rsid w:val="440809E9"/>
    <w:rsid w:val="442407A6"/>
    <w:rsid w:val="44805EA1"/>
    <w:rsid w:val="45710696"/>
    <w:rsid w:val="46142B1B"/>
    <w:rsid w:val="47E60DD0"/>
    <w:rsid w:val="48735039"/>
    <w:rsid w:val="492C684B"/>
    <w:rsid w:val="49500594"/>
    <w:rsid w:val="49E7604E"/>
    <w:rsid w:val="49FF11D4"/>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8B3DF95"/>
    <w:rsid w:val="5AC2203A"/>
    <w:rsid w:val="5CBB3334"/>
    <w:rsid w:val="5CDB7DB3"/>
    <w:rsid w:val="5D115FAF"/>
    <w:rsid w:val="5DF0F938"/>
    <w:rsid w:val="62811722"/>
    <w:rsid w:val="62E75A72"/>
    <w:rsid w:val="64571880"/>
    <w:rsid w:val="649125B6"/>
    <w:rsid w:val="652F4C1A"/>
    <w:rsid w:val="666D37F1"/>
    <w:rsid w:val="6678BB88"/>
    <w:rsid w:val="66EF138B"/>
    <w:rsid w:val="67087D8F"/>
    <w:rsid w:val="671F687E"/>
    <w:rsid w:val="67F415F8"/>
    <w:rsid w:val="682640D1"/>
    <w:rsid w:val="684B73E5"/>
    <w:rsid w:val="6A047A2A"/>
    <w:rsid w:val="6EFB7548"/>
    <w:rsid w:val="6F3831C3"/>
    <w:rsid w:val="6F8B71C1"/>
    <w:rsid w:val="70753482"/>
    <w:rsid w:val="707B522A"/>
    <w:rsid w:val="73194D05"/>
    <w:rsid w:val="73A83B0E"/>
    <w:rsid w:val="744D3EF9"/>
    <w:rsid w:val="74794411"/>
    <w:rsid w:val="74DB71B8"/>
    <w:rsid w:val="75867C40"/>
    <w:rsid w:val="75B10B26"/>
    <w:rsid w:val="75B2834A"/>
    <w:rsid w:val="76432199"/>
    <w:rsid w:val="76F44829"/>
    <w:rsid w:val="77A267C0"/>
    <w:rsid w:val="78882278"/>
    <w:rsid w:val="78B118A6"/>
    <w:rsid w:val="79135044"/>
    <w:rsid w:val="79C62E91"/>
    <w:rsid w:val="7A77571D"/>
    <w:rsid w:val="7A7D0F99"/>
    <w:rsid w:val="7ABFF6A2"/>
    <w:rsid w:val="7CEFA7E2"/>
    <w:rsid w:val="7DE38171"/>
    <w:rsid w:val="7DF7613C"/>
    <w:rsid w:val="7E4A0E7C"/>
    <w:rsid w:val="7EFD449D"/>
    <w:rsid w:val="7F9BD7EF"/>
    <w:rsid w:val="7FFED279"/>
    <w:rsid w:val="8CFE26EF"/>
    <w:rsid w:val="9FCF5FE6"/>
    <w:rsid w:val="AFA7BE29"/>
    <w:rsid w:val="AFFFA49C"/>
    <w:rsid w:val="B6FB8B0F"/>
    <w:rsid w:val="CCF79986"/>
    <w:rsid w:val="D7E03756"/>
    <w:rsid w:val="DE7E6161"/>
    <w:rsid w:val="DE8EE93D"/>
    <w:rsid w:val="DFEF8EC3"/>
    <w:rsid w:val="EFF7EF36"/>
    <w:rsid w:val="F5FFFA68"/>
    <w:rsid w:val="F7BF6D29"/>
    <w:rsid w:val="F7CF6B6A"/>
    <w:rsid w:val="F7DF0904"/>
    <w:rsid w:val="F98FAD79"/>
    <w:rsid w:val="FBF6EEA8"/>
    <w:rsid w:val="FC7FD9EA"/>
    <w:rsid w:val="FCC76421"/>
    <w:rsid w:val="FD4ABFAE"/>
    <w:rsid w:val="FD6FFF0C"/>
    <w:rsid w:val="FF75C6E5"/>
    <w:rsid w:val="FFDED416"/>
    <w:rsid w:val="FFF8A4B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7392</Words>
  <Characters>8846</Characters>
  <Lines>60</Lines>
  <Paragraphs>16</Paragraphs>
  <TotalTime>12</TotalTime>
  <ScaleCrop>false</ScaleCrop>
  <LinksUpToDate>false</LinksUpToDate>
  <CharactersWithSpaces>9188</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2007-12-04T11:41:00Z</dcterms:created>
  <dc:creator>管理者</dc:creator>
  <cp:lastModifiedBy>huanghe</cp:lastModifiedBy>
  <cp:lastPrinted>2018-07-29T18:50:00Z</cp:lastPrinted>
  <dcterms:modified xsi:type="dcterms:W3CDTF">2023-05-11T16:19:34Z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702628523199461181D93893D2999246</vt:lpwstr>
  </property>
</Properties>
</file>