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color w:val="auto"/>
          <w:sz w:val="52"/>
          <w:szCs w:val="52"/>
          <w:highlight w:val="none"/>
          <w:lang w:eastAsia="zh-CN"/>
        </w:rPr>
        <w:t>许昌市自然资源和规划局城乡一体化示范区服务中心</w:t>
      </w:r>
      <w:r>
        <w:rPr>
          <w:rFonts w:hint="eastAsia" w:ascii="黑体" w:hAnsi="黑体" w:eastAsia="黑体" w:cs="黑体"/>
          <w:color w:val="auto"/>
          <w:sz w:val="52"/>
          <w:szCs w:val="52"/>
          <w:highlight w:val="none"/>
          <w:lang w:val="en-US"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numPr>
          <w:ilvl w:val="0"/>
          <w:numId w:val="1"/>
        </w:numPr>
        <w:ind w:left="1920" w:hanging="1920" w:hangingChars="600"/>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许昌市自然资源和规划局城乡一体化示范区</w:t>
      </w:r>
    </w:p>
    <w:p>
      <w:pPr>
        <w:numPr>
          <w:ilvl w:val="0"/>
          <w:numId w:val="0"/>
        </w:numPr>
        <w:ind w:leftChars="-600" w:firstLine="2880" w:firstLineChars="900"/>
        <w:jc w:val="left"/>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服务中心概</w:t>
      </w:r>
      <w:r>
        <w:rPr>
          <w:rFonts w:hint="eastAsia" w:ascii="黑体" w:hAnsi="黑体" w:eastAsia="黑体" w:cs="黑体"/>
          <w:sz w:val="32"/>
          <w:szCs w:val="32"/>
          <w:highlight w:val="none"/>
        </w:rPr>
        <w:t>况</w:t>
      </w:r>
    </w:p>
    <w:p>
      <w:pPr>
        <w:numPr>
          <w:ilvl w:val="0"/>
          <w:numId w:val="2"/>
        </w:numPr>
        <w:ind w:firstLine="640" w:firstLineChars="200"/>
        <w:jc w:val="left"/>
        <w:rPr>
          <w:rFonts w:ascii="宋体" w:hAnsi="宋体" w:cs="宋体"/>
          <w:sz w:val="32"/>
          <w:szCs w:val="32"/>
          <w:highlight w:val="none"/>
        </w:rPr>
      </w:pPr>
      <w:r>
        <w:rPr>
          <w:rFonts w:hint="eastAsia" w:ascii="宋体" w:hAnsi="宋体" w:cs="宋体"/>
          <w:sz w:val="32"/>
          <w:szCs w:val="32"/>
          <w:highlight w:val="none"/>
          <w:lang w:val="en-US" w:eastAsia="zh-CN"/>
        </w:rPr>
        <w:t>单位</w:t>
      </w:r>
      <w:r>
        <w:rPr>
          <w:rFonts w:hint="eastAsia" w:ascii="宋体" w:hAnsi="宋体" w:cs="宋体"/>
          <w:sz w:val="32"/>
          <w:szCs w:val="32"/>
          <w:highlight w:val="none"/>
        </w:rPr>
        <w:t>职责</w:t>
      </w:r>
    </w:p>
    <w:p>
      <w:pPr>
        <w:numPr>
          <w:ilvl w:val="0"/>
          <w:numId w:val="2"/>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numPr>
          <w:ilvl w:val="0"/>
          <w:numId w:val="3"/>
        </w:numPr>
        <w:jc w:val="center"/>
        <w:outlineLvl w:val="0"/>
        <w:rPr>
          <w:rFonts w:hint="eastAsia" w:ascii="黑体" w:hAnsi="黑体" w:eastAsia="黑体" w:cs="黑体"/>
          <w:color w:val="auto"/>
          <w:sz w:val="48"/>
          <w:szCs w:val="48"/>
          <w:highlight w:val="none"/>
          <w:lang w:val="en-US" w:eastAsia="zh-CN"/>
        </w:rPr>
      </w:pPr>
      <w:r>
        <w:rPr>
          <w:rFonts w:hint="eastAsia" w:ascii="黑体" w:hAnsi="黑体" w:eastAsia="黑体" w:cs="黑体"/>
          <w:color w:val="auto"/>
          <w:sz w:val="48"/>
          <w:szCs w:val="48"/>
          <w:highlight w:val="none"/>
          <w:lang w:val="en-US" w:eastAsia="zh-CN"/>
        </w:rPr>
        <w:t xml:space="preserve"> 许昌市自然资源和规划局城</w:t>
      </w:r>
    </w:p>
    <w:p>
      <w:pPr>
        <w:widowControl/>
        <w:numPr>
          <w:ilvl w:val="0"/>
          <w:numId w:val="0"/>
        </w:numPr>
        <w:ind w:firstLine="2400" w:firstLineChars="500"/>
        <w:jc w:val="both"/>
        <w:outlineLvl w:val="0"/>
        <w:rPr>
          <w:rFonts w:hint="eastAsia" w:ascii="黑体" w:hAnsi="黑体" w:eastAsia="黑体" w:cs="黑体"/>
          <w:color w:val="auto"/>
          <w:sz w:val="48"/>
          <w:szCs w:val="48"/>
          <w:highlight w:val="none"/>
          <w:lang w:val="en-US" w:eastAsia="zh-CN"/>
        </w:rPr>
      </w:pPr>
      <w:r>
        <w:rPr>
          <w:rFonts w:hint="eastAsia" w:ascii="黑体" w:hAnsi="黑体" w:eastAsia="黑体" w:cs="黑体"/>
          <w:color w:val="auto"/>
          <w:sz w:val="48"/>
          <w:szCs w:val="48"/>
          <w:highlight w:val="none"/>
          <w:lang w:val="en-US" w:eastAsia="zh-CN"/>
        </w:rPr>
        <w:t>乡一体化示范区服务中心</w:t>
      </w:r>
    </w:p>
    <w:p>
      <w:pPr>
        <w:widowControl/>
        <w:numPr>
          <w:ilvl w:val="0"/>
          <w:numId w:val="0"/>
        </w:numPr>
        <w:ind w:firstLine="2400" w:firstLineChars="500"/>
        <w:jc w:val="both"/>
        <w:outlineLvl w:val="0"/>
        <w:rPr>
          <w:rFonts w:ascii="黑体" w:hAnsi="黑体" w:eastAsia="黑体" w:cs="黑体"/>
          <w:kern w:val="0"/>
          <w:sz w:val="32"/>
          <w:szCs w:val="32"/>
          <w:highlight w:val="none"/>
        </w:rPr>
      </w:pP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val="en-US" w:eastAsia="zh-CN"/>
        </w:rPr>
        <w:t>单位</w:t>
      </w:r>
      <w:r>
        <w:rPr>
          <w:rFonts w:hint="eastAsia" w:ascii="黑体" w:hAnsi="黑体" w:eastAsia="黑体" w:cs="黑体"/>
          <w:bCs/>
          <w:sz w:val="32"/>
          <w:szCs w:val="32"/>
          <w:highlight w:val="none"/>
        </w:rPr>
        <w:t>职责</w:t>
      </w:r>
    </w:p>
    <w:p>
      <w:pPr>
        <w:numPr>
          <w:ilvl w:val="0"/>
          <w:numId w:val="0"/>
        </w:numPr>
        <w:adjustRightInd w:val="0"/>
        <w:snapToGrid w:val="0"/>
        <w:spacing w:line="6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（一）负责辖区内基础测绘、地籍测绘、行政区域界限测绘和其他重大测绘项目，指导监督测绘成果、质量管理和测绘成果资料汇交、审核重要地理信息数据。</w:t>
      </w:r>
    </w:p>
    <w:p>
      <w:pPr>
        <w:numPr>
          <w:ilvl w:val="0"/>
          <w:numId w:val="0"/>
        </w:numPr>
        <w:adjustRightInd w:val="0"/>
        <w:snapToGrid w:val="0"/>
        <w:spacing w:line="6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（二）负责辖区内自然资源信息系统的建设、管理、维</w:t>
      </w:r>
    </w:p>
    <w:p>
      <w:pPr>
        <w:numPr>
          <w:ilvl w:val="0"/>
          <w:numId w:val="0"/>
        </w:numPr>
        <w:adjustRightInd w:val="0"/>
        <w:snapToGrid w:val="0"/>
        <w:spacing w:line="6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护和技术指导工作，推进自然资源信息化建设，提供自然资</w:t>
      </w:r>
    </w:p>
    <w:p>
      <w:pPr>
        <w:numPr>
          <w:ilvl w:val="0"/>
          <w:numId w:val="0"/>
        </w:numPr>
        <w:adjustRightInd w:val="0"/>
        <w:snapToGrid w:val="0"/>
        <w:spacing w:line="6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源基础数据服务，提升自然资源信息化水平。</w:t>
      </w:r>
    </w:p>
    <w:p>
      <w:pPr>
        <w:numPr>
          <w:ilvl w:val="0"/>
          <w:numId w:val="0"/>
        </w:numPr>
        <w:adjustRightInd w:val="0"/>
        <w:snapToGrid w:val="0"/>
        <w:spacing w:line="6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（三）负责规划区内建设项目规划方案的初审、论证及</w:t>
      </w:r>
    </w:p>
    <w:p>
      <w:pPr>
        <w:numPr>
          <w:ilvl w:val="0"/>
          <w:numId w:val="0"/>
        </w:numPr>
        <w:adjustRightInd w:val="0"/>
        <w:snapToGrid w:val="0"/>
        <w:spacing w:line="6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上报工作；负责辖区内单元控规、控制性详细规划、专项规</w:t>
      </w:r>
    </w:p>
    <w:p>
      <w:pPr>
        <w:numPr>
          <w:ilvl w:val="0"/>
          <w:numId w:val="0"/>
        </w:numPr>
        <w:adjustRightInd w:val="0"/>
        <w:snapToGrid w:val="0"/>
        <w:spacing w:line="6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划、城市设计、建设工程设计方案等初审工作，为前期研究、</w:t>
      </w:r>
    </w:p>
    <w:p>
      <w:pPr>
        <w:numPr>
          <w:ilvl w:val="0"/>
          <w:numId w:val="0"/>
        </w:numPr>
        <w:adjustRightInd w:val="0"/>
        <w:snapToGrid w:val="0"/>
        <w:spacing w:line="6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技术审核、初步论证等工作提供技术服务；协助分局做好规</w:t>
      </w:r>
    </w:p>
    <w:p>
      <w:pPr>
        <w:numPr>
          <w:ilvl w:val="0"/>
          <w:numId w:val="0"/>
        </w:numPr>
        <w:adjustRightInd w:val="0"/>
        <w:snapToGrid w:val="0"/>
        <w:spacing w:line="6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划审批工作。</w:t>
      </w:r>
    </w:p>
    <w:p>
      <w:pPr>
        <w:numPr>
          <w:ilvl w:val="0"/>
          <w:numId w:val="0"/>
        </w:numPr>
        <w:adjustRightInd w:val="0"/>
        <w:snapToGrid w:val="0"/>
        <w:spacing w:line="6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（四）负责对国土空间规划编制、实施管理政策进行研</w:t>
      </w:r>
    </w:p>
    <w:p>
      <w:pPr>
        <w:numPr>
          <w:ilvl w:val="0"/>
          <w:numId w:val="0"/>
        </w:numPr>
        <w:adjustRightInd w:val="0"/>
        <w:snapToGrid w:val="0"/>
        <w:spacing w:line="6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究，为规划管理工作提供技术保障；协助分局做好辖区内国</w:t>
      </w:r>
    </w:p>
    <w:p>
      <w:pPr>
        <w:numPr>
          <w:ilvl w:val="0"/>
          <w:numId w:val="0"/>
        </w:numPr>
        <w:adjustRightInd w:val="0"/>
        <w:snapToGrid w:val="0"/>
        <w:spacing w:line="6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土空间规划和建设项目日常规划管理工作。</w:t>
      </w:r>
    </w:p>
    <w:p>
      <w:pPr>
        <w:numPr>
          <w:ilvl w:val="0"/>
          <w:numId w:val="0"/>
        </w:numPr>
        <w:adjustRightInd w:val="0"/>
        <w:snapToGrid w:val="0"/>
        <w:spacing w:line="6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（五）负责辖区内不动产登记前期工作，承担辖区内建</w:t>
      </w:r>
    </w:p>
    <w:p>
      <w:pPr>
        <w:numPr>
          <w:ilvl w:val="0"/>
          <w:numId w:val="0"/>
        </w:numPr>
        <w:adjustRightInd w:val="0"/>
        <w:snapToGrid w:val="0"/>
        <w:spacing w:line="6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设项目档案管理、查询服务等工作，做好不动产权属争议、</w:t>
      </w:r>
    </w:p>
    <w:p>
      <w:pPr>
        <w:numPr>
          <w:ilvl w:val="0"/>
          <w:numId w:val="0"/>
        </w:numPr>
        <w:adjustRightInd w:val="0"/>
        <w:snapToGrid w:val="0"/>
        <w:spacing w:line="6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纠纷、矛盾协调处理。</w:t>
      </w:r>
    </w:p>
    <w:p>
      <w:pPr>
        <w:numPr>
          <w:ilvl w:val="0"/>
          <w:numId w:val="0"/>
        </w:numPr>
        <w:adjustRightInd w:val="0"/>
        <w:snapToGrid w:val="0"/>
        <w:spacing w:line="6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（六）协助分局做好辖区内自然资源基础调查、变更调</w:t>
      </w:r>
    </w:p>
    <w:p>
      <w:pPr>
        <w:numPr>
          <w:ilvl w:val="0"/>
          <w:numId w:val="0"/>
        </w:numPr>
        <w:adjustRightInd w:val="0"/>
        <w:snapToGrid w:val="0"/>
        <w:spacing w:line="6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查、动态监测及自然资源专项调查监测工作。</w:t>
      </w:r>
    </w:p>
    <w:p>
      <w:pPr>
        <w:numPr>
          <w:ilvl w:val="0"/>
          <w:numId w:val="0"/>
        </w:numPr>
        <w:adjustRightInd w:val="0"/>
        <w:snapToGrid w:val="0"/>
        <w:spacing w:line="6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（七）协助分局做好自然资源国土空间用途管制、调查</w:t>
      </w:r>
    </w:p>
    <w:p>
      <w:pPr>
        <w:numPr>
          <w:ilvl w:val="0"/>
          <w:numId w:val="0"/>
        </w:numPr>
        <w:adjustRightInd w:val="0"/>
        <w:snapToGrid w:val="0"/>
        <w:spacing w:line="6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监测评价、自然资源有偿使用及合理开发利用；协助分局做</w:t>
      </w:r>
    </w:p>
    <w:p>
      <w:pPr>
        <w:numPr>
          <w:ilvl w:val="0"/>
          <w:numId w:val="0"/>
        </w:numPr>
        <w:adjustRightInd w:val="0"/>
        <w:snapToGrid w:val="0"/>
        <w:spacing w:line="6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好辖区内土地资源开发、整理、复垦、监督管理工作；协助</w:t>
      </w:r>
    </w:p>
    <w:p>
      <w:pPr>
        <w:numPr>
          <w:ilvl w:val="0"/>
          <w:numId w:val="0"/>
        </w:numPr>
        <w:adjustRightInd w:val="0"/>
        <w:snapToGrid w:val="0"/>
        <w:spacing w:line="6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分局做好造林绿化工作。</w:t>
      </w:r>
    </w:p>
    <w:p>
      <w:pPr>
        <w:numPr>
          <w:ilvl w:val="0"/>
          <w:numId w:val="0"/>
        </w:numPr>
        <w:adjustRightInd w:val="0"/>
        <w:snapToGrid w:val="0"/>
        <w:spacing w:line="6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（八）负责辖区内耕地保护和基本农田保护工作，严格</w:t>
      </w:r>
    </w:p>
    <w:p>
      <w:pPr>
        <w:numPr>
          <w:ilvl w:val="0"/>
          <w:numId w:val="0"/>
        </w:numPr>
        <w:adjustRightInd w:val="0"/>
        <w:snapToGrid w:val="0"/>
        <w:spacing w:line="6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落实耕地保护及各类自然资源保护地监督管理制度，做好国</w:t>
      </w:r>
    </w:p>
    <w:p>
      <w:pPr>
        <w:numPr>
          <w:ilvl w:val="0"/>
          <w:numId w:val="0"/>
        </w:numPr>
        <w:adjustRightInd w:val="0"/>
        <w:snapToGrid w:val="0"/>
        <w:spacing w:line="6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土空间生态修复工作。承担辖区内自然资源巡查职责，及时</w:t>
      </w:r>
    </w:p>
    <w:p>
      <w:pPr>
        <w:numPr>
          <w:ilvl w:val="0"/>
          <w:numId w:val="0"/>
        </w:numPr>
        <w:adjustRightInd w:val="0"/>
        <w:snapToGrid w:val="0"/>
        <w:spacing w:line="6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发现和制止土地、矿产等自然资源违法行为，协助分局处理</w:t>
      </w:r>
    </w:p>
    <w:p>
      <w:pPr>
        <w:numPr>
          <w:ilvl w:val="0"/>
          <w:numId w:val="0"/>
        </w:numPr>
        <w:adjustRightInd w:val="0"/>
        <w:snapToGrid w:val="0"/>
        <w:spacing w:line="6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自然资源违法违规案件及其他事务性工作，配合分局做好自</w:t>
      </w:r>
    </w:p>
    <w:p>
      <w:pPr>
        <w:numPr>
          <w:ilvl w:val="0"/>
          <w:numId w:val="0"/>
        </w:numPr>
        <w:adjustRightInd w:val="0"/>
        <w:snapToGrid w:val="0"/>
        <w:spacing w:line="6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然资源信访工作。</w:t>
      </w:r>
    </w:p>
    <w:p>
      <w:pPr>
        <w:numPr>
          <w:ilvl w:val="0"/>
          <w:numId w:val="0"/>
        </w:numPr>
        <w:adjustRightInd w:val="0"/>
        <w:snapToGrid w:val="0"/>
        <w:spacing w:line="6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（九）协助分局做好地质灾害预防和治理、矿业权管理</w:t>
      </w:r>
    </w:p>
    <w:p>
      <w:pPr>
        <w:numPr>
          <w:ilvl w:val="0"/>
          <w:numId w:val="0"/>
        </w:numPr>
        <w:adjustRightInd w:val="0"/>
        <w:snapToGrid w:val="0"/>
        <w:spacing w:line="6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及矿产资源保护与监督工作。</w:t>
      </w:r>
    </w:p>
    <w:p>
      <w:pPr>
        <w:numPr>
          <w:ilvl w:val="0"/>
          <w:numId w:val="0"/>
        </w:numPr>
        <w:adjustRightInd w:val="0"/>
        <w:snapToGrid w:val="0"/>
        <w:spacing w:line="6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（十）协助分局做好各类土地用途转用、征收征用报件</w:t>
      </w:r>
    </w:p>
    <w:p>
      <w:pPr>
        <w:numPr>
          <w:ilvl w:val="0"/>
          <w:numId w:val="0"/>
        </w:numPr>
        <w:adjustRightInd w:val="0"/>
        <w:snapToGrid w:val="0"/>
        <w:spacing w:line="6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的上报工作；协助开展防火巡护、火源管理、防火设施建设</w:t>
      </w:r>
    </w:p>
    <w:p>
      <w:pPr>
        <w:numPr>
          <w:ilvl w:val="0"/>
          <w:numId w:val="0"/>
        </w:numPr>
        <w:adjustRightInd w:val="0"/>
        <w:snapToGrid w:val="0"/>
        <w:spacing w:line="6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等工作；为城建重点项目提供规划技术服务工作。</w:t>
      </w:r>
    </w:p>
    <w:p>
      <w:pPr>
        <w:numPr>
          <w:ilvl w:val="0"/>
          <w:numId w:val="0"/>
        </w:numPr>
        <w:adjustRightInd w:val="0"/>
        <w:snapToGrid w:val="0"/>
        <w:spacing w:line="6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(十一)承办市局交办协助分局的其他工作。</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许昌市</w:t>
      </w:r>
      <w:r>
        <w:rPr>
          <w:rFonts w:hint="eastAsia" w:ascii="仿宋_GB2312" w:hAnsi="仿宋_GB2312" w:eastAsia="仿宋_GB2312" w:cs="仿宋_GB2312"/>
          <w:sz w:val="32"/>
          <w:szCs w:val="32"/>
          <w:lang w:eastAsia="zh-CN"/>
        </w:rPr>
        <w:t>自然资源和规划局城乡一体化示范区服务中心</w:t>
      </w:r>
      <w:r>
        <w:rPr>
          <w:rFonts w:hint="eastAsia" w:ascii="仿宋_GB2312" w:hAnsi="仿宋_GB2312" w:eastAsia="仿宋_GB2312" w:cs="仿宋_GB2312"/>
          <w:b w:val="0"/>
          <w:bCs w:val="0"/>
          <w:color w:val="auto"/>
          <w:kern w:val="0"/>
          <w:sz w:val="32"/>
          <w:szCs w:val="32"/>
          <w:highlight w:val="none"/>
          <w:lang w:val="en-US" w:eastAsia="zh-CN"/>
        </w:rPr>
        <w:t>内设机构1个，包括：办公室。</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从决算单位构成看，许昌市自然资源和规划局城乡一体化示范区服务中心单位决算</w:t>
      </w:r>
      <w:r>
        <w:rPr>
          <w:rFonts w:hint="eastAsia" w:ascii="仿宋_GB2312" w:hAnsi="仿宋_GB2312" w:eastAsia="仿宋_GB2312" w:cs="仿宋_GB2312"/>
          <w:color w:val="auto"/>
          <w:kern w:val="0"/>
          <w:sz w:val="32"/>
          <w:szCs w:val="32"/>
          <w:highlight w:val="none"/>
          <w:lang w:val="en-US" w:eastAsia="zh-CN"/>
        </w:rPr>
        <w:t>包括：本级决算</w:t>
      </w:r>
      <w:r>
        <w:rPr>
          <w:rFonts w:hint="eastAsia" w:ascii="仿宋_GB2312" w:hAnsi="仿宋_GB2312" w:eastAsia="仿宋_GB2312" w:cs="仿宋_GB2312"/>
          <w:sz w:val="32"/>
          <w:szCs w:val="32"/>
          <w:lang w:val="en-US" w:eastAsia="zh-CN"/>
        </w:rPr>
        <w:t>。</w:t>
      </w:r>
    </w:p>
    <w:p>
      <w:pPr>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ind w:firstLine="640" w:firstLineChars="200"/>
        <w:rPr>
          <w:rFonts w:hint="eastAsia" w:ascii="仿宋_GB2312" w:hAnsi="仿宋_GB2312" w:eastAsia="仿宋_GB2312" w:cs="仿宋_GB2312"/>
          <w:color w:val="auto"/>
          <w:kern w:val="0"/>
          <w:sz w:val="32"/>
          <w:szCs w:val="32"/>
          <w:highlight w:val="none"/>
          <w:lang w:val="en-US" w:eastAsia="zh-CN"/>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许昌市自然资源和规划局城乡一体化示范区服务中心</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46"/>
        <w:gridCol w:w="767"/>
        <w:gridCol w:w="892"/>
        <w:gridCol w:w="4006"/>
        <w:gridCol w:w="767"/>
        <w:gridCol w:w="8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华文中宋" w:hAnsi="华文中宋" w:eastAsia="华文中宋" w:cs="华文中宋"/>
                <w:color w:val="000000"/>
                <w:kern w:val="0"/>
                <w:sz w:val="32"/>
                <w:szCs w:val="32"/>
                <w:highlight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noWrap/>
            <w:vAlign w:val="bottom"/>
          </w:tcPr>
          <w:p>
            <w:pPr>
              <w:jc w:val="center"/>
              <w:rPr>
                <w:rFonts w:hint="eastAsia"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：许昌市自然资源和规划局城乡一体化示范区服务中心</w:t>
            </w:r>
          </w:p>
        </w:tc>
        <w:tc>
          <w:tcPr>
            <w:tcW w:w="0" w:type="auto"/>
            <w:tcBorders>
              <w:top w:val="nil"/>
              <w:left w:val="nil"/>
              <w:bottom w:val="nil"/>
              <w:right w:val="nil"/>
            </w:tcBorders>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noWrap/>
            <w:vAlign w:val="bottom"/>
          </w:tcPr>
          <w:p>
            <w:pPr>
              <w:rPr>
                <w:rFonts w:hint="eastAsia" w:ascii="宋体" w:hAnsi="宋体" w:eastAsia="宋体" w:cs="宋体"/>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94.80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tbl>
      <w:tblPr>
        <w:tblStyle w:val="5"/>
        <w:tblpPr w:leftFromText="180" w:rightFromText="180" w:vertAnchor="text" w:horzAnchor="page" w:tblpX="1576" w:tblpY="61"/>
        <w:tblOverlap w:val="never"/>
        <w:tblW w:w="13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6"/>
        <w:gridCol w:w="3956"/>
        <w:gridCol w:w="1431"/>
        <w:gridCol w:w="1433"/>
        <w:gridCol w:w="1227"/>
        <w:gridCol w:w="1227"/>
        <w:gridCol w:w="1227"/>
        <w:gridCol w:w="1227"/>
        <w:gridCol w:w="1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42"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华文中宋" w:hAnsi="华文中宋" w:eastAsia="华文中宋" w:cs="华文中宋"/>
                <w:color w:val="000000"/>
                <w:kern w:val="0"/>
                <w:sz w:val="32"/>
                <w:szCs w:val="32"/>
                <w:highlight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06" w:type="dxa"/>
            <w:gridSpan w:val="4"/>
            <w:tcBorders>
              <w:top w:val="nil"/>
              <w:left w:val="nil"/>
              <w:bottom w:val="nil"/>
              <w:right w:val="nil"/>
            </w:tcBorders>
            <w:noWrap/>
            <w:vAlign w:val="bottom"/>
          </w:tcPr>
          <w:p>
            <w:pPr>
              <w:jc w:val="center"/>
              <w:rPr>
                <w:rFonts w:hint="eastAsia" w:ascii="Arial" w:hAnsi="Arial" w:cs="Arial"/>
                <w:i w:val="0"/>
                <w:iCs w:val="0"/>
                <w:color w:val="000000"/>
                <w:sz w:val="20"/>
                <w:szCs w:val="20"/>
                <w:u w:val="none"/>
              </w:rPr>
            </w:pPr>
          </w:p>
        </w:tc>
        <w:tc>
          <w:tcPr>
            <w:tcW w:w="6136" w:type="dxa"/>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06"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：许昌市自然资源和规划局城乡一体化示范区服务中心</w:t>
            </w:r>
          </w:p>
        </w:tc>
        <w:tc>
          <w:tcPr>
            <w:tcW w:w="6136" w:type="dxa"/>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43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143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财政拨款收入</w:t>
            </w:r>
          </w:p>
        </w:tc>
        <w:tc>
          <w:tcPr>
            <w:tcW w:w="122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122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事业收入</w:t>
            </w:r>
          </w:p>
        </w:tc>
        <w:tc>
          <w:tcPr>
            <w:tcW w:w="122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经营收入</w:t>
            </w:r>
          </w:p>
        </w:tc>
        <w:tc>
          <w:tcPr>
            <w:tcW w:w="122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附属单位上缴收入</w:t>
            </w:r>
          </w:p>
        </w:tc>
        <w:tc>
          <w:tcPr>
            <w:tcW w:w="122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4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3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2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4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3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2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4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3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2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4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43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3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2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2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2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2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4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4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86.18</w:t>
            </w:r>
          </w:p>
        </w:tc>
        <w:tc>
          <w:tcPr>
            <w:tcW w:w="14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86.18</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一般公共服务支出</w:t>
            </w:r>
          </w:p>
        </w:tc>
        <w:tc>
          <w:tcPr>
            <w:tcW w:w="14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0.36</w:t>
            </w:r>
          </w:p>
        </w:tc>
        <w:tc>
          <w:tcPr>
            <w:tcW w:w="14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0.36</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群众团体事务</w:t>
            </w:r>
          </w:p>
        </w:tc>
        <w:tc>
          <w:tcPr>
            <w:tcW w:w="14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0.36</w:t>
            </w:r>
          </w:p>
        </w:tc>
        <w:tc>
          <w:tcPr>
            <w:tcW w:w="14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0.36</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2012906</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工会事务</w:t>
            </w:r>
          </w:p>
        </w:tc>
        <w:tc>
          <w:tcPr>
            <w:tcW w:w="14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0.36</w:t>
            </w:r>
          </w:p>
        </w:tc>
        <w:tc>
          <w:tcPr>
            <w:tcW w:w="14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0.36</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4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6.72</w:t>
            </w:r>
          </w:p>
        </w:tc>
        <w:tc>
          <w:tcPr>
            <w:tcW w:w="14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6.72</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14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6.72</w:t>
            </w:r>
          </w:p>
        </w:tc>
        <w:tc>
          <w:tcPr>
            <w:tcW w:w="14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6.72</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行政单位离退休</w:t>
            </w:r>
          </w:p>
        </w:tc>
        <w:tc>
          <w:tcPr>
            <w:tcW w:w="14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4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14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4.43</w:t>
            </w:r>
          </w:p>
        </w:tc>
        <w:tc>
          <w:tcPr>
            <w:tcW w:w="14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4.43</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14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w:t>
            </w:r>
          </w:p>
        </w:tc>
        <w:tc>
          <w:tcPr>
            <w:tcW w:w="14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行政事业单位医疗</w:t>
            </w:r>
          </w:p>
        </w:tc>
        <w:tc>
          <w:tcPr>
            <w:tcW w:w="14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w:t>
            </w:r>
          </w:p>
        </w:tc>
        <w:tc>
          <w:tcPr>
            <w:tcW w:w="14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行政单位医疗</w:t>
            </w:r>
          </w:p>
        </w:tc>
        <w:tc>
          <w:tcPr>
            <w:tcW w:w="14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14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w:t>
            </w:r>
          </w:p>
        </w:tc>
        <w:tc>
          <w:tcPr>
            <w:tcW w:w="14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14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城乡社区支出</w:t>
            </w:r>
          </w:p>
        </w:tc>
        <w:tc>
          <w:tcPr>
            <w:tcW w:w="14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74.35</w:t>
            </w:r>
          </w:p>
        </w:tc>
        <w:tc>
          <w:tcPr>
            <w:tcW w:w="14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74.35</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城乡社区规划与管理</w:t>
            </w:r>
          </w:p>
        </w:tc>
        <w:tc>
          <w:tcPr>
            <w:tcW w:w="14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74.35</w:t>
            </w:r>
          </w:p>
        </w:tc>
        <w:tc>
          <w:tcPr>
            <w:tcW w:w="14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74.35</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城乡社区规划与管理</w:t>
            </w:r>
          </w:p>
        </w:tc>
        <w:tc>
          <w:tcPr>
            <w:tcW w:w="14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74.35</w:t>
            </w:r>
          </w:p>
        </w:tc>
        <w:tc>
          <w:tcPr>
            <w:tcW w:w="14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74.35</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42"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本年度取得的各项收入情况。本表金额转换为万元时，因四舍五入可能存在尾差。</w:t>
            </w:r>
          </w:p>
        </w:tc>
      </w:tr>
    </w:tbl>
    <w:tbl>
      <w:tblPr>
        <w:tblStyle w:val="5"/>
        <w:tblpPr w:leftFromText="180" w:rightFromText="180" w:vertAnchor="text" w:horzAnchor="page" w:tblpX="1531" w:tblpY="-50"/>
        <w:tblOverlap w:val="never"/>
        <w:tblW w:w="139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6"/>
        <w:gridCol w:w="3956"/>
        <w:gridCol w:w="1598"/>
        <w:gridCol w:w="1599"/>
        <w:gridCol w:w="1455"/>
        <w:gridCol w:w="1455"/>
        <w:gridCol w:w="1455"/>
        <w:gridCol w:w="14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3961"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华文中宋" w:hAnsi="华文中宋" w:eastAsia="华文中宋" w:cs="华文中宋"/>
                <w:color w:val="000000"/>
                <w:kern w:val="0"/>
                <w:sz w:val="32"/>
                <w:szCs w:val="32"/>
                <w:highlight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13961" w:type="dxa"/>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8139"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：许昌市自然资源和规划局城乡一体化示范区服务中心</w:t>
            </w:r>
          </w:p>
        </w:tc>
        <w:tc>
          <w:tcPr>
            <w:tcW w:w="5822"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9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59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159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4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14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上缴上级支出</w:t>
            </w:r>
          </w:p>
        </w:tc>
        <w:tc>
          <w:tcPr>
            <w:tcW w:w="14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经营支出</w:t>
            </w:r>
          </w:p>
        </w:tc>
        <w:tc>
          <w:tcPr>
            <w:tcW w:w="145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59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9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59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9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59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9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94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59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5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94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5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94.80</w:t>
            </w:r>
          </w:p>
        </w:tc>
        <w:tc>
          <w:tcPr>
            <w:tcW w:w="15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94.80</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14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一般公共服务支出</w:t>
            </w:r>
          </w:p>
        </w:tc>
        <w:tc>
          <w:tcPr>
            <w:tcW w:w="15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0.36</w:t>
            </w:r>
          </w:p>
        </w:tc>
        <w:tc>
          <w:tcPr>
            <w:tcW w:w="15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0.36</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海关事务</w:t>
            </w:r>
          </w:p>
        </w:tc>
        <w:tc>
          <w:tcPr>
            <w:tcW w:w="15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0.36</w:t>
            </w:r>
          </w:p>
        </w:tc>
        <w:tc>
          <w:tcPr>
            <w:tcW w:w="15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0.36</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2010906</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2010906</w:t>
            </w:r>
          </w:p>
        </w:tc>
        <w:tc>
          <w:tcPr>
            <w:tcW w:w="15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0.36</w:t>
            </w:r>
          </w:p>
        </w:tc>
        <w:tc>
          <w:tcPr>
            <w:tcW w:w="15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0.36</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5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7.49</w:t>
            </w:r>
          </w:p>
        </w:tc>
        <w:tc>
          <w:tcPr>
            <w:tcW w:w="15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7.49</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15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7.49</w:t>
            </w:r>
          </w:p>
        </w:tc>
        <w:tc>
          <w:tcPr>
            <w:tcW w:w="15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7.49</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行政单位离退休</w:t>
            </w:r>
          </w:p>
        </w:tc>
        <w:tc>
          <w:tcPr>
            <w:tcW w:w="15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5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15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w:t>
            </w:r>
          </w:p>
        </w:tc>
        <w:tc>
          <w:tcPr>
            <w:tcW w:w="15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15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c>
          <w:tcPr>
            <w:tcW w:w="15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行政事业单位医疗</w:t>
            </w:r>
          </w:p>
        </w:tc>
        <w:tc>
          <w:tcPr>
            <w:tcW w:w="15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c>
          <w:tcPr>
            <w:tcW w:w="15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行政单位医疗</w:t>
            </w:r>
          </w:p>
        </w:tc>
        <w:tc>
          <w:tcPr>
            <w:tcW w:w="15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15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w:t>
            </w:r>
          </w:p>
        </w:tc>
        <w:tc>
          <w:tcPr>
            <w:tcW w:w="15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15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城乡社区支出</w:t>
            </w:r>
          </w:p>
        </w:tc>
        <w:tc>
          <w:tcPr>
            <w:tcW w:w="15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82.17</w:t>
            </w:r>
          </w:p>
        </w:tc>
        <w:tc>
          <w:tcPr>
            <w:tcW w:w="15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82.17</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城乡社区规划与管理</w:t>
            </w:r>
          </w:p>
        </w:tc>
        <w:tc>
          <w:tcPr>
            <w:tcW w:w="15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82.17</w:t>
            </w:r>
          </w:p>
        </w:tc>
        <w:tc>
          <w:tcPr>
            <w:tcW w:w="15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82.17</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城乡社区规划与管理</w:t>
            </w:r>
          </w:p>
        </w:tc>
        <w:tc>
          <w:tcPr>
            <w:tcW w:w="15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82.17</w:t>
            </w:r>
          </w:p>
        </w:tc>
        <w:tc>
          <w:tcPr>
            <w:tcW w:w="15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82.17</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5" w:type="dxa"/>
            <w:tcBorders>
              <w:top w:val="nil"/>
              <w:left w:val="nil"/>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u w:val="none"/>
              </w:rPr>
            </w:pPr>
          </w:p>
        </w:tc>
        <w:tc>
          <w:tcPr>
            <w:tcW w:w="14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3961"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本年度各项支出情况。本表金额转换为万元时，因四舍五入可能存在尾差。</w:t>
            </w:r>
          </w:p>
        </w:tc>
      </w:tr>
    </w:tbl>
    <w:tbl>
      <w:tblPr>
        <w:tblStyle w:val="5"/>
        <w:tblpPr w:leftFromText="180" w:rightFromText="180" w:vertAnchor="text" w:horzAnchor="page" w:tblpX="1576" w:tblpY="6"/>
        <w:tblOverlap w:val="never"/>
        <w:tblW w:w="13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64"/>
        <w:gridCol w:w="552"/>
        <w:gridCol w:w="1174"/>
        <w:gridCol w:w="4164"/>
        <w:gridCol w:w="552"/>
        <w:gridCol w:w="871"/>
        <w:gridCol w:w="1174"/>
        <w:gridCol w:w="886"/>
        <w:gridCol w:w="9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396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华文中宋" w:hAnsi="华文中宋" w:eastAsia="华文中宋" w:cs="华文中宋"/>
                <w:color w:val="000000"/>
                <w:kern w:val="0"/>
                <w:sz w:val="32"/>
                <w:szCs w:val="32"/>
                <w:highlight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13960" w:type="dxa"/>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9554"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：许昌市自然资源和规划局城乡一体化示范区服务中心</w:t>
            </w:r>
          </w:p>
        </w:tc>
        <w:tc>
          <w:tcPr>
            <w:tcW w:w="4406" w:type="dxa"/>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5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8570"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664"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5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17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416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5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871"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17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88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92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664"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5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7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416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5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71"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17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8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2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552"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17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552"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87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7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86.18</w:t>
            </w: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8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0.36</w:t>
            </w:r>
          </w:p>
        </w:tc>
        <w:tc>
          <w:tcPr>
            <w:tcW w:w="1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0.36</w:t>
            </w: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三、国有资本经营财政拨款</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8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7.49</w:t>
            </w:r>
          </w:p>
        </w:tc>
        <w:tc>
          <w:tcPr>
            <w:tcW w:w="1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7.49</w:t>
            </w: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8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c>
          <w:tcPr>
            <w:tcW w:w="1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8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82.17</w:t>
            </w:r>
          </w:p>
        </w:tc>
        <w:tc>
          <w:tcPr>
            <w:tcW w:w="1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82.17</w:t>
            </w: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86.18</w:t>
            </w: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8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94.80</w:t>
            </w:r>
          </w:p>
        </w:tc>
        <w:tc>
          <w:tcPr>
            <w:tcW w:w="1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94.80</w:t>
            </w: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年初财政拨款结转和结余</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8.62</w:t>
            </w: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年末财政拨款结转和结余</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一般公共预算财政拨款</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8.62</w:t>
            </w:r>
          </w:p>
        </w:tc>
        <w:tc>
          <w:tcPr>
            <w:tcW w:w="416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政府性基金预算财政拨款</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16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国有资本经营预算财政拨款</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16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552"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94.80</w:t>
            </w: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8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94.80</w:t>
            </w:r>
          </w:p>
        </w:tc>
        <w:tc>
          <w:tcPr>
            <w:tcW w:w="1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94.80</w:t>
            </w: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960"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2"/>
        <w:gridCol w:w="4294"/>
        <w:gridCol w:w="2014"/>
        <w:gridCol w:w="3173"/>
        <w:gridCol w:w="31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3860"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华文中宋" w:hAnsi="华文中宋" w:eastAsia="华文中宋" w:cs="华文中宋"/>
                <w:color w:val="000000"/>
                <w:kern w:val="0"/>
                <w:sz w:val="32"/>
                <w:szCs w:val="32"/>
                <w:highlight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gridSpan w:val="3"/>
            <w:tcBorders>
              <w:top w:val="nil"/>
              <w:left w:val="nil"/>
              <w:bottom w:val="nil"/>
              <w:right w:val="nil"/>
            </w:tcBorders>
            <w:noWrap/>
            <w:vAlign w:val="bottom"/>
          </w:tcPr>
          <w:p>
            <w:pPr>
              <w:jc w:val="center"/>
              <w:rPr>
                <w:rFonts w:hint="eastAsia"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：许昌市自然资源和规划局城乡一体化示范区服务中心</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7986"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267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267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264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267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67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64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7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267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67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64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4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94.80</w:t>
            </w:r>
          </w:p>
        </w:tc>
        <w:tc>
          <w:tcPr>
            <w:tcW w:w="26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94.80</w:t>
            </w:r>
          </w:p>
        </w:tc>
        <w:tc>
          <w:tcPr>
            <w:tcW w:w="26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0.36</w:t>
            </w:r>
          </w:p>
        </w:tc>
        <w:tc>
          <w:tcPr>
            <w:tcW w:w="26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0.36</w:t>
            </w:r>
          </w:p>
        </w:tc>
        <w:tc>
          <w:tcPr>
            <w:tcW w:w="26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0.36</w:t>
            </w:r>
          </w:p>
        </w:tc>
        <w:tc>
          <w:tcPr>
            <w:tcW w:w="26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0.36</w:t>
            </w:r>
          </w:p>
        </w:tc>
        <w:tc>
          <w:tcPr>
            <w:tcW w:w="26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0.36</w:t>
            </w:r>
          </w:p>
        </w:tc>
        <w:tc>
          <w:tcPr>
            <w:tcW w:w="26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0.36</w:t>
            </w:r>
          </w:p>
        </w:tc>
        <w:tc>
          <w:tcPr>
            <w:tcW w:w="26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7.49</w:t>
            </w:r>
          </w:p>
        </w:tc>
        <w:tc>
          <w:tcPr>
            <w:tcW w:w="26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7.49</w:t>
            </w:r>
          </w:p>
        </w:tc>
        <w:tc>
          <w:tcPr>
            <w:tcW w:w="26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7.49</w:t>
            </w:r>
          </w:p>
        </w:tc>
        <w:tc>
          <w:tcPr>
            <w:tcW w:w="26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7.49</w:t>
            </w:r>
          </w:p>
        </w:tc>
        <w:tc>
          <w:tcPr>
            <w:tcW w:w="26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26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26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w:t>
            </w:r>
          </w:p>
        </w:tc>
        <w:tc>
          <w:tcPr>
            <w:tcW w:w="26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w:t>
            </w:r>
          </w:p>
        </w:tc>
        <w:tc>
          <w:tcPr>
            <w:tcW w:w="26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c>
          <w:tcPr>
            <w:tcW w:w="26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c>
          <w:tcPr>
            <w:tcW w:w="26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c>
          <w:tcPr>
            <w:tcW w:w="26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c>
          <w:tcPr>
            <w:tcW w:w="26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26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26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26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26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82.17</w:t>
            </w:r>
          </w:p>
        </w:tc>
        <w:tc>
          <w:tcPr>
            <w:tcW w:w="26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82.17</w:t>
            </w:r>
          </w:p>
        </w:tc>
        <w:tc>
          <w:tcPr>
            <w:tcW w:w="26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城乡社区规划与管理</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82.17</w:t>
            </w:r>
          </w:p>
        </w:tc>
        <w:tc>
          <w:tcPr>
            <w:tcW w:w="26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82.17</w:t>
            </w:r>
          </w:p>
        </w:tc>
        <w:tc>
          <w:tcPr>
            <w:tcW w:w="26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城乡社区规划与管理</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82.17</w:t>
            </w:r>
          </w:p>
        </w:tc>
        <w:tc>
          <w:tcPr>
            <w:tcW w:w="26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82.17</w:t>
            </w:r>
          </w:p>
        </w:tc>
        <w:tc>
          <w:tcPr>
            <w:tcW w:w="26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1"/>
        <w:gridCol w:w="3330"/>
        <w:gridCol w:w="736"/>
        <w:gridCol w:w="732"/>
        <w:gridCol w:w="2292"/>
        <w:gridCol w:w="632"/>
        <w:gridCol w:w="732"/>
        <w:gridCol w:w="3952"/>
        <w:gridCol w:w="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398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华文中宋" w:hAnsi="华文中宋" w:eastAsia="华文中宋" w:cs="华文中宋"/>
                <w:color w:val="000000"/>
                <w:kern w:val="0"/>
                <w:sz w:val="32"/>
                <w:szCs w:val="32"/>
                <w:highlight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8453" w:type="dxa"/>
            <w:gridSpan w:val="6"/>
            <w:tcBorders>
              <w:top w:val="nil"/>
              <w:left w:val="nil"/>
              <w:bottom w:val="nil"/>
              <w:right w:val="nil"/>
            </w:tcBorders>
            <w:noWrap/>
            <w:vAlign w:val="bottom"/>
          </w:tcPr>
          <w:p>
            <w:pPr>
              <w:jc w:val="center"/>
              <w:rPr>
                <w:rFonts w:hint="eastAsia" w:ascii="Arial" w:hAnsi="Arial" w:cs="Arial"/>
                <w:i w:val="0"/>
                <w:iCs w:val="0"/>
                <w:color w:val="000000"/>
                <w:sz w:val="20"/>
                <w:szCs w:val="20"/>
                <w:u w:val="none"/>
              </w:rPr>
            </w:pPr>
          </w:p>
        </w:tc>
        <w:tc>
          <w:tcPr>
            <w:tcW w:w="5527"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8453"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：许昌市自然资源和规划局城乡一体化示范区服务中心</w:t>
            </w:r>
          </w:p>
        </w:tc>
        <w:tc>
          <w:tcPr>
            <w:tcW w:w="5527"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479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9183"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731"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3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73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73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29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63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73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95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84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731"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3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3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3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29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63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3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95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4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7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82.91</w:t>
            </w: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9.13</w:t>
            </w: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7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32.14</w:t>
            </w: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7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4.43</w:t>
            </w: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7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36.27</w:t>
            </w: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7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7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7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7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0.08</w:t>
            </w: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7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0.23</w:t>
            </w: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7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39906</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赠与</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0.36</w:t>
            </w: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w:t>
            </w: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w:t>
            </w:r>
          </w:p>
        </w:tc>
        <w:tc>
          <w:tcPr>
            <w:tcW w:w="73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395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395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73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333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3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395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4061"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7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85.67</w:t>
            </w:r>
          </w:p>
        </w:tc>
        <w:tc>
          <w:tcPr>
            <w:tcW w:w="8340"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8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3980"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61"/>
        <w:gridCol w:w="1161"/>
        <w:gridCol w:w="1161"/>
        <w:gridCol w:w="1161"/>
        <w:gridCol w:w="1163"/>
        <w:gridCol w:w="1163"/>
        <w:gridCol w:w="1161"/>
        <w:gridCol w:w="1161"/>
        <w:gridCol w:w="1161"/>
        <w:gridCol w:w="1161"/>
        <w:gridCol w:w="1163"/>
        <w:gridCol w:w="1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394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华文中宋" w:hAnsi="华文中宋" w:eastAsia="华文中宋" w:cs="华文中宋"/>
                <w:color w:val="000000"/>
                <w:kern w:val="0"/>
                <w:sz w:val="32"/>
                <w:szCs w:val="32"/>
                <w:highlight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7"/>
            <w:tcBorders>
              <w:top w:val="nil"/>
              <w:left w:val="nil"/>
              <w:bottom w:val="nil"/>
              <w:right w:val="nil"/>
            </w:tcBorders>
            <w:noWrap/>
            <w:vAlign w:val="bottom"/>
          </w:tcPr>
          <w:p>
            <w:pPr>
              <w:jc w:val="center"/>
              <w:rPr>
                <w:rFonts w:hint="eastAsia" w:ascii="Arial" w:hAnsi="Arial" w:cs="Arial"/>
                <w:i w:val="0"/>
                <w:iCs w:val="0"/>
                <w:color w:val="000000"/>
                <w:sz w:val="20"/>
                <w:szCs w:val="20"/>
                <w:u w:val="none"/>
              </w:rPr>
            </w:pPr>
          </w:p>
        </w:tc>
        <w:tc>
          <w:tcPr>
            <w:tcW w:w="0" w:type="auto"/>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：许昌市自然资源和规划局城乡一体化示范区服务中心</w:t>
            </w:r>
          </w:p>
        </w:tc>
        <w:tc>
          <w:tcPr>
            <w:tcW w:w="0" w:type="auto"/>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97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6970"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161"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16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348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16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116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16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348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16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1161"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6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6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16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116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16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6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6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6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16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116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16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16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6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6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6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6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6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6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6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6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0" w:type="auto"/>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1394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 xml:space="preserve"> 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sz w:val="20"/>
                <w:szCs w:val="20"/>
                <w:u w:val="none"/>
                <w:lang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lang w:val="en-US" w:eastAsia="zh-CN"/>
        </w:rPr>
      </w:pPr>
    </w:p>
    <w:p>
      <w:pP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说明：我单位没有预算安排的三公经费，也没有预算安排的三公支出，故本表无数据</w:t>
      </w: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40"/>
        <w:gridCol w:w="1656"/>
        <w:gridCol w:w="1830"/>
        <w:gridCol w:w="1830"/>
        <w:gridCol w:w="1830"/>
        <w:gridCol w:w="1830"/>
        <w:gridCol w:w="1830"/>
        <w:gridCol w:w="18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3980"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华文中宋" w:hAnsi="华文中宋" w:eastAsia="华文中宋" w:cs="华文中宋"/>
                <w:color w:val="000000"/>
                <w:kern w:val="0"/>
                <w:sz w:val="32"/>
                <w:szCs w:val="32"/>
                <w:highlight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gridSpan w:val="4"/>
            <w:tcBorders>
              <w:top w:val="nil"/>
              <w:left w:val="nil"/>
              <w:bottom w:val="nil"/>
              <w:right w:val="nil"/>
            </w:tcBorders>
            <w:noWrap/>
            <w:vAlign w:val="bottom"/>
          </w:tcPr>
          <w:p>
            <w:pPr>
              <w:jc w:val="center"/>
              <w:rPr>
                <w:rFonts w:hint="eastAsia" w:ascii="Arial" w:hAnsi="Arial" w:cs="Arial"/>
                <w:i w:val="0"/>
                <w:iCs w:val="0"/>
                <w:color w:val="000000"/>
                <w:sz w:val="20"/>
                <w:szCs w:val="20"/>
                <w:u w:val="none"/>
              </w:rPr>
            </w:pPr>
          </w:p>
        </w:tc>
        <w:tc>
          <w:tcPr>
            <w:tcW w:w="0" w:type="auto"/>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：许昌市自然资源和规划局城乡一体化示范区服务中心</w:t>
            </w:r>
          </w:p>
        </w:tc>
        <w:tc>
          <w:tcPr>
            <w:tcW w:w="0" w:type="auto"/>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82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18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w:t>
            </w:r>
          </w:p>
        </w:tc>
        <w:tc>
          <w:tcPr>
            <w:tcW w:w="5488"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c>
          <w:tcPr>
            <w:tcW w:w="183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22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8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8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82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82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8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18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22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8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8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82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82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8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8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22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8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8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82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82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8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8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4"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说明：本表金额转换为万元时，因四舍五入可能存在尾差。</w:t>
            </w:r>
          </w:p>
        </w:tc>
      </w:tr>
    </w:tbl>
    <w:p>
      <w:pPr>
        <w:rPr>
          <w:rFonts w:hint="eastAsia" w:ascii="仿宋_GB2312" w:hAnsi="仿宋_GB2312" w:eastAsia="仿宋_GB2312" w:cs="仿宋_GB2312"/>
          <w:sz w:val="32"/>
          <w:szCs w:val="32"/>
          <w:highlight w:val="none"/>
          <w:lang w:val="en-US" w:eastAsia="zh-CN"/>
        </w:rPr>
      </w:pPr>
    </w:p>
    <w:p>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说明：我单位没有政府性基金收入，也没有使用政府性基金安排的支出，故本表无数据。</w:t>
      </w: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94.80</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0.45</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0.47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b w:val="0"/>
          <w:bCs w:val="0"/>
          <w:color w:val="auto"/>
          <w:sz w:val="32"/>
          <w:szCs w:val="32"/>
          <w:highlight w:val="none"/>
          <w:lang w:val="zh-CN" w:eastAsia="zh-CN"/>
        </w:rPr>
        <w:t>厉行节约，严控开支</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86.18</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86.18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94.80</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94.80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94.80</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0.45</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0.47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b w:val="0"/>
          <w:bCs w:val="0"/>
          <w:color w:val="auto"/>
          <w:sz w:val="32"/>
          <w:szCs w:val="32"/>
          <w:highlight w:val="none"/>
          <w:lang w:val="zh-CN" w:eastAsia="zh-CN"/>
        </w:rPr>
        <w:t>厉行节约，严控开支</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94.80</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14.22</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17.65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在职</w:t>
      </w:r>
      <w:r>
        <w:rPr>
          <w:rFonts w:hint="eastAsia" w:ascii="仿宋_GB2312" w:hAnsi="仿宋_GB2312" w:eastAsia="仿宋_GB2312" w:cs="仿宋_GB2312"/>
          <w:color w:val="auto"/>
          <w:sz w:val="32"/>
          <w:szCs w:val="32"/>
          <w:lang w:val="zh-CN"/>
        </w:rPr>
        <w:t>人员</w:t>
      </w:r>
      <w:r>
        <w:rPr>
          <w:rFonts w:hint="eastAsia" w:ascii="仿宋_GB2312" w:hAnsi="仿宋_GB2312" w:eastAsia="仿宋_GB2312" w:cs="仿宋_GB2312"/>
          <w:color w:val="auto"/>
          <w:sz w:val="32"/>
          <w:szCs w:val="32"/>
          <w:lang w:val="en-US" w:eastAsia="zh-CN"/>
        </w:rPr>
        <w:t>职位职级正常晋升工资增加，</w:t>
      </w:r>
      <w:r>
        <w:rPr>
          <w:rFonts w:hint="eastAsia" w:ascii="仿宋_GB2312" w:hAnsi="仿宋_GB2312" w:eastAsia="仿宋_GB2312" w:cs="仿宋_GB2312"/>
          <w:color w:val="auto"/>
          <w:sz w:val="32"/>
          <w:szCs w:val="32"/>
          <w:lang w:val="zh-CN"/>
        </w:rPr>
        <w:t>社保费增加。</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94.80</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0.36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0.38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zh-CN" w:eastAsia="zh-CN"/>
        </w:rPr>
        <w:t>社会保障和就业（类）支出</w:t>
      </w:r>
      <w:r>
        <w:rPr>
          <w:rFonts w:hint="eastAsia" w:ascii="仿宋_GB2312" w:hAnsi="仿宋_GB2312" w:eastAsia="仿宋_GB2312" w:cs="仿宋_GB2312"/>
          <w:color w:val="auto"/>
          <w:sz w:val="32"/>
          <w:szCs w:val="32"/>
          <w:highlight w:val="none"/>
          <w:lang w:val="en-US" w:eastAsia="zh-CN"/>
        </w:rPr>
        <w:t>7.49</w:t>
      </w:r>
      <w:r>
        <w:rPr>
          <w:rFonts w:hint="eastAsia" w:ascii="仿宋_GB2312" w:hAnsi="仿宋_GB2312" w:eastAsia="仿宋_GB2312" w:cs="仿宋_GB2312"/>
          <w:color w:val="auto"/>
          <w:sz w:val="32"/>
          <w:szCs w:val="32"/>
          <w:highlight w:val="none"/>
          <w:lang w:val="zh-CN" w:eastAsia="zh-CN"/>
        </w:rPr>
        <w:t>万元，占</w:t>
      </w:r>
      <w:r>
        <w:rPr>
          <w:rFonts w:hint="eastAsia" w:ascii="仿宋_GB2312" w:hAnsi="仿宋_GB2312" w:eastAsia="仿宋_GB2312" w:cs="仿宋_GB2312"/>
          <w:color w:val="auto"/>
          <w:sz w:val="32"/>
          <w:szCs w:val="32"/>
          <w:highlight w:val="none"/>
          <w:lang w:val="en-US" w:eastAsia="zh-CN"/>
        </w:rPr>
        <w:t>7.90</w:t>
      </w:r>
      <w:r>
        <w:rPr>
          <w:rFonts w:hint="eastAsia" w:ascii="仿宋_GB2312" w:hAnsi="仿宋_GB2312" w:eastAsia="仿宋_GB2312" w:cs="仿宋_GB2312"/>
          <w:color w:val="auto"/>
          <w:sz w:val="32"/>
          <w:szCs w:val="32"/>
          <w:highlight w:val="none"/>
          <w:lang w:val="zh-CN" w:eastAsia="zh-CN"/>
        </w:rPr>
        <w:t>%；卫生健康（类）支出</w:t>
      </w:r>
      <w:r>
        <w:rPr>
          <w:rFonts w:hint="eastAsia" w:ascii="仿宋_GB2312" w:hAnsi="仿宋_GB2312" w:eastAsia="仿宋_GB2312" w:cs="仿宋_GB2312"/>
          <w:color w:val="auto"/>
          <w:sz w:val="32"/>
          <w:szCs w:val="32"/>
          <w:highlight w:val="none"/>
          <w:lang w:val="en-US" w:eastAsia="zh-CN"/>
        </w:rPr>
        <w:t>4.78万元，占5.04%；城乡社区（类）支出82.17万元，占86.68%</w:t>
      </w:r>
      <w:r>
        <w:rPr>
          <w:rFonts w:hint="eastAsia" w:ascii="仿宋_GB2312" w:hAnsi="仿宋_GB2312" w:eastAsia="仿宋_GB2312" w:cs="仿宋_GB2312"/>
          <w:color w:val="auto"/>
          <w:sz w:val="32"/>
          <w:szCs w:val="32"/>
          <w:highlight w:val="none"/>
          <w:lang w:val="zh-CN" w:eastAsia="zh-CN"/>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89.03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94.80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106.48</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color w:val="auto"/>
          <w:sz w:val="32"/>
          <w:szCs w:val="32"/>
          <w:highlight w:val="none"/>
          <w:lang w:val="zh-CN" w:eastAsia="zh-CN"/>
        </w:rPr>
        <w:t>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color w:val="auto"/>
          <w:sz w:val="32"/>
          <w:szCs w:val="32"/>
          <w:highlight w:val="none"/>
          <w:lang w:val="zh-CN" w:eastAsia="zh-CN"/>
        </w:rPr>
        <w:t>群众团体事务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color w:val="auto"/>
          <w:sz w:val="32"/>
          <w:szCs w:val="32"/>
          <w:highlight w:val="none"/>
          <w:lang w:val="zh-CN" w:eastAsia="zh-CN"/>
        </w:rPr>
        <w:t>工会事务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0.36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0.36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val="0"/>
          <w:bCs w:val="0"/>
          <w:color w:val="auto"/>
          <w:sz w:val="32"/>
          <w:szCs w:val="32"/>
          <w:highlight w:val="none"/>
          <w:lang w:val="zh-CN" w:eastAsia="zh-CN"/>
        </w:rPr>
        <w:t>决算数与年初预算数不存在差异</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color w:val="auto"/>
          <w:sz w:val="32"/>
          <w:szCs w:val="32"/>
          <w:highlight w:val="none"/>
          <w:lang w:val="zh-CN" w:eastAsia="zh-CN"/>
        </w:rPr>
        <w:t>社会保障和就业支出（类）行政事业单位养老支出（款）行政单位离退休</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2.44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2.29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93.85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val="0"/>
          <w:bCs w:val="0"/>
          <w:color w:val="auto"/>
          <w:sz w:val="32"/>
          <w:szCs w:val="32"/>
          <w:highlight w:val="none"/>
          <w:lang w:val="zh-CN" w:eastAsia="zh-CN"/>
        </w:rPr>
        <w:t>决算数与年初预算数存在差异的主要原因是厉行节约，严控开支。</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val="zh-CN" w:eastAsia="zh-CN"/>
        </w:rPr>
        <w:t>．社会保障和就业支出（类）行政事业单位养老支出（款）机关事业单位基本养老保险缴费支出（项）。</w:t>
      </w:r>
      <w:r>
        <w:rPr>
          <w:rFonts w:hint="eastAsia" w:ascii="仿宋_GB2312" w:hAnsi="仿宋_GB2312" w:eastAsia="仿宋_GB2312" w:cs="仿宋_GB2312"/>
          <w:b w:val="0"/>
          <w:bCs w:val="0"/>
          <w:color w:val="auto"/>
          <w:sz w:val="32"/>
          <w:szCs w:val="32"/>
          <w:highlight w:val="none"/>
          <w:lang w:val="zh-CN" w:eastAsia="zh-CN"/>
        </w:rPr>
        <w:t>年初预算为</w:t>
      </w:r>
      <w:r>
        <w:rPr>
          <w:rFonts w:hint="eastAsia" w:ascii="仿宋_GB2312" w:hAnsi="仿宋_GB2312" w:eastAsia="仿宋_GB2312" w:cs="仿宋_GB2312"/>
          <w:b w:val="0"/>
          <w:bCs w:val="0"/>
          <w:color w:val="auto"/>
          <w:sz w:val="32"/>
          <w:szCs w:val="32"/>
          <w:highlight w:val="none"/>
          <w:lang w:val="en-US" w:eastAsia="zh-CN"/>
        </w:rPr>
        <w:t>4.66</w:t>
      </w:r>
      <w:r>
        <w:rPr>
          <w:rFonts w:hint="eastAsia" w:ascii="仿宋_GB2312" w:hAnsi="仿宋_GB2312" w:eastAsia="仿宋_GB2312" w:cs="仿宋_GB2312"/>
          <w:b w:val="0"/>
          <w:bCs w:val="0"/>
          <w:color w:val="auto"/>
          <w:sz w:val="32"/>
          <w:szCs w:val="32"/>
          <w:highlight w:val="none"/>
          <w:lang w:val="zh-CN" w:eastAsia="zh-CN"/>
        </w:rPr>
        <w:t>万元，支出决算为</w:t>
      </w:r>
      <w:r>
        <w:rPr>
          <w:rFonts w:hint="eastAsia" w:ascii="仿宋_GB2312" w:hAnsi="仿宋_GB2312" w:eastAsia="仿宋_GB2312" w:cs="仿宋_GB2312"/>
          <w:b w:val="0"/>
          <w:bCs w:val="0"/>
          <w:color w:val="auto"/>
          <w:sz w:val="32"/>
          <w:szCs w:val="32"/>
          <w:highlight w:val="none"/>
          <w:lang w:val="en-US" w:eastAsia="zh-CN"/>
        </w:rPr>
        <w:t>5.21</w:t>
      </w:r>
      <w:r>
        <w:rPr>
          <w:rFonts w:hint="eastAsia" w:ascii="仿宋_GB2312" w:hAnsi="仿宋_GB2312" w:eastAsia="仿宋_GB2312" w:cs="仿宋_GB2312"/>
          <w:b w:val="0"/>
          <w:bCs w:val="0"/>
          <w:color w:val="auto"/>
          <w:sz w:val="32"/>
          <w:szCs w:val="32"/>
          <w:highlight w:val="none"/>
          <w:lang w:val="zh-CN" w:eastAsia="zh-CN"/>
        </w:rPr>
        <w:t>万元，完成年初预算的</w:t>
      </w:r>
      <w:r>
        <w:rPr>
          <w:rFonts w:hint="eastAsia" w:ascii="仿宋_GB2312" w:hAnsi="仿宋_GB2312" w:eastAsia="仿宋_GB2312" w:cs="仿宋_GB2312"/>
          <w:b w:val="0"/>
          <w:bCs w:val="0"/>
          <w:color w:val="auto"/>
          <w:sz w:val="32"/>
          <w:szCs w:val="32"/>
          <w:highlight w:val="none"/>
          <w:lang w:val="en-US" w:eastAsia="zh-CN"/>
        </w:rPr>
        <w:t>111.80</w:t>
      </w:r>
      <w:r>
        <w:rPr>
          <w:rFonts w:hint="eastAsia" w:ascii="仿宋_GB2312" w:hAnsi="仿宋_GB2312" w:eastAsia="仿宋_GB2312" w:cs="仿宋_GB2312"/>
          <w:b w:val="0"/>
          <w:bCs w:val="0"/>
          <w:color w:val="auto"/>
          <w:sz w:val="32"/>
          <w:szCs w:val="32"/>
          <w:highlight w:val="none"/>
          <w:lang w:val="zh-CN" w:eastAsia="zh-CN"/>
        </w:rPr>
        <w:t>%。决算数与年初预算数存在差异的主要原因是在职人员社保费用上涨。</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val="zh-CN" w:eastAsia="zh-CN"/>
        </w:rPr>
        <w:t>卫生健康支出（类）行政事业单位医疗（款） 行政单位医疗（项）。</w:t>
      </w:r>
      <w:r>
        <w:rPr>
          <w:rFonts w:hint="eastAsia" w:ascii="仿宋_GB2312" w:hAnsi="仿宋_GB2312" w:eastAsia="仿宋_GB2312" w:cs="仿宋_GB2312"/>
          <w:b w:val="0"/>
          <w:bCs w:val="0"/>
          <w:color w:val="auto"/>
          <w:sz w:val="32"/>
          <w:szCs w:val="32"/>
          <w:highlight w:val="none"/>
          <w:lang w:val="zh-CN" w:eastAsia="zh-CN"/>
        </w:rPr>
        <w:t>年初预算为</w:t>
      </w:r>
      <w:r>
        <w:rPr>
          <w:rFonts w:hint="eastAsia" w:ascii="仿宋_GB2312" w:hAnsi="仿宋_GB2312" w:eastAsia="仿宋_GB2312" w:cs="仿宋_GB2312"/>
          <w:b w:val="0"/>
          <w:bCs w:val="0"/>
          <w:color w:val="auto"/>
          <w:sz w:val="32"/>
          <w:szCs w:val="32"/>
          <w:highlight w:val="none"/>
          <w:lang w:val="en-US" w:eastAsia="zh-CN"/>
        </w:rPr>
        <w:t>2.43</w:t>
      </w:r>
      <w:r>
        <w:rPr>
          <w:rFonts w:hint="eastAsia" w:ascii="仿宋_GB2312" w:hAnsi="仿宋_GB2312" w:eastAsia="仿宋_GB2312" w:cs="仿宋_GB2312"/>
          <w:b w:val="0"/>
          <w:bCs w:val="0"/>
          <w:color w:val="auto"/>
          <w:sz w:val="32"/>
          <w:szCs w:val="32"/>
          <w:highlight w:val="none"/>
          <w:lang w:val="zh-CN" w:eastAsia="zh-CN"/>
        </w:rPr>
        <w:t>万元，支出决算为</w:t>
      </w:r>
      <w:r>
        <w:rPr>
          <w:rFonts w:hint="eastAsia" w:ascii="仿宋_GB2312" w:hAnsi="仿宋_GB2312" w:eastAsia="仿宋_GB2312" w:cs="仿宋_GB2312"/>
          <w:b w:val="0"/>
          <w:bCs w:val="0"/>
          <w:color w:val="auto"/>
          <w:sz w:val="32"/>
          <w:szCs w:val="32"/>
          <w:highlight w:val="none"/>
          <w:lang w:val="en-US" w:eastAsia="zh-CN"/>
        </w:rPr>
        <w:t>2.43</w:t>
      </w:r>
      <w:r>
        <w:rPr>
          <w:rFonts w:hint="eastAsia" w:ascii="仿宋_GB2312" w:hAnsi="仿宋_GB2312" w:eastAsia="仿宋_GB2312" w:cs="仿宋_GB2312"/>
          <w:b w:val="0"/>
          <w:bCs w:val="0"/>
          <w:color w:val="auto"/>
          <w:sz w:val="32"/>
          <w:szCs w:val="32"/>
          <w:highlight w:val="none"/>
          <w:lang w:val="zh-CN" w:eastAsia="zh-CN"/>
        </w:rPr>
        <w:t>万元，完成年初预算的</w:t>
      </w:r>
      <w:r>
        <w:rPr>
          <w:rFonts w:hint="eastAsia" w:ascii="仿宋_GB2312" w:hAnsi="仿宋_GB2312" w:eastAsia="仿宋_GB2312" w:cs="仿宋_GB2312"/>
          <w:b w:val="0"/>
          <w:bCs w:val="0"/>
          <w:color w:val="auto"/>
          <w:sz w:val="32"/>
          <w:szCs w:val="32"/>
          <w:highlight w:val="none"/>
          <w:lang w:val="en-US" w:eastAsia="zh-CN"/>
        </w:rPr>
        <w:t>100</w:t>
      </w:r>
      <w:r>
        <w:rPr>
          <w:rFonts w:hint="eastAsia" w:ascii="仿宋_GB2312" w:hAnsi="仿宋_GB2312" w:eastAsia="仿宋_GB2312" w:cs="仿宋_GB2312"/>
          <w:b w:val="0"/>
          <w:bCs w:val="0"/>
          <w:color w:val="auto"/>
          <w:sz w:val="32"/>
          <w:szCs w:val="32"/>
          <w:highlight w:val="none"/>
          <w:lang w:val="zh-CN" w:eastAsia="zh-CN"/>
        </w:rPr>
        <w:t>%。决算数与年初预算数不存在差异</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lang w:val="zh-CN" w:eastAsia="zh-CN"/>
        </w:rPr>
        <w:t>卫生健康支出（类）行政事业单位医疗（款） 公务员医疗补助（项）。</w:t>
      </w:r>
      <w:r>
        <w:rPr>
          <w:rFonts w:hint="eastAsia" w:ascii="仿宋_GB2312" w:hAnsi="仿宋_GB2312" w:eastAsia="仿宋_GB2312" w:cs="仿宋_GB2312"/>
          <w:b w:val="0"/>
          <w:bCs w:val="0"/>
          <w:color w:val="auto"/>
          <w:sz w:val="32"/>
          <w:szCs w:val="32"/>
          <w:highlight w:val="none"/>
          <w:lang w:val="zh-CN" w:eastAsia="zh-CN"/>
        </w:rPr>
        <w:t>年初预算为</w:t>
      </w:r>
      <w:r>
        <w:rPr>
          <w:rFonts w:hint="eastAsia" w:ascii="仿宋_GB2312" w:hAnsi="仿宋_GB2312" w:eastAsia="仿宋_GB2312" w:cs="仿宋_GB2312"/>
          <w:b w:val="0"/>
          <w:bCs w:val="0"/>
          <w:color w:val="auto"/>
          <w:sz w:val="32"/>
          <w:szCs w:val="32"/>
          <w:highlight w:val="none"/>
          <w:lang w:val="en-US" w:eastAsia="zh-CN"/>
        </w:rPr>
        <w:t>2.32</w:t>
      </w:r>
      <w:r>
        <w:rPr>
          <w:rFonts w:hint="eastAsia" w:ascii="仿宋_GB2312" w:hAnsi="仿宋_GB2312" w:eastAsia="仿宋_GB2312" w:cs="仿宋_GB2312"/>
          <w:b w:val="0"/>
          <w:bCs w:val="0"/>
          <w:color w:val="auto"/>
          <w:sz w:val="32"/>
          <w:szCs w:val="32"/>
          <w:highlight w:val="none"/>
          <w:lang w:val="zh-CN" w:eastAsia="zh-CN"/>
        </w:rPr>
        <w:t>万元，支出决算为</w:t>
      </w:r>
      <w:r>
        <w:rPr>
          <w:rFonts w:hint="eastAsia" w:ascii="仿宋_GB2312" w:hAnsi="仿宋_GB2312" w:eastAsia="仿宋_GB2312" w:cs="仿宋_GB2312"/>
          <w:b w:val="0"/>
          <w:bCs w:val="0"/>
          <w:color w:val="auto"/>
          <w:sz w:val="32"/>
          <w:szCs w:val="32"/>
          <w:highlight w:val="none"/>
          <w:lang w:val="en-US" w:eastAsia="zh-CN"/>
        </w:rPr>
        <w:t>2.35</w:t>
      </w:r>
      <w:r>
        <w:rPr>
          <w:rFonts w:hint="eastAsia" w:ascii="仿宋_GB2312" w:hAnsi="仿宋_GB2312" w:eastAsia="仿宋_GB2312" w:cs="仿宋_GB2312"/>
          <w:b w:val="0"/>
          <w:bCs w:val="0"/>
          <w:color w:val="auto"/>
          <w:sz w:val="32"/>
          <w:szCs w:val="32"/>
          <w:highlight w:val="none"/>
          <w:lang w:val="zh-CN" w:eastAsia="zh-CN"/>
        </w:rPr>
        <w:t>万元，完成年初预算的</w:t>
      </w:r>
      <w:r>
        <w:rPr>
          <w:rFonts w:hint="eastAsia" w:ascii="仿宋_GB2312" w:hAnsi="仿宋_GB2312" w:eastAsia="仿宋_GB2312" w:cs="仿宋_GB2312"/>
          <w:b w:val="0"/>
          <w:bCs w:val="0"/>
          <w:color w:val="auto"/>
          <w:sz w:val="32"/>
          <w:szCs w:val="32"/>
          <w:highlight w:val="none"/>
          <w:lang w:val="en-US" w:eastAsia="zh-CN"/>
        </w:rPr>
        <w:t>101.29</w:t>
      </w:r>
      <w:r>
        <w:rPr>
          <w:rFonts w:hint="eastAsia" w:ascii="仿宋_GB2312" w:hAnsi="仿宋_GB2312" w:eastAsia="仿宋_GB2312" w:cs="仿宋_GB2312"/>
          <w:b w:val="0"/>
          <w:bCs w:val="0"/>
          <w:color w:val="auto"/>
          <w:sz w:val="32"/>
          <w:szCs w:val="32"/>
          <w:highlight w:val="none"/>
          <w:lang w:val="zh-CN" w:eastAsia="zh-CN"/>
        </w:rPr>
        <w:t>%。决算数与年初预算数存在差异的主要原因是公务员医疗补助费用增长。</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lang w:val="zh-CN" w:eastAsia="zh-CN"/>
        </w:rPr>
        <w:t>城乡社区支出（类）城乡社区规划与管理（款）城乡社区规划与管理（项）。</w:t>
      </w:r>
      <w:r>
        <w:rPr>
          <w:rFonts w:hint="eastAsia" w:ascii="仿宋_GB2312" w:hAnsi="仿宋_GB2312" w:eastAsia="仿宋_GB2312" w:cs="仿宋_GB2312"/>
          <w:b w:val="0"/>
          <w:bCs w:val="0"/>
          <w:color w:val="auto"/>
          <w:sz w:val="32"/>
          <w:szCs w:val="32"/>
          <w:highlight w:val="none"/>
          <w:lang w:val="zh-CN" w:eastAsia="zh-CN"/>
        </w:rPr>
        <w:t>年初预算为</w:t>
      </w:r>
      <w:r>
        <w:rPr>
          <w:rFonts w:hint="eastAsia" w:ascii="仿宋_GB2312" w:hAnsi="仿宋_GB2312" w:eastAsia="仿宋_GB2312" w:cs="仿宋_GB2312"/>
          <w:b w:val="0"/>
          <w:bCs w:val="0"/>
          <w:color w:val="auto"/>
          <w:sz w:val="32"/>
          <w:szCs w:val="32"/>
          <w:highlight w:val="none"/>
          <w:lang w:val="en-US" w:eastAsia="zh-CN"/>
        </w:rPr>
        <w:t>76.82</w:t>
      </w:r>
      <w:r>
        <w:rPr>
          <w:rFonts w:hint="eastAsia" w:ascii="仿宋_GB2312" w:hAnsi="仿宋_GB2312" w:eastAsia="仿宋_GB2312" w:cs="仿宋_GB2312"/>
          <w:b w:val="0"/>
          <w:bCs w:val="0"/>
          <w:color w:val="auto"/>
          <w:sz w:val="32"/>
          <w:szCs w:val="32"/>
          <w:highlight w:val="none"/>
          <w:lang w:val="zh-CN" w:eastAsia="zh-CN"/>
        </w:rPr>
        <w:t>万元，支出决算为</w:t>
      </w:r>
      <w:r>
        <w:rPr>
          <w:rFonts w:hint="eastAsia" w:ascii="仿宋_GB2312" w:hAnsi="仿宋_GB2312" w:eastAsia="仿宋_GB2312" w:cs="仿宋_GB2312"/>
          <w:b w:val="0"/>
          <w:bCs w:val="0"/>
          <w:color w:val="auto"/>
          <w:sz w:val="32"/>
          <w:szCs w:val="32"/>
          <w:highlight w:val="none"/>
          <w:lang w:val="en-US" w:eastAsia="zh-CN"/>
        </w:rPr>
        <w:t>82.17</w:t>
      </w:r>
      <w:r>
        <w:rPr>
          <w:rFonts w:hint="eastAsia" w:ascii="仿宋_GB2312" w:hAnsi="仿宋_GB2312" w:eastAsia="仿宋_GB2312" w:cs="仿宋_GB2312"/>
          <w:b w:val="0"/>
          <w:bCs w:val="0"/>
          <w:color w:val="auto"/>
          <w:sz w:val="32"/>
          <w:szCs w:val="32"/>
          <w:highlight w:val="none"/>
          <w:lang w:val="zh-CN" w:eastAsia="zh-CN"/>
        </w:rPr>
        <w:t>万元，完成年初预算的</w:t>
      </w:r>
      <w:r>
        <w:rPr>
          <w:rFonts w:hint="eastAsia" w:ascii="仿宋_GB2312" w:hAnsi="仿宋_GB2312" w:eastAsia="仿宋_GB2312" w:cs="仿宋_GB2312"/>
          <w:b w:val="0"/>
          <w:bCs w:val="0"/>
          <w:color w:val="auto"/>
          <w:sz w:val="32"/>
          <w:szCs w:val="32"/>
          <w:highlight w:val="none"/>
          <w:lang w:val="en-US" w:eastAsia="zh-CN"/>
        </w:rPr>
        <w:t>106.96</w:t>
      </w:r>
      <w:r>
        <w:rPr>
          <w:rFonts w:hint="eastAsia" w:ascii="仿宋_GB2312" w:hAnsi="仿宋_GB2312" w:eastAsia="仿宋_GB2312" w:cs="仿宋_GB2312"/>
          <w:b w:val="0"/>
          <w:bCs w:val="0"/>
          <w:color w:val="auto"/>
          <w:sz w:val="32"/>
          <w:szCs w:val="32"/>
          <w:highlight w:val="none"/>
          <w:lang w:val="zh-CN" w:eastAsia="zh-CN"/>
        </w:rPr>
        <w:t>%。决算数与年初预算数存在差异的主要原因</w:t>
      </w:r>
      <w:r>
        <w:rPr>
          <w:rFonts w:hint="eastAsia" w:ascii="仿宋_GB2312" w:hAnsi="仿宋_GB2312" w:eastAsia="仿宋_GB2312" w:cs="仿宋_GB2312"/>
          <w:sz w:val="32"/>
          <w:szCs w:val="32"/>
          <w:highlight w:val="none"/>
          <w:lang w:val="en-US" w:eastAsia="zh-CN"/>
        </w:rPr>
        <w:t>在职</w:t>
      </w:r>
      <w:r>
        <w:rPr>
          <w:rFonts w:hint="eastAsia" w:ascii="仿宋_GB2312" w:hAnsi="仿宋_GB2312" w:eastAsia="仿宋_GB2312" w:cs="仿宋_GB2312"/>
          <w:color w:val="auto"/>
          <w:sz w:val="32"/>
          <w:szCs w:val="32"/>
          <w:lang w:val="zh-CN"/>
        </w:rPr>
        <w:t>人员</w:t>
      </w:r>
      <w:r>
        <w:rPr>
          <w:rFonts w:hint="eastAsia" w:ascii="仿宋_GB2312" w:hAnsi="仿宋_GB2312" w:eastAsia="仿宋_GB2312" w:cs="仿宋_GB2312"/>
          <w:color w:val="auto"/>
          <w:sz w:val="32"/>
          <w:szCs w:val="32"/>
          <w:lang w:val="en-US" w:eastAsia="zh-CN"/>
        </w:rPr>
        <w:t>职位职级正常晋升工资增加。</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94.80</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85.67</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机关事业单位基本养老保险缴费、职工基本医疗保险缴费</w:t>
      </w:r>
      <w:r>
        <w:rPr>
          <w:rFonts w:hint="eastAsia" w:ascii="仿宋_GB2312" w:hAnsi="仿宋_GB2312" w:eastAsia="仿宋_GB2312" w:cs="仿宋_GB2312"/>
          <w:sz w:val="32"/>
          <w:szCs w:val="32"/>
          <w:highlight w:val="none"/>
          <w:lang w:eastAsia="zh-CN"/>
        </w:rPr>
        <w:t>、公务员医疗补助缴费、</w:t>
      </w:r>
      <w:r>
        <w:rPr>
          <w:rFonts w:hint="eastAsia" w:ascii="仿宋_GB2312" w:hAnsi="仿宋_GB2312" w:eastAsia="仿宋_GB2312" w:cs="仿宋_GB2312"/>
          <w:sz w:val="32"/>
          <w:szCs w:val="32"/>
          <w:highlight w:val="none"/>
        </w:rPr>
        <w:t>其他工资福利支出、</w:t>
      </w:r>
      <w:r>
        <w:rPr>
          <w:rFonts w:hint="eastAsia" w:ascii="仿宋_GB2312" w:hAnsi="仿宋_GB2312" w:eastAsia="仿宋_GB2312" w:cs="仿宋_GB2312"/>
          <w:sz w:val="32"/>
          <w:szCs w:val="32"/>
          <w:highlight w:val="none"/>
          <w:lang w:val="en-US" w:eastAsia="zh-CN"/>
        </w:rPr>
        <w:t>对个人和家庭的补助、</w:t>
      </w:r>
      <w:r>
        <w:rPr>
          <w:rFonts w:hint="eastAsia" w:ascii="仿宋_GB2312" w:hAnsi="仿宋_GB2312" w:eastAsia="仿宋_GB2312" w:cs="仿宋_GB2312"/>
          <w:sz w:val="32"/>
          <w:szCs w:val="32"/>
          <w:highlight w:val="none"/>
        </w:rPr>
        <w:t>退休费；公用经费</w:t>
      </w:r>
      <w:r>
        <w:rPr>
          <w:rFonts w:hint="eastAsia" w:ascii="仿宋_GB2312" w:hAnsi="仿宋_GB2312" w:eastAsia="仿宋_GB2312" w:cs="仿宋_GB2312"/>
          <w:sz w:val="32"/>
          <w:szCs w:val="32"/>
          <w:highlight w:val="none"/>
          <w:lang w:val="en-US" w:eastAsia="zh-CN"/>
        </w:rPr>
        <w:t>9.13</w:t>
      </w:r>
      <w:r>
        <w:rPr>
          <w:rFonts w:hint="eastAsia" w:ascii="仿宋_GB2312" w:hAnsi="仿宋_GB2312" w:eastAsia="仿宋_GB2312" w:cs="仿宋_GB2312"/>
          <w:sz w:val="32"/>
          <w:szCs w:val="32"/>
          <w:highlight w:val="none"/>
        </w:rPr>
        <w:t>万元，主要包括：</w:t>
      </w:r>
      <w:r>
        <w:rPr>
          <w:rFonts w:hint="eastAsia" w:ascii="仿宋_GB2312" w:hAnsi="仿宋_GB2312" w:eastAsia="仿宋_GB2312" w:cs="仿宋_GB2312"/>
          <w:color w:val="auto"/>
          <w:sz w:val="32"/>
          <w:szCs w:val="32"/>
          <w:highlight w:val="none"/>
          <w:lang w:val="en-US" w:eastAsia="zh-CN"/>
        </w:rPr>
        <w:t>办公费、差旅费、培训费、工会经费、福利费、其他交</w:t>
      </w:r>
      <w:bookmarkStart w:id="0" w:name="_GoBack"/>
      <w:bookmarkEnd w:id="0"/>
      <w:r>
        <w:rPr>
          <w:rFonts w:hint="eastAsia" w:ascii="仿宋_GB2312" w:hAnsi="仿宋_GB2312" w:eastAsia="仿宋_GB2312" w:cs="仿宋_GB2312"/>
          <w:color w:val="auto"/>
          <w:sz w:val="32"/>
          <w:szCs w:val="32"/>
          <w:highlight w:val="none"/>
          <w:lang w:val="en-US" w:eastAsia="zh-CN"/>
        </w:rPr>
        <w:t>通费用。</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outlineLvl w:val="2"/>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w:t>
      </w:r>
    </w:p>
    <w:p>
      <w:pPr>
        <w:widowControl/>
        <w:spacing w:line="590" w:lineRule="exact"/>
        <w:outlineLvl w:val="2"/>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2021年度“三公”经费支出决算数与预算</w:t>
      </w:r>
    </w:p>
    <w:p>
      <w:pPr>
        <w:widowControl/>
        <w:spacing w:line="590" w:lineRule="exact"/>
        <w:outlineLvl w:val="2"/>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lang w:val="en-US" w:eastAsia="zh-CN"/>
        </w:rPr>
        <w:t>数不存在差异。</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万元。具体情况如下：</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2021年度“三公”经费支出决算数与预算数不存在差异。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2021年度“三公”经费支出决算数与预算数不存在差异。</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w:t>
      </w:r>
      <w:r>
        <w:rPr>
          <w:rFonts w:hint="eastAsia" w:ascii="仿宋_GB2312" w:hAnsi="仿宋_GB2312" w:eastAsia="仿宋_GB2312" w:cs="仿宋_GB2312"/>
          <w:sz w:val="32"/>
          <w:szCs w:val="32"/>
          <w:lang w:val="en-US" w:eastAsia="zh-CN"/>
        </w:rPr>
        <w:t>0台</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2021年度“三公”经费支出决算数与预算数不存在差异。</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个、来访外宾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不存在项目年末结转和结余资金数额较大。情况说明：我部门2021年度没有政府性基金收入，也没有使用政府性基金安排的支出</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11.37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9.13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80.30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b w:val="0"/>
          <w:bCs w:val="0"/>
          <w:color w:val="auto"/>
          <w:sz w:val="32"/>
          <w:szCs w:val="32"/>
          <w:highlight w:val="none"/>
          <w:lang w:val="zh-CN" w:eastAsia="zh-CN"/>
        </w:rPr>
        <w:t>厉行节约，严控开支</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default" w:ascii="仿宋_GB2312" w:hAnsi="仿宋_GB2312" w:eastAsia="仿宋_GB2312" w:cs="仿宋_GB2312"/>
          <w:sz w:val="32"/>
          <w:szCs w:val="32"/>
          <w:highlight w:val="none"/>
          <w:lang w:val="e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default" w:ascii="仿宋_GB2312" w:hAnsi="仿宋_GB2312" w:eastAsia="仿宋_GB2312" w:cs="仿宋_GB2312"/>
          <w:sz w:val="32"/>
          <w:szCs w:val="32"/>
          <w:highlight w:val="none"/>
          <w:lang w:val="e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其中：省级领导干部用车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辆、主要领导干部用车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辆、执法执勤用车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辆、离退休干部用车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highlight w:val="none"/>
        </w:rPr>
        <w:t>；单位价值50万元以上通用设备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我单位按照《中共许昌市委、许昌市人民政府关于全面实施预算绩效管理的实施意见》（许发〔2021〕13号）文件要求，对本单位整体支出和项目支出开展全过程预算绩效管理。</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2021年我单位纳入预算绩效管理的支出总额为89.03万元，其中：基本支出89.03万元；支出项目0个，支出金额0万元。开展项目绩效自评项目0个，自评金额0万元；纳入重点绩效评价0个，评价金额0万元。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w:t>
      </w:r>
      <w:r>
        <w:rPr>
          <w:rFonts w:hint="eastAsia" w:eastAsia="仿宋_GB2312"/>
          <w:b w:val="0"/>
          <w:bCs w:val="0"/>
          <w:color w:val="auto"/>
          <w:sz w:val="32"/>
          <w:szCs w:val="32"/>
          <w:lang w:val="en-US" w:eastAsia="zh-CN"/>
        </w:rPr>
        <w:t>我单位将严格履行预算绩效管理主体责任，以绩效目标为导向，做好绩效运行监控，提升绩效自评质量，不断提高绩效管理工作水平，充分发挥财政资金使用效益</w:t>
      </w:r>
      <w:r>
        <w:rPr>
          <w:rFonts w:hint="eastAsia" w:ascii="仿宋_GB2312" w:hAnsi="仿宋_GB2312" w:eastAsia="仿宋_GB2312" w:cs="仿宋_GB2312"/>
          <w:color w:val="auto"/>
          <w:sz w:val="32"/>
          <w:szCs w:val="32"/>
          <w:highlight w:val="none"/>
          <w:lang w:val="en-US" w:eastAsia="zh-CN"/>
        </w:rPr>
        <w:t>。二是项目绩效自评情况。我单位共有0个项目批复了绩效目标，项目金额0万元。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w:t>
      </w:r>
      <w:r>
        <w:rPr>
          <w:rFonts w:hint="eastAsia" w:ascii="楷体" w:hAnsi="楷体" w:eastAsia="楷体" w:cs="楷体"/>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A229D1"/>
    <w:multiLevelType w:val="singleLevel"/>
    <w:tmpl w:val="F1A229D1"/>
    <w:lvl w:ilvl="0" w:tentative="0">
      <w:start w:val="1"/>
      <w:numFmt w:val="chineseCounting"/>
      <w:suff w:val="nothing"/>
      <w:lvlText w:val="第%1部分　"/>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abstractNum w:abstractNumId="2">
    <w:nsid w:val="5CAF8748"/>
    <w:multiLevelType w:val="singleLevel"/>
    <w:tmpl w:val="5CAF8748"/>
    <w:lvl w:ilvl="0" w:tentative="0">
      <w:start w:val="1"/>
      <w:numFmt w:val="chineseCounting"/>
      <w:suff w:val="space"/>
      <w:lvlText w:val="第%1部分"/>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2Zjk4NGI2ZjhiZDE2OTZiNjI1ZmQ5NzJjMmRlNjg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5FB4"/>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5C48BA"/>
    <w:rsid w:val="01D949D0"/>
    <w:rsid w:val="01DC6F05"/>
    <w:rsid w:val="02663C42"/>
    <w:rsid w:val="02A3489A"/>
    <w:rsid w:val="02CA138D"/>
    <w:rsid w:val="033646FC"/>
    <w:rsid w:val="03C75F80"/>
    <w:rsid w:val="0478364D"/>
    <w:rsid w:val="053D4C0D"/>
    <w:rsid w:val="0557532E"/>
    <w:rsid w:val="05D53350"/>
    <w:rsid w:val="05EB3D92"/>
    <w:rsid w:val="069431FE"/>
    <w:rsid w:val="077D59E1"/>
    <w:rsid w:val="0799329C"/>
    <w:rsid w:val="079C1EB4"/>
    <w:rsid w:val="08397436"/>
    <w:rsid w:val="086F16A7"/>
    <w:rsid w:val="08C922A3"/>
    <w:rsid w:val="097906FF"/>
    <w:rsid w:val="0A0F7225"/>
    <w:rsid w:val="0A2B7D82"/>
    <w:rsid w:val="0ADC40E9"/>
    <w:rsid w:val="0AE607F4"/>
    <w:rsid w:val="0B386127"/>
    <w:rsid w:val="0B451598"/>
    <w:rsid w:val="0BEC73F4"/>
    <w:rsid w:val="0C392698"/>
    <w:rsid w:val="0CB90E13"/>
    <w:rsid w:val="0F605243"/>
    <w:rsid w:val="0F73799F"/>
    <w:rsid w:val="10BD36F6"/>
    <w:rsid w:val="11BF0649"/>
    <w:rsid w:val="1211524D"/>
    <w:rsid w:val="122C2707"/>
    <w:rsid w:val="123E3E08"/>
    <w:rsid w:val="12C1792C"/>
    <w:rsid w:val="12F26E2C"/>
    <w:rsid w:val="133212F4"/>
    <w:rsid w:val="13D22E22"/>
    <w:rsid w:val="14E747B6"/>
    <w:rsid w:val="15367145"/>
    <w:rsid w:val="154313A8"/>
    <w:rsid w:val="161C2DFF"/>
    <w:rsid w:val="16373578"/>
    <w:rsid w:val="16D3336B"/>
    <w:rsid w:val="17200028"/>
    <w:rsid w:val="17806C36"/>
    <w:rsid w:val="17A74F62"/>
    <w:rsid w:val="18397125"/>
    <w:rsid w:val="18941B89"/>
    <w:rsid w:val="18A47774"/>
    <w:rsid w:val="19C01A32"/>
    <w:rsid w:val="1A3D566D"/>
    <w:rsid w:val="1A8D28EB"/>
    <w:rsid w:val="1A9F2D78"/>
    <w:rsid w:val="1B2E6FD8"/>
    <w:rsid w:val="1B877D21"/>
    <w:rsid w:val="1BED722B"/>
    <w:rsid w:val="1C4319A9"/>
    <w:rsid w:val="1D083403"/>
    <w:rsid w:val="1E051C94"/>
    <w:rsid w:val="1E443B4B"/>
    <w:rsid w:val="1E994F4A"/>
    <w:rsid w:val="1EAF0224"/>
    <w:rsid w:val="1F2230A4"/>
    <w:rsid w:val="20210932"/>
    <w:rsid w:val="202448E0"/>
    <w:rsid w:val="20B163DB"/>
    <w:rsid w:val="20F614FE"/>
    <w:rsid w:val="21302EEA"/>
    <w:rsid w:val="22376FB5"/>
    <w:rsid w:val="23E152D7"/>
    <w:rsid w:val="23E64CC2"/>
    <w:rsid w:val="23EE2489"/>
    <w:rsid w:val="255D43C8"/>
    <w:rsid w:val="25785A62"/>
    <w:rsid w:val="257A33DD"/>
    <w:rsid w:val="25ED21C2"/>
    <w:rsid w:val="26714EF8"/>
    <w:rsid w:val="26876BDD"/>
    <w:rsid w:val="2705317A"/>
    <w:rsid w:val="2714632A"/>
    <w:rsid w:val="27541E73"/>
    <w:rsid w:val="27B0539E"/>
    <w:rsid w:val="27D37934"/>
    <w:rsid w:val="285E0D94"/>
    <w:rsid w:val="28C17575"/>
    <w:rsid w:val="29365CF8"/>
    <w:rsid w:val="299469B3"/>
    <w:rsid w:val="2A805789"/>
    <w:rsid w:val="2ADC0D75"/>
    <w:rsid w:val="2B4A0E52"/>
    <w:rsid w:val="2C2339CD"/>
    <w:rsid w:val="2C975890"/>
    <w:rsid w:val="2DEF21BB"/>
    <w:rsid w:val="2E4A2F05"/>
    <w:rsid w:val="2ECC1061"/>
    <w:rsid w:val="2FA476AD"/>
    <w:rsid w:val="303F7540"/>
    <w:rsid w:val="31B94E4D"/>
    <w:rsid w:val="31DD00BF"/>
    <w:rsid w:val="3293174C"/>
    <w:rsid w:val="32BB38D4"/>
    <w:rsid w:val="32C9376D"/>
    <w:rsid w:val="33780472"/>
    <w:rsid w:val="33AF0905"/>
    <w:rsid w:val="33C87A09"/>
    <w:rsid w:val="355932F4"/>
    <w:rsid w:val="35611882"/>
    <w:rsid w:val="36746FC3"/>
    <w:rsid w:val="368763AE"/>
    <w:rsid w:val="36E12EBD"/>
    <w:rsid w:val="37F94635"/>
    <w:rsid w:val="382043DE"/>
    <w:rsid w:val="395D59E7"/>
    <w:rsid w:val="39A93932"/>
    <w:rsid w:val="3A915562"/>
    <w:rsid w:val="3B8D4765"/>
    <w:rsid w:val="3BC1598C"/>
    <w:rsid w:val="3C000DBA"/>
    <w:rsid w:val="3C5E0F0B"/>
    <w:rsid w:val="3DC045D3"/>
    <w:rsid w:val="3E4D1F1E"/>
    <w:rsid w:val="3E504FFB"/>
    <w:rsid w:val="3E615CD0"/>
    <w:rsid w:val="3E7E2998"/>
    <w:rsid w:val="3E9C47F6"/>
    <w:rsid w:val="3F8B0112"/>
    <w:rsid w:val="3FAB3095"/>
    <w:rsid w:val="3FE45947"/>
    <w:rsid w:val="400F00B6"/>
    <w:rsid w:val="41242965"/>
    <w:rsid w:val="435671EA"/>
    <w:rsid w:val="43920C34"/>
    <w:rsid w:val="43EC504E"/>
    <w:rsid w:val="440809E9"/>
    <w:rsid w:val="442407A6"/>
    <w:rsid w:val="44805EA1"/>
    <w:rsid w:val="452E24CF"/>
    <w:rsid w:val="45710696"/>
    <w:rsid w:val="46142B1B"/>
    <w:rsid w:val="47E60DD0"/>
    <w:rsid w:val="48735039"/>
    <w:rsid w:val="492C684B"/>
    <w:rsid w:val="49500594"/>
    <w:rsid w:val="49E7604E"/>
    <w:rsid w:val="4BAE34BF"/>
    <w:rsid w:val="4BE04D2E"/>
    <w:rsid w:val="4BF67CDD"/>
    <w:rsid w:val="4D173441"/>
    <w:rsid w:val="4D603DD6"/>
    <w:rsid w:val="4E7A430A"/>
    <w:rsid w:val="4EBF010F"/>
    <w:rsid w:val="4F244236"/>
    <w:rsid w:val="4F471EB0"/>
    <w:rsid w:val="50445839"/>
    <w:rsid w:val="512E4EF8"/>
    <w:rsid w:val="51331326"/>
    <w:rsid w:val="51740A7F"/>
    <w:rsid w:val="51A5541E"/>
    <w:rsid w:val="51C96242"/>
    <w:rsid w:val="533A4D6C"/>
    <w:rsid w:val="53906AE1"/>
    <w:rsid w:val="54705828"/>
    <w:rsid w:val="54F46F60"/>
    <w:rsid w:val="55873B34"/>
    <w:rsid w:val="55A37BEA"/>
    <w:rsid w:val="5611036E"/>
    <w:rsid w:val="56362CD2"/>
    <w:rsid w:val="5784687B"/>
    <w:rsid w:val="57846959"/>
    <w:rsid w:val="578E6A87"/>
    <w:rsid w:val="58EB1921"/>
    <w:rsid w:val="5AC2203A"/>
    <w:rsid w:val="5B2FEB2C"/>
    <w:rsid w:val="5CBB3334"/>
    <w:rsid w:val="5CFC3188"/>
    <w:rsid w:val="5D115FAF"/>
    <w:rsid w:val="5ECC5D50"/>
    <w:rsid w:val="5EDF5A84"/>
    <w:rsid w:val="6105709B"/>
    <w:rsid w:val="616D55C9"/>
    <w:rsid w:val="62344B6C"/>
    <w:rsid w:val="62811722"/>
    <w:rsid w:val="62E75A72"/>
    <w:rsid w:val="62EA3E6A"/>
    <w:rsid w:val="63D26AE9"/>
    <w:rsid w:val="64571880"/>
    <w:rsid w:val="649125B6"/>
    <w:rsid w:val="64E04304"/>
    <w:rsid w:val="652F4C1A"/>
    <w:rsid w:val="661C6B52"/>
    <w:rsid w:val="664B1C51"/>
    <w:rsid w:val="666D37F1"/>
    <w:rsid w:val="66F422E8"/>
    <w:rsid w:val="67087D8F"/>
    <w:rsid w:val="671F687E"/>
    <w:rsid w:val="67F415F8"/>
    <w:rsid w:val="682640D1"/>
    <w:rsid w:val="684B73E5"/>
    <w:rsid w:val="68543AD9"/>
    <w:rsid w:val="69AB4EB9"/>
    <w:rsid w:val="6A047A2A"/>
    <w:rsid w:val="6AA87BD1"/>
    <w:rsid w:val="6D2C0026"/>
    <w:rsid w:val="6EFB7548"/>
    <w:rsid w:val="6F3831C3"/>
    <w:rsid w:val="6F8B71C1"/>
    <w:rsid w:val="6FFB7A65"/>
    <w:rsid w:val="6FFFEA13"/>
    <w:rsid w:val="703B5076"/>
    <w:rsid w:val="70753482"/>
    <w:rsid w:val="707B522A"/>
    <w:rsid w:val="724E2DE4"/>
    <w:rsid w:val="72E41463"/>
    <w:rsid w:val="73194D05"/>
    <w:rsid w:val="73A83B0E"/>
    <w:rsid w:val="744D3EF9"/>
    <w:rsid w:val="74794411"/>
    <w:rsid w:val="74A0760B"/>
    <w:rsid w:val="74D3178F"/>
    <w:rsid w:val="75622B13"/>
    <w:rsid w:val="75867C40"/>
    <w:rsid w:val="75B10B26"/>
    <w:rsid w:val="76047582"/>
    <w:rsid w:val="76432199"/>
    <w:rsid w:val="76F44829"/>
    <w:rsid w:val="77A267C0"/>
    <w:rsid w:val="782D565A"/>
    <w:rsid w:val="78882278"/>
    <w:rsid w:val="78B118A6"/>
    <w:rsid w:val="79135044"/>
    <w:rsid w:val="79193112"/>
    <w:rsid w:val="7A3C1B84"/>
    <w:rsid w:val="7A7D0F99"/>
    <w:rsid w:val="7AEE1217"/>
    <w:rsid w:val="7B4A7247"/>
    <w:rsid w:val="7B7BA64F"/>
    <w:rsid w:val="7DBB45AA"/>
    <w:rsid w:val="7DEF6F1C"/>
    <w:rsid w:val="7E4A0E7C"/>
    <w:rsid w:val="7EB16A78"/>
    <w:rsid w:val="7EE41D99"/>
    <w:rsid w:val="7EFD449D"/>
    <w:rsid w:val="7F1D61CB"/>
    <w:rsid w:val="7F83338D"/>
    <w:rsid w:val="9CEAAE6F"/>
    <w:rsid w:val="B5EA8F7C"/>
    <w:rsid w:val="D36FBA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uiPriority w:val="99"/>
    <w:rPr>
      <w:color w:val="800080"/>
      <w:u w:val="single"/>
    </w:rPr>
  </w:style>
  <w:style w:type="character" w:styleId="9">
    <w:name w:val="Hyperlink"/>
    <w:unhideWhenUsed/>
    <w:uiPriority w:val="99"/>
    <w:rPr>
      <w:color w:val="0000FF"/>
      <w:u w:val="single"/>
    </w:rPr>
  </w:style>
  <w:style w:type="character" w:customStyle="1" w:styleId="10">
    <w:name w:val="批注框文本 Char"/>
    <w:link w:val="2"/>
    <w:semiHidden/>
    <w:uiPriority w:val="99"/>
    <w:rPr>
      <w:kern w:val="2"/>
      <w:sz w:val="18"/>
      <w:szCs w:val="18"/>
    </w:rPr>
  </w:style>
  <w:style w:type="character" w:customStyle="1" w:styleId="11">
    <w:name w:val="页脚 Char"/>
    <w:link w:val="3"/>
    <w:uiPriority w:val="99"/>
    <w:rPr>
      <w:kern w:val="2"/>
      <w:sz w:val="18"/>
      <w:szCs w:val="18"/>
    </w:rPr>
  </w:style>
  <w:style w:type="character" w:customStyle="1" w:styleId="12">
    <w:name w:val="页眉 Char"/>
    <w:link w:val="4"/>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uiPriority w:val="0"/>
    <w:rPr>
      <w:rFonts w:hint="eastAsia" w:ascii="宋体" w:hAnsi="宋体" w:eastAsia="宋体" w:cs="宋体"/>
      <w:color w:val="000000"/>
      <w:sz w:val="22"/>
      <w:szCs w:val="22"/>
      <w:u w:val="none"/>
    </w:rPr>
  </w:style>
  <w:style w:type="character" w:customStyle="1" w:styleId="15">
    <w:name w:val="font51"/>
    <w:uiPriority w:val="0"/>
    <w:rPr>
      <w:rFonts w:hint="eastAsia" w:ascii="宋体" w:hAnsi="宋体" w:eastAsia="宋体" w:cs="宋体"/>
      <w:color w:val="000000"/>
      <w:sz w:val="24"/>
      <w:szCs w:val="24"/>
      <w:u w:val="none"/>
    </w:rPr>
  </w:style>
  <w:style w:type="character" w:customStyle="1" w:styleId="16">
    <w:name w:val="font11"/>
    <w:uiPriority w:val="0"/>
    <w:rPr>
      <w:rFonts w:hint="eastAsia" w:ascii="宋体" w:hAnsi="宋体" w:eastAsia="宋体" w:cs="宋体"/>
      <w:color w:val="000000"/>
      <w:sz w:val="20"/>
      <w:szCs w:val="20"/>
      <w:u w:val="none"/>
    </w:rPr>
  </w:style>
  <w:style w:type="character" w:customStyle="1" w:styleId="17">
    <w:name w:val="font4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8429</Words>
  <Characters>9818</Characters>
  <Lines>60</Lines>
  <Paragraphs>16</Paragraphs>
  <TotalTime>14</TotalTime>
  <ScaleCrop>false</ScaleCrop>
  <LinksUpToDate>false</LinksUpToDate>
  <CharactersWithSpaces>10034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2007-11-30T19:41:00Z</dcterms:created>
  <dc:creator>管理者</dc:creator>
  <cp:lastModifiedBy>Administrator</cp:lastModifiedBy>
  <cp:lastPrinted>2023-02-17T11:32:00Z</cp:lastPrinted>
  <dcterms:modified xsi:type="dcterms:W3CDTF">2023-05-09T03:07:44Z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0D86516958614477828D4D7E6498E704_13</vt:lpwstr>
  </property>
</Properties>
</file>