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许昌市统计局（本级）单位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许昌市统计局（本级）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许昌市统计局（本级）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Calibri" w:eastAsia="仿宋_GB2312" w:cs="Times New Roman"/>
          <w:sz w:val="32"/>
          <w:szCs w:val="32"/>
          <w:lang w:val="en-US" w:eastAsia="zh-CN"/>
        </w:rPr>
        <w:t>许昌市统计局（本级）</w:t>
      </w:r>
      <w:r>
        <w:rPr>
          <w:rFonts w:hint="eastAsia" w:ascii="仿宋_GB2312" w:eastAsia="仿宋_GB2312"/>
          <w:sz w:val="32"/>
          <w:szCs w:val="32"/>
        </w:rPr>
        <w:t>主要职责是：承担组织领导和协调全市统计工作，确保统计数据真实、准确、及时;会同有关部门贯彻落实全国重大国情国力普查计划、方案，组织实施全市人口、经济、农业等国情国力普查和投入产出调查等大型专项调查，汇总、整理和提供有关统计数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Calibri" w:eastAsia="仿宋_GB2312" w:cs="Times New Roman"/>
          <w:sz w:val="32"/>
          <w:szCs w:val="32"/>
          <w:lang w:val="en-US" w:eastAsia="zh-CN"/>
        </w:rPr>
        <w:t>许昌市统计局（本级）</w:t>
      </w:r>
      <w:r>
        <w:rPr>
          <w:rFonts w:hint="eastAsia" w:ascii="仿宋_GB2312" w:eastAsia="仿宋_GB2312"/>
          <w:sz w:val="32"/>
          <w:szCs w:val="32"/>
        </w:rPr>
        <w:t>贯彻执行国家、省、市关于统计工作的方针政策和法律、法规、规章以及统计制度、统计标准，起草有关地方性法规和规章草案，制定全市统计发展规划、政策并组织实施；审批全市地方统计调查项目以及涉外统计调查项目；承担组织领导和协调全市统计工作，确保统计数据真实、准确和及时的责任</w:t>
      </w:r>
      <w:r>
        <w:rPr>
          <w:rFonts w:hint="eastAsia" w:ascii="仿宋_GB2312" w:hAnsi="宋体" w:eastAsia="仿宋_GB2312" w:cs="宋体"/>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Calibri" w:eastAsia="仿宋_GB2312" w:cs="Times New Roman"/>
          <w:sz w:val="32"/>
          <w:szCs w:val="32"/>
          <w:lang w:val="en-US" w:eastAsia="zh-CN"/>
        </w:rPr>
        <w:t>许昌市统计局（本级）</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lang w:eastAsia="zh-CN"/>
        </w:rPr>
        <w:t>个，包括：办公室、政策法规和统计设计管理科（统计执法监督科）、国民经济综合核算科（监测评价考核科）、农业和能源生态统计科、工业统计科、固定资产投资统计科、贸易外经统计科（服务业统计科）、人口就业和社会科技文化统计科、机关党委</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Calibri" w:eastAsia="仿宋_GB2312" w:cs="Times New Roman"/>
          <w:sz w:val="32"/>
          <w:szCs w:val="32"/>
          <w:lang w:val="en-US" w:eastAsia="zh-CN"/>
        </w:rPr>
        <w:t>许昌市统计局（本级）单位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w:t>
      </w:r>
      <w:r>
        <w:rPr>
          <w:rFonts w:hint="eastAsia" w:ascii="仿宋_GB2312" w:hAnsi="Calibri" w:eastAsia="仿宋_GB2312" w:cs="Times New Roman"/>
          <w:sz w:val="32"/>
          <w:szCs w:val="32"/>
          <w:lang w:val="en-US" w:eastAsia="zh-CN"/>
        </w:rPr>
        <w:t>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1.许昌市统计局（本级）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rPr>
          <w:rFonts w:hint="eastAsia" w:ascii="仿宋_GB2312" w:hAnsi="仿宋_GB2312" w:eastAsia="仿宋_GB2312" w:cs="仿宋_GB2312"/>
          <w:sz w:val="32"/>
          <w:szCs w:val="32"/>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0"/>
        <w:gridCol w:w="899"/>
        <w:gridCol w:w="1208"/>
        <w:gridCol w:w="4828"/>
        <w:gridCol w:w="899"/>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6"/>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37"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6937"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3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9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9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556.48</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556.48</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205.59</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82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1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3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9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762.07</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74"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3716"/>
        <w:gridCol w:w="1637"/>
        <w:gridCol w:w="1454"/>
        <w:gridCol w:w="1227"/>
        <w:gridCol w:w="1222"/>
        <w:gridCol w:w="1222"/>
        <w:gridCol w:w="1222"/>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74"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490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6"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6"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556.48</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556.48</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457.80</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457.80</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455.34</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455.34</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455.34</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455.34</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81.96</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81.96</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81.96</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81.96</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64.34</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64.34</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1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3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2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4296"/>
        <w:gridCol w:w="1760"/>
        <w:gridCol w:w="1627"/>
        <w:gridCol w:w="1622"/>
        <w:gridCol w:w="1191"/>
        <w:gridCol w:w="1191"/>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4"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520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9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647.44</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622.09</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520.47</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495.12</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6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2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9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162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16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174"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0"/>
        <w:gridCol w:w="630"/>
        <w:gridCol w:w="1348"/>
        <w:gridCol w:w="3749"/>
        <w:gridCol w:w="699"/>
        <w:gridCol w:w="1074"/>
        <w:gridCol w:w="1225"/>
        <w:gridCol w:w="1091"/>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47"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5127"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2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3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3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556.48</w:t>
            </w: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520.47</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520.47</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556.48</w:t>
            </w: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647.44</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647.44</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205.59</w:t>
            </w: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114.63</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114.63</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205.59</w:t>
            </w:r>
          </w:p>
        </w:tc>
        <w:tc>
          <w:tcPr>
            <w:tcW w:w="37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4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0"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762.07</w:t>
            </w:r>
          </w:p>
        </w:tc>
        <w:tc>
          <w:tcPr>
            <w:tcW w:w="3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762.07</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762.07</w:t>
            </w:r>
          </w:p>
        </w:tc>
        <w:tc>
          <w:tcPr>
            <w:tcW w:w="10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9"/>
        <w:gridCol w:w="5823"/>
        <w:gridCol w:w="2333"/>
        <w:gridCol w:w="2330"/>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05"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4569"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8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44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7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72"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647.44</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622.09</w:t>
            </w: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520.47</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495.12</w:t>
            </w: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518.01</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492.66</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2010599</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其他统计信息事务支出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233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2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100.75</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82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2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22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74"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2318"/>
        <w:gridCol w:w="1176"/>
        <w:gridCol w:w="1013"/>
        <w:gridCol w:w="2277"/>
        <w:gridCol w:w="939"/>
        <w:gridCol w:w="970"/>
        <w:gridCol w:w="3545"/>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81"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281"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86"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6495"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78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473.08</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72.44</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252.75</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26.33</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107.82</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545"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对民间非营利组织和群众性自治组织补贴</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77"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公务用车运行维护费</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9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9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4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318"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其他对个人和家庭的补助</w:t>
            </w: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7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4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0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1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77" w:type="dxa"/>
            <w:tcBorders>
              <w:top w:val="nil"/>
              <w:left w:val="nil"/>
              <w:bottom w:val="single" w:color="000000" w:sz="4" w:space="0"/>
              <w:right w:val="single" w:color="000000" w:sz="4" w:space="0"/>
            </w:tcBorders>
            <w:noWrap w:val="0"/>
            <w:vAlign w:val="center"/>
          </w:tcPr>
          <w:p>
            <w:pPr>
              <w:rPr>
                <w:rFonts w:hint="eastAsia"/>
              </w:rPr>
            </w:pPr>
            <w:r>
              <w:rPr>
                <w:rFonts w:hint="eastAsia"/>
                <w:lang w:val="en-US" w:eastAsia="zh-CN"/>
              </w:rPr>
              <w:t xml:space="preserve">  其他商品和服务支出</w:t>
            </w:r>
          </w:p>
        </w:tc>
        <w:tc>
          <w:tcPr>
            <w:tcW w:w="9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54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2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546.12</w:t>
            </w:r>
          </w:p>
        </w:tc>
        <w:tc>
          <w:tcPr>
            <w:tcW w:w="8744"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4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2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64"/>
        <w:gridCol w:w="1164"/>
        <w:gridCol w:w="1164"/>
        <w:gridCol w:w="1167"/>
        <w:gridCol w:w="1173"/>
        <w:gridCol w:w="1167"/>
        <w:gridCol w:w="1164"/>
        <w:gridCol w:w="1164"/>
        <w:gridCol w:w="1164"/>
        <w:gridCol w:w="1167"/>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93" w:type="dxa"/>
            <w:gridSpan w:val="1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63" w:type="dxa"/>
            <w:gridSpan w:val="7"/>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5830" w:type="dxa"/>
            <w:gridSpan w:val="5"/>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9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9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1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0"/>
        <w:gridCol w:w="2245"/>
        <w:gridCol w:w="1780"/>
        <w:gridCol w:w="1786"/>
        <w:gridCol w:w="1780"/>
        <w:gridCol w:w="1780"/>
        <w:gridCol w:w="1786"/>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41"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：许昌市统计局（本级）</w:t>
            </w:r>
          </w:p>
        </w:tc>
        <w:tc>
          <w:tcPr>
            <w:tcW w:w="7133"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4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34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3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3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4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47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7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7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7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3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24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7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7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74"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74" w:type="dxa"/>
            <w:gridSpan w:val="8"/>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说明：我</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年度收、支总计均为762.07万元。与上年度相比，收、支总计各减少127.43万元，下降14.33%。主要原因是</w:t>
      </w:r>
      <w:r>
        <w:rPr>
          <w:rFonts w:hint="eastAsia" w:ascii="仿宋_GB2312" w:hAnsi="仿宋_GB2312" w:eastAsia="仿宋_GB2312" w:cs="仿宋_GB2312"/>
          <w:sz w:val="32"/>
          <w:szCs w:val="32"/>
          <w:highlight w:val="none"/>
          <w:lang w:eastAsia="zh-CN"/>
        </w:rPr>
        <w:t>基本支出和项目支出</w:t>
      </w: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年度收入合计556.48万元，其中：财政拨款收入556.48万元，占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年度支出合计647.44万元，其中：基本支出622.09万元，占96.08%；项目支出25.35万元，占3.92%；上缴上级支出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年度财政拨款收、支总计均为762.07万元。与上年度相比，财政拨款收、支总计各减少127.43万元，下降14.33%。主要原因是</w:t>
      </w:r>
      <w:r>
        <w:rPr>
          <w:rFonts w:hint="eastAsia" w:ascii="仿宋_GB2312" w:hAnsi="仿宋_GB2312" w:eastAsia="仿宋_GB2312" w:cs="仿宋_GB2312"/>
          <w:sz w:val="32"/>
          <w:szCs w:val="32"/>
          <w:highlight w:val="none"/>
          <w:lang w:eastAsia="zh-CN"/>
        </w:rPr>
        <w:t>基本支出和项目支出</w:t>
      </w: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年度一般公共预算财政拨款支出647.44万元，占支出合计的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%。与上年度相比，一般公共预算财政拨款支出减少38.03万元，下降5.55%。主要原因是</w:t>
      </w:r>
      <w:r>
        <w:rPr>
          <w:rFonts w:hint="eastAsia" w:ascii="仿宋_GB2312" w:hAnsi="仿宋_GB2312" w:eastAsia="仿宋_GB2312" w:cs="仿宋_GB2312"/>
          <w:sz w:val="32"/>
          <w:szCs w:val="32"/>
          <w:highlight w:val="none"/>
          <w:lang w:val="en-US" w:eastAsia="zh-CN"/>
        </w:rPr>
        <w:t>2021年度因人口普查工作</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年度一般公共预算财政拨款支出647.44万元，主要用于以下方面：一般公共服务（类）支出520.47万元，占80.39%；社会保障和就业（类）支出100.75万元，占15.56%；卫生健康（类）支出26.22万元，占4.05%。</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预算为597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33 万元，支出决算为647.44万元，完成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预算的108.39%。其中：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1．一般公共服务（类）统计信息事务（款）行政运行（项）。</w:t>
      </w:r>
      <w:r>
        <w:rPr>
          <w:rFonts w:hint="eastAsia" w:ascii="仿宋_GB2312" w:hAnsi="仿宋_GB2312" w:eastAsia="仿宋_GB2312" w:cs="仿宋_GB2312"/>
          <w:sz w:val="32"/>
          <w:szCs w:val="32"/>
        </w:rPr>
        <w:t>年初预算为470.30 万元，支出决算为492.66万元，完成年初预算的104.75%。决算数与年初预算数存在差异的主要原因是</w:t>
      </w:r>
      <w:r>
        <w:rPr>
          <w:rFonts w:hint="eastAsia" w:ascii="仿宋_GB2312" w:hAnsi="仿宋_GB2312" w:eastAsia="仿宋_GB2312" w:cs="仿宋_GB2312"/>
          <w:sz w:val="32"/>
          <w:szCs w:val="32"/>
          <w:highlight w:val="none"/>
          <w:lang w:eastAsia="zh-CN"/>
        </w:rPr>
        <w:t>工资晋级晋档导致</w:t>
      </w: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．一般公共服务（类）统计信息事务（款）专项普查活动（项）。</w:t>
      </w:r>
      <w:r>
        <w:rPr>
          <w:rFonts w:hint="eastAsia" w:ascii="仿宋_GB2312" w:hAnsi="仿宋_GB2312" w:eastAsia="仿宋_GB2312" w:cs="仿宋_GB2312"/>
          <w:sz w:val="32"/>
          <w:szCs w:val="32"/>
        </w:rPr>
        <w:t>年初预算为0.00万元，支出决算为3.31万元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使用结转和结余资金，</w:t>
      </w:r>
      <w:r>
        <w:rPr>
          <w:rFonts w:hint="eastAsia" w:ascii="仿宋_GB2312" w:hAnsi="仿宋_GB2312" w:eastAsia="仿宋_GB2312" w:cs="仿宋_GB2312"/>
          <w:sz w:val="32"/>
          <w:szCs w:val="32"/>
        </w:rPr>
        <w:t>2020年度开展全国第七次人口普查，部分工作尚未结束。</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．一般公共服务（类）统计信息事务（款）其他统计信息事务支出（项）。</w:t>
      </w:r>
      <w:r>
        <w:rPr>
          <w:rFonts w:hint="eastAsia" w:ascii="仿宋_GB2312" w:hAnsi="仿宋_GB2312" w:eastAsia="仿宋_GB2312" w:cs="仿宋_GB2312"/>
          <w:sz w:val="32"/>
          <w:szCs w:val="32"/>
        </w:rPr>
        <w:t>年初预算为0.00万元，支出决算为22.05万元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使用结转和结余资金，</w:t>
      </w:r>
      <w:r>
        <w:rPr>
          <w:rFonts w:hint="eastAsia" w:ascii="仿宋_GB2312" w:hAnsi="仿宋_GB2312" w:eastAsia="仿宋_GB2312" w:cs="仿宋_GB2312"/>
          <w:sz w:val="32"/>
          <w:szCs w:val="32"/>
        </w:rPr>
        <w:t>2020年度开展全国第七次人口普查，部分工作尚未结束。</w:t>
      </w:r>
    </w:p>
    <w:p>
      <w:pPr>
        <w:widowControl/>
        <w:spacing w:line="59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．一般公共服务（类）群众团体事务（款）工会事务（项）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年初预算为2.46万元，支出决算为2.46万元，完成年初预算的100%。决算数与年初预算数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pPr>
        <w:widowControl/>
        <w:spacing w:line="590" w:lineRule="exact"/>
        <w:ind w:firstLine="642" w:firstLineChars="200"/>
        <w:rPr>
          <w:rFonts w:hint="eastAsia" w:ascii="仿宋_GB2312" w:hAnsi="宋体" w:eastAsia="仿宋_GB2312" w:cs="Courier New"/>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社会保障和就业（类）行政事业单位养老支出（款）行政单位离退休（项）。</w:t>
      </w:r>
      <w:r>
        <w:rPr>
          <w:rFonts w:hint="eastAsia" w:ascii="仿宋_GB2312" w:hAnsi="宋体" w:eastAsia="仿宋_GB2312" w:cs="Courier New"/>
          <w:sz w:val="32"/>
          <w:szCs w:val="32"/>
        </w:rPr>
        <w:t>年初预算为64.39万元，支出决算为73.04万元，完成年初预算的113.43%。决算数与年初预算数存在差异的主要原因是</w:t>
      </w:r>
      <w:r>
        <w:rPr>
          <w:rFonts w:hint="eastAsia" w:ascii="仿宋_GB2312" w:hAnsi="仿宋_GB2312" w:eastAsia="仿宋_GB2312" w:cs="仿宋_GB2312"/>
          <w:sz w:val="32"/>
          <w:szCs w:val="32"/>
          <w:highlight w:val="none"/>
          <w:lang w:eastAsia="zh-CN"/>
        </w:rPr>
        <w:t>工资晋级晋档导致</w:t>
      </w: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eastAsia="zh-CN"/>
        </w:rPr>
        <w:t>调整</w:t>
      </w:r>
      <w:r>
        <w:rPr>
          <w:rFonts w:hint="eastAsia" w:ascii="仿宋_GB2312" w:hAnsi="宋体" w:eastAsia="仿宋_GB2312" w:cs="Courier New"/>
          <w:sz w:val="32"/>
          <w:szCs w:val="32"/>
        </w:rPr>
        <w:t>。</w:t>
      </w:r>
    </w:p>
    <w:p>
      <w:pPr>
        <w:widowControl/>
        <w:spacing w:line="590" w:lineRule="exact"/>
        <w:ind w:firstLine="642" w:firstLineChars="200"/>
        <w:rPr>
          <w:rFonts w:hint="eastAsia" w:ascii="仿宋_GB2312" w:hAnsi="宋体" w:eastAsia="仿宋_GB2312" w:cs="Courier New"/>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社会保障和就业（类）行政事业单位养老支出（款）机关事业单位基本养老保险缴费支出（项）。</w:t>
      </w:r>
      <w:r>
        <w:rPr>
          <w:rFonts w:hint="eastAsia" w:ascii="仿宋_GB2312" w:hAnsi="宋体" w:eastAsia="仿宋_GB2312" w:cs="Courier New"/>
          <w:sz w:val="32"/>
          <w:szCs w:val="32"/>
        </w:rPr>
        <w:t>年初预算为29.86万元，支出决算为27.71万元，</w:t>
      </w:r>
      <w:r>
        <w:rPr>
          <w:rFonts w:hint="eastAsia" w:ascii="仿宋_GB2312" w:hAnsi="仿宋_GB2312" w:eastAsia="仿宋_GB2312" w:cs="仿宋_GB2312"/>
          <w:sz w:val="32"/>
          <w:szCs w:val="32"/>
        </w:rPr>
        <w:t>完成年初预算的92.80%。决算数与年初预算数存在差异的主要原因是人员经费调整。</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卫生健康支出（类）行政事业单位医疗（款）行政单位医疗（项）。</w:t>
      </w:r>
      <w:r>
        <w:rPr>
          <w:rFonts w:hint="eastAsia" w:ascii="仿宋_GB2312" w:hAnsi="宋体" w:eastAsia="仿宋_GB2312" w:cs="Courier New"/>
          <w:sz w:val="32"/>
          <w:szCs w:val="32"/>
        </w:rPr>
        <w:t>年初预算为15.53 万元，支出决算为13.31万元，</w:t>
      </w:r>
      <w:r>
        <w:rPr>
          <w:rFonts w:hint="eastAsia" w:ascii="仿宋_GB2312" w:hAnsi="仿宋_GB2312" w:eastAsia="仿宋_GB2312" w:cs="仿宋_GB2312"/>
          <w:sz w:val="32"/>
          <w:szCs w:val="32"/>
        </w:rPr>
        <w:t>完成年初预算的85.71%。决算数与年初预算数存在差异的主要原因是人员经费调整。</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宋体" w:eastAsia="仿宋_GB2312" w:cs="Courier New"/>
          <w:b/>
          <w:bCs/>
          <w:sz w:val="32"/>
          <w:szCs w:val="32"/>
        </w:rPr>
        <w:t>卫生健康支出（类）行政事业单位医疗（款）公务员医疗补助（项）。</w:t>
      </w:r>
      <w:r>
        <w:rPr>
          <w:rFonts w:hint="eastAsia" w:ascii="仿宋_GB2312" w:hAnsi="宋体" w:eastAsia="仿宋_GB2312" w:cs="Courier New"/>
          <w:sz w:val="32"/>
          <w:szCs w:val="32"/>
        </w:rPr>
        <w:t>年初预算为14.79 万元，支出决算为12.91万元，完成年初预算的87.29%。决算数与年初预算数存在差异的主要原因是人员经费调整。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年度一般公共预算财政拨款基本支出622.09万元。其中：人员经费546.12万元，主要包括：主要包括：基本工资、津贴补贴、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公用经费152.51万元，主要包括：办公费、邮电费、差旅费、会议费、培训费、公务接待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年度“三公”经费财政拨款支出预算为8.35万元，支出决算为3.58万元，完成预算的</w:t>
      </w:r>
      <w:r>
        <w:rPr>
          <w:rFonts w:hint="eastAsia" w:ascii="仿宋_GB2312" w:hAnsi="仿宋_GB2312" w:eastAsia="仿宋_GB2312" w:cs="仿宋_GB2312"/>
          <w:sz w:val="32"/>
          <w:szCs w:val="32"/>
        </w:rPr>
        <w:t>42.87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万元；公务用车购置及运行费支出决算3.40万元，完成预算的85%，占94.97%；公务接待费支出决算0.18万元，完成预算的4.14%，占5.03%。具体情况如下：</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预算为4.00万元，支出决算为3.40万元，完成预算的85%。决算数与预算数存在差异的主要原因是</w:t>
      </w:r>
      <w:r>
        <w:rPr>
          <w:rFonts w:hint="eastAsia" w:ascii="仿宋_GB2312" w:eastAsia="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rPr>
        <w:t>3.40万元。主要用于</w:t>
      </w:r>
      <w:r>
        <w:rPr>
          <w:rFonts w:hint="eastAsia" w:ascii="仿宋_GB2312" w:eastAsia="仿宋_GB2312"/>
          <w:sz w:val="32"/>
          <w:szCs w:val="32"/>
        </w:rPr>
        <w:t>单位公务用车燃料费、维修费、过路过桥费、保险费等支出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预算为4.35万元，支出决算为0.18万元，完成预算的4.14%。决算数与预算数存在差异的主要原因是</w:t>
      </w:r>
      <w:r>
        <w:rPr>
          <w:rFonts w:hint="eastAsia" w:ascii="仿宋_GB2312" w:eastAsia="仿宋_GB2312"/>
          <w:sz w:val="32"/>
          <w:szCs w:val="32"/>
        </w:rPr>
        <w:t>认真贯彻落实中央八项规定的精神，厉行节约、反对铺张浪费，杜绝违反党风廉政建设的有关规定，进一步规范“三公”经费管理，严格控制“三公”经费支出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rPr>
        <w:t>0.18万元。主要用于</w:t>
      </w:r>
      <w:r>
        <w:rPr>
          <w:rFonts w:hint="eastAsia" w:ascii="仿宋_GB2312" w:hAnsi="仿宋_GB2312" w:eastAsia="仿宋_GB2312" w:cs="仿宋_GB2312"/>
          <w:sz w:val="32"/>
          <w:szCs w:val="32"/>
        </w:rPr>
        <w:t>日常公务接待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收入，也没有使用</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预算为75.97万元，支出决算为75.97万元，完成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rPr>
        <w:t>局党组高度重视绩效管理工作，专门成立了局预算绩效管理工作领导小组，提出绩效管理工作总体要求，对评价依据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评价目的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考评对象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方法步骤</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工作进度做出具体规定。年初开展绩效目标申报，确定年度目标，年中实施绩效监控，对预算支出情况进行分析，绩效目标基本实现。</w:t>
      </w:r>
    </w:p>
    <w:p>
      <w:pPr>
        <w:keepNext w:val="0"/>
        <w:keepLines w:val="0"/>
        <w:pageBreakBefore w:val="0"/>
        <w:widowControl/>
        <w:kinsoku/>
        <w:wordWrap/>
        <w:overflowPunct/>
        <w:topLinePunct w:val="0"/>
        <w:autoSpaceDE/>
        <w:autoSpaceDN/>
        <w:bidi w:val="0"/>
        <w:adjustRightInd/>
        <w:snapToGrid/>
        <w:spacing w:line="590" w:lineRule="exact"/>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通过对设定各项指标评价，分析项目绩效完成率，能够完成绩效目标任务</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。二是项目绩效自评情况。我单位共有1个项目批复了绩效目标，项目金额25.35万元。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mFhYmMzM2FjZWVmZmMyYWZmNWYwMDI1MmQ0OWYifQ=="/>
  </w:docVars>
  <w:rsids>
    <w:rsidRoot w:val="00172A27"/>
    <w:rsid w:val="01BDE559"/>
    <w:rsid w:val="112219CB"/>
    <w:rsid w:val="1FFA6903"/>
    <w:rsid w:val="2DBF8AEF"/>
    <w:rsid w:val="2EEFF9DF"/>
    <w:rsid w:val="3A9F18DE"/>
    <w:rsid w:val="3BD330F4"/>
    <w:rsid w:val="4D7F779C"/>
    <w:rsid w:val="4EFFA026"/>
    <w:rsid w:val="4F57369F"/>
    <w:rsid w:val="53726D4B"/>
    <w:rsid w:val="5FBF0BC6"/>
    <w:rsid w:val="5FDE620B"/>
    <w:rsid w:val="6DA05C34"/>
    <w:rsid w:val="6FDF889E"/>
    <w:rsid w:val="72FED95A"/>
    <w:rsid w:val="733FE22B"/>
    <w:rsid w:val="76A87AE7"/>
    <w:rsid w:val="77DDC07E"/>
    <w:rsid w:val="77E27285"/>
    <w:rsid w:val="7B57B8A1"/>
    <w:rsid w:val="7F37AED9"/>
    <w:rsid w:val="7F3A8579"/>
    <w:rsid w:val="7F9929E1"/>
    <w:rsid w:val="7FEE8E19"/>
    <w:rsid w:val="7FFB0B62"/>
    <w:rsid w:val="7FFFFBCD"/>
    <w:rsid w:val="9F9F3C5C"/>
    <w:rsid w:val="ABEB3672"/>
    <w:rsid w:val="AE67FDAE"/>
    <w:rsid w:val="AF8DC1BF"/>
    <w:rsid w:val="BDDE3AEE"/>
    <w:rsid w:val="BEBDB54A"/>
    <w:rsid w:val="BFFBF283"/>
    <w:rsid w:val="D5BED7E9"/>
    <w:rsid w:val="DBFF35A5"/>
    <w:rsid w:val="DEFF3C4E"/>
    <w:rsid w:val="DFB509A7"/>
    <w:rsid w:val="DFE32EB2"/>
    <w:rsid w:val="DFFF4C95"/>
    <w:rsid w:val="EFDE2FAF"/>
    <w:rsid w:val="F3FC65D2"/>
    <w:rsid w:val="F7FF0960"/>
    <w:rsid w:val="FAF78B6C"/>
    <w:rsid w:val="FAFFA2B7"/>
    <w:rsid w:val="FB3DF875"/>
    <w:rsid w:val="FBFF0878"/>
    <w:rsid w:val="FBFFB2E9"/>
    <w:rsid w:val="FD87C943"/>
    <w:rsid w:val="FE7F7928"/>
    <w:rsid w:val="FFAFA2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Char Char"/>
    <w:link w:val="3"/>
    <w:qFormat/>
    <w:uiPriority w:val="99"/>
    <w:rPr>
      <w:kern w:val="2"/>
      <w:sz w:val="18"/>
      <w:szCs w:val="18"/>
    </w:rPr>
  </w:style>
  <w:style w:type="character" w:customStyle="1" w:styleId="10">
    <w:name w:val="批注框文本 Char Char Char"/>
    <w:link w:val="2"/>
    <w:qFormat/>
    <w:uiPriority w:val="99"/>
    <w:rPr>
      <w:kern w:val="2"/>
      <w:sz w:val="18"/>
      <w:szCs w:val="18"/>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页眉 Char Char Char"/>
    <w:link w:val="4"/>
    <w:qFormat/>
    <w:uiPriority w:val="99"/>
    <w:rPr>
      <w:kern w:val="2"/>
      <w:sz w:val="18"/>
      <w:szCs w:val="18"/>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8503</Words>
  <Characters>10318</Characters>
  <Lines>60</Lines>
  <Paragraphs>16</Paragraphs>
  <TotalTime>257</TotalTime>
  <ScaleCrop>false</ScaleCrop>
  <LinksUpToDate>false</LinksUpToDate>
  <CharactersWithSpaces>10546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2007-12-03T11:41:00Z</dcterms:created>
  <dc:creator>管理者</dc:creator>
  <cp:lastModifiedBy>huanghe</cp:lastModifiedBy>
  <cp:lastPrinted>2023-02-20T16:51:00Z</cp:lastPrinted>
  <dcterms:modified xsi:type="dcterms:W3CDTF">2023-05-22T09:26:08Z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57387C469B194A649A36D7EDD6AAEEA9</vt:lpwstr>
  </property>
</Properties>
</file>