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许昌市统计局（服务业统计中心）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许昌市统计局（服务业统计</w:t>
      </w:r>
      <w:r>
        <w:rPr>
          <w:rFonts w:hint="eastAsia" w:ascii="黑体" w:hAnsi="黑体" w:eastAsia="黑体" w:cs="黑体"/>
          <w:sz w:val="32"/>
          <w:szCs w:val="32"/>
          <w:highlight w:val="none"/>
          <w:lang w:eastAsia="zh-CN"/>
        </w:rPr>
        <w:t>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许昌市统计局（服务业统计中心）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sz w:val="32"/>
          <w:szCs w:val="32"/>
        </w:rPr>
      </w:pPr>
      <w:r>
        <w:rPr>
          <w:rFonts w:hint="eastAsia" w:ascii="仿宋_GB2312" w:eastAsia="仿宋_GB2312"/>
          <w:sz w:val="32"/>
          <w:szCs w:val="32"/>
          <w:lang w:val="en-US" w:eastAsia="zh-CN"/>
        </w:rPr>
        <w:t>许昌市统计局（服务业统计中心）</w:t>
      </w:r>
      <w:r>
        <w:rPr>
          <w:rFonts w:hint="eastAsia" w:ascii="仿宋_GB2312" w:eastAsia="仿宋_GB2312"/>
          <w:sz w:val="32"/>
          <w:szCs w:val="32"/>
        </w:rPr>
        <w:t>主要职责是：</w:t>
      </w:r>
      <w:r>
        <w:rPr>
          <w:rFonts w:hint="eastAsia" w:ascii="仿宋_GB2312" w:eastAsia="仿宋_GB2312"/>
          <w:sz w:val="32"/>
          <w:szCs w:val="32"/>
          <w:lang w:val="en-US" w:eastAsia="zh-CN"/>
        </w:rPr>
        <w:t>负责全市服务业统计的组织实施、协调和管理等相关工作。</w:t>
      </w:r>
    </w:p>
    <w:p>
      <w:pPr>
        <w:spacing w:line="600" w:lineRule="exact"/>
        <w:ind w:firstLine="640" w:firstLineChars="200"/>
        <w:rPr>
          <w:rFonts w:hint="eastAsia" w:ascii="仿宋_GB2312" w:hAnsi="宋体" w:eastAsia="仿宋_GB2312"/>
          <w:sz w:val="32"/>
          <w:szCs w:val="32"/>
          <w:lang w:eastAsia="zh-CN"/>
        </w:rPr>
      </w:pPr>
      <w:r>
        <w:rPr>
          <w:rFonts w:hint="eastAsia" w:ascii="仿宋_GB2312" w:eastAsia="仿宋_GB2312"/>
          <w:sz w:val="32"/>
          <w:szCs w:val="32"/>
          <w:lang w:val="en-US" w:eastAsia="zh-CN"/>
        </w:rPr>
        <w:t>许昌市统计局（服务业统计中心）贯彻执行国家、省、市关于统计工作的方针政策和法律、法规、规章以及统计制度、统计标准，负责全市服务业统计的组织实施、协调和管理等相关工作。</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eastAsia="仿宋_GB2312"/>
          <w:sz w:val="32"/>
          <w:szCs w:val="32"/>
          <w:lang w:val="en-US" w:eastAsia="zh-CN"/>
        </w:rPr>
        <w:t>许昌市统计局（服务业统计中心）</w:t>
      </w:r>
      <w:r>
        <w:rPr>
          <w:rFonts w:hint="eastAsia" w:ascii="仿宋_GB2312" w:hAnsi="仿宋_GB2312" w:eastAsia="仿宋_GB2312" w:cs="仿宋_GB2312"/>
          <w:color w:val="auto"/>
          <w:kern w:val="0"/>
          <w:sz w:val="32"/>
          <w:szCs w:val="32"/>
          <w:highlight w:val="none"/>
          <w:lang w:val="en-US" w:eastAsia="zh-CN"/>
        </w:rPr>
        <w:t>内设机构1个，包括办公室</w:t>
      </w:r>
      <w:r>
        <w:rPr>
          <w:rFonts w:hint="eastAsia" w:ascii="仿宋_GB2312" w:hAnsi="仿宋_GB2312" w:eastAsia="仿宋_GB2312" w:cs="仿宋_GB2312"/>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Calibri" w:eastAsia="仿宋_GB2312" w:cs="Times New Roman"/>
          <w:sz w:val="32"/>
          <w:szCs w:val="32"/>
          <w:lang w:val="en-US" w:eastAsia="zh-CN"/>
        </w:rPr>
        <w:t>许昌市统计局（</w:t>
      </w:r>
      <w:r>
        <w:rPr>
          <w:rFonts w:hint="eastAsia" w:ascii="仿宋_GB2312" w:hAnsi="仿宋_GB2312" w:eastAsia="仿宋_GB2312" w:cs="仿宋_GB2312"/>
          <w:sz w:val="32"/>
          <w:szCs w:val="32"/>
          <w:highlight w:val="none"/>
        </w:rPr>
        <w:t>服务业统计</w:t>
      </w:r>
      <w:r>
        <w:rPr>
          <w:rFonts w:hint="eastAsia" w:ascii="仿宋_GB2312" w:hAnsi="仿宋_GB2312" w:eastAsia="仿宋_GB2312" w:cs="仿宋_GB2312"/>
          <w:sz w:val="32"/>
          <w:szCs w:val="32"/>
          <w:highlight w:val="none"/>
          <w:lang w:eastAsia="zh-CN"/>
        </w:rPr>
        <w:t>中心</w:t>
      </w:r>
      <w:r>
        <w:rPr>
          <w:rFonts w:hint="eastAsia" w:ascii="仿宋_GB2312" w:hAnsi="Calibri" w:eastAsia="仿宋_GB2312" w:cs="Times New Roman"/>
          <w:sz w:val="32"/>
          <w:szCs w:val="32"/>
          <w:lang w:val="en-US" w:eastAsia="zh-CN"/>
        </w:rPr>
        <w:t>）单位</w:t>
      </w:r>
      <w:r>
        <w:rPr>
          <w:rFonts w:hint="eastAsia" w:ascii="仿宋_GB2312" w:hAnsi="仿宋_GB2312" w:eastAsia="仿宋_GB2312" w:cs="仿宋_GB2312"/>
          <w:color w:val="auto"/>
          <w:kern w:val="0"/>
          <w:sz w:val="32"/>
          <w:szCs w:val="32"/>
          <w:highlight w:val="none"/>
          <w:lang w:val="en-US" w:eastAsia="zh-CN"/>
        </w:rPr>
        <w:t>决算包括：本级决算（1个）。</w:t>
      </w:r>
    </w:p>
    <w:p>
      <w:pPr>
        <w:widowControl/>
        <w:wordWrap/>
        <w:adjustRightInd/>
        <w:snapToGrid/>
        <w:spacing w:line="590" w:lineRule="exact"/>
        <w:ind w:left="0" w:leftChars="0" w:right="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wordWrap/>
        <w:adjustRightInd/>
        <w:snapToGrid/>
        <w:spacing w:line="590" w:lineRule="exact"/>
        <w:ind w:left="0" w:leftChars="0" w:right="0" w:firstLine="640" w:firstLineChars="200"/>
        <w:jc w:val="left"/>
        <w:textAlignment w:val="auto"/>
        <w:rPr>
          <w:rFonts w:hint="eastAsia" w:ascii="黑体" w:hAnsi="宋体" w:eastAsia="黑体" w:cs="宋体"/>
          <w:color w:val="auto"/>
          <w:kern w:val="0"/>
          <w:sz w:val="28"/>
          <w:szCs w:val="28"/>
          <w:highlight w:val="none"/>
          <w:lang w:val="en-US" w:eastAsia="zh-CN"/>
        </w:rPr>
      </w:pPr>
      <w:r>
        <w:rPr>
          <w:rFonts w:hint="eastAsia" w:ascii="仿宋_GB2312" w:hAnsi="Calibri" w:eastAsia="仿宋_GB2312" w:cs="Times New Roman"/>
          <w:color w:val="auto"/>
          <w:sz w:val="32"/>
          <w:szCs w:val="32"/>
          <w:lang w:val="en-US" w:eastAsia="zh-CN"/>
        </w:rPr>
        <w:t>1.许昌市统计局</w:t>
      </w:r>
      <w:r>
        <w:rPr>
          <w:rFonts w:hint="eastAsia" w:ascii="仿宋_GB2312" w:eastAsia="仿宋_GB2312"/>
          <w:color w:val="auto"/>
          <w:sz w:val="32"/>
          <w:szCs w:val="32"/>
          <w:lang w:val="en-US" w:eastAsia="zh-CN"/>
        </w:rPr>
        <w:t>（服务业统计中心）</w:t>
      </w:r>
    </w:p>
    <w:p>
      <w:pPr>
        <w:rPr>
          <w:rFonts w:hint="eastAsia" w:eastAsia="宋体"/>
          <w:sz w:val="32"/>
          <w:szCs w:val="32"/>
          <w:lang w:eastAsia="zh-CN"/>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266"/>
        <w:gridCol w:w="353"/>
        <w:gridCol w:w="3266"/>
        <w:gridCol w:w="3192"/>
        <w:gridCol w:w="646"/>
        <w:gridCol w:w="3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6"/>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266" w:type="dxa"/>
            <w:vAlign w:val="bottom"/>
          </w:tcPr>
          <w:p>
            <w:pPr>
              <w:autoSpaceDN w:val="0"/>
              <w:jc w:val="left"/>
              <w:textAlignment w:val="bottom"/>
              <w:rPr>
                <w:rFonts w:hint="default" w:ascii="Arial" w:hAnsi="宋体"/>
                <w:b w:val="0"/>
                <w:i w:val="0"/>
                <w:color w:val="000000"/>
                <w:sz w:val="20"/>
                <w:u w:val="none"/>
              </w:rPr>
            </w:pPr>
          </w:p>
        </w:tc>
        <w:tc>
          <w:tcPr>
            <w:tcW w:w="353" w:type="dxa"/>
            <w:vAlign w:val="bottom"/>
          </w:tcPr>
          <w:p>
            <w:pPr>
              <w:autoSpaceDN w:val="0"/>
              <w:jc w:val="left"/>
              <w:textAlignment w:val="bottom"/>
              <w:rPr>
                <w:rFonts w:hint="default" w:ascii="Arial" w:hAnsi="宋体"/>
                <w:b w:val="0"/>
                <w:i w:val="0"/>
                <w:color w:val="000000"/>
                <w:sz w:val="20"/>
                <w:u w:val="none"/>
              </w:rPr>
            </w:pPr>
          </w:p>
        </w:tc>
        <w:tc>
          <w:tcPr>
            <w:tcW w:w="3266" w:type="dxa"/>
            <w:vAlign w:val="bottom"/>
          </w:tcPr>
          <w:p>
            <w:pPr>
              <w:autoSpaceDN w:val="0"/>
              <w:jc w:val="left"/>
              <w:textAlignment w:val="bottom"/>
              <w:rPr>
                <w:rFonts w:hint="default" w:ascii="Arial" w:hAnsi="宋体"/>
                <w:b w:val="0"/>
                <w:i w:val="0"/>
                <w:color w:val="000000"/>
                <w:sz w:val="20"/>
                <w:u w:val="none"/>
              </w:rPr>
            </w:pPr>
          </w:p>
        </w:tc>
        <w:tc>
          <w:tcPr>
            <w:tcW w:w="3192" w:type="dxa"/>
            <w:vAlign w:val="bottom"/>
          </w:tcPr>
          <w:p>
            <w:pPr>
              <w:autoSpaceDN w:val="0"/>
              <w:jc w:val="left"/>
              <w:textAlignment w:val="bottom"/>
              <w:rPr>
                <w:rFonts w:hint="default" w:ascii="Arial" w:hAnsi="宋体"/>
                <w:b w:val="0"/>
                <w:i w:val="0"/>
                <w:color w:val="000000"/>
                <w:sz w:val="20"/>
                <w:u w:val="none"/>
              </w:rPr>
            </w:pPr>
          </w:p>
        </w:tc>
        <w:tc>
          <w:tcPr>
            <w:tcW w:w="3911"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6885"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：许昌市统计局（服务业统计办公室）</w:t>
            </w:r>
          </w:p>
        </w:tc>
        <w:tc>
          <w:tcPr>
            <w:tcW w:w="3192" w:type="dxa"/>
            <w:vAlign w:val="bottom"/>
          </w:tcPr>
          <w:p>
            <w:pPr>
              <w:autoSpaceDN w:val="0"/>
              <w:jc w:val="left"/>
              <w:textAlignment w:val="bottom"/>
              <w:rPr>
                <w:rFonts w:hint="default" w:ascii="Arial" w:hAnsi="宋体"/>
                <w:b w:val="0"/>
                <w:i w:val="0"/>
                <w:color w:val="000000"/>
                <w:sz w:val="20"/>
                <w:u w:val="none"/>
              </w:rPr>
            </w:pPr>
          </w:p>
        </w:tc>
        <w:tc>
          <w:tcPr>
            <w:tcW w:w="3911"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885"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7103"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26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19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2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26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19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26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59.92</w:t>
            </w: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0"/>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59.92</w:t>
            </w:r>
          </w:p>
        </w:tc>
        <w:tc>
          <w:tcPr>
            <w:tcW w:w="319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15.12</w:t>
            </w: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5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319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326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266"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353"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326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75.04</w:t>
            </w:r>
          </w:p>
        </w:tc>
        <w:tc>
          <w:tcPr>
            <w:tcW w:w="319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64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32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88"/>
        <w:gridCol w:w="1085"/>
        <w:gridCol w:w="1085"/>
        <w:gridCol w:w="3442"/>
        <w:gridCol w:w="1577"/>
        <w:gridCol w:w="1085"/>
        <w:gridCol w:w="1085"/>
        <w:gridCol w:w="1086"/>
        <w:gridCol w:w="1085"/>
        <w:gridCol w:w="1085"/>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88" w:type="dxa"/>
            <w:vAlign w:val="bottom"/>
          </w:tcPr>
          <w:p>
            <w:pPr>
              <w:autoSpaceDN w:val="0"/>
              <w:jc w:val="left"/>
              <w:textAlignment w:val="bottom"/>
              <w:rPr>
                <w:rFonts w:hint="default" w:ascii="Arial" w:hAnsi="宋体"/>
                <w:b w:val="0"/>
                <w:i w:val="0"/>
                <w:color w:val="000000"/>
                <w:sz w:val="20"/>
                <w:u w:val="none"/>
              </w:rPr>
            </w:pPr>
          </w:p>
        </w:tc>
        <w:tc>
          <w:tcPr>
            <w:tcW w:w="1085" w:type="dxa"/>
            <w:vAlign w:val="bottom"/>
          </w:tcPr>
          <w:p>
            <w:pPr>
              <w:autoSpaceDN w:val="0"/>
              <w:jc w:val="left"/>
              <w:textAlignment w:val="bottom"/>
              <w:rPr>
                <w:rFonts w:hint="default" w:ascii="Arial" w:hAnsi="宋体"/>
                <w:b w:val="0"/>
                <w:i w:val="0"/>
                <w:color w:val="000000"/>
                <w:sz w:val="20"/>
                <w:u w:val="none"/>
              </w:rPr>
            </w:pPr>
          </w:p>
        </w:tc>
        <w:tc>
          <w:tcPr>
            <w:tcW w:w="1085" w:type="dxa"/>
            <w:vAlign w:val="bottom"/>
          </w:tcPr>
          <w:p>
            <w:pPr>
              <w:autoSpaceDN w:val="0"/>
              <w:jc w:val="left"/>
              <w:textAlignment w:val="bottom"/>
              <w:rPr>
                <w:rFonts w:hint="default" w:ascii="Arial" w:hAnsi="宋体"/>
                <w:b w:val="0"/>
                <w:i w:val="0"/>
                <w:color w:val="000000"/>
                <w:sz w:val="20"/>
                <w:u w:val="none"/>
              </w:rPr>
            </w:pPr>
          </w:p>
        </w:tc>
        <w:tc>
          <w:tcPr>
            <w:tcW w:w="3442" w:type="dxa"/>
            <w:vAlign w:val="bottom"/>
          </w:tcPr>
          <w:p>
            <w:pPr>
              <w:autoSpaceDN w:val="0"/>
              <w:jc w:val="left"/>
              <w:textAlignment w:val="bottom"/>
              <w:rPr>
                <w:rFonts w:hint="default" w:ascii="Arial" w:hAnsi="宋体"/>
                <w:b w:val="0"/>
                <w:i w:val="0"/>
                <w:color w:val="000000"/>
                <w:sz w:val="20"/>
                <w:u w:val="none"/>
              </w:rPr>
            </w:pPr>
          </w:p>
        </w:tc>
        <w:tc>
          <w:tcPr>
            <w:tcW w:w="1577" w:type="dxa"/>
            <w:vAlign w:val="bottom"/>
          </w:tcPr>
          <w:p>
            <w:pPr>
              <w:autoSpaceDN w:val="0"/>
              <w:jc w:val="left"/>
              <w:textAlignment w:val="bottom"/>
              <w:rPr>
                <w:rFonts w:hint="default" w:ascii="Arial" w:hAnsi="宋体"/>
                <w:b w:val="0"/>
                <w:i w:val="0"/>
                <w:color w:val="000000"/>
                <w:sz w:val="20"/>
                <w:u w:val="none"/>
              </w:rPr>
            </w:pPr>
          </w:p>
        </w:tc>
        <w:tc>
          <w:tcPr>
            <w:tcW w:w="1085" w:type="dxa"/>
            <w:vAlign w:val="bottom"/>
          </w:tcPr>
          <w:p>
            <w:pPr>
              <w:autoSpaceDN w:val="0"/>
              <w:jc w:val="left"/>
              <w:textAlignment w:val="bottom"/>
              <w:rPr>
                <w:rFonts w:hint="default" w:ascii="Arial" w:hAnsi="宋体"/>
                <w:b w:val="0"/>
                <w:i w:val="0"/>
                <w:color w:val="000000"/>
                <w:sz w:val="20"/>
                <w:u w:val="none"/>
              </w:rPr>
            </w:pPr>
          </w:p>
        </w:tc>
        <w:tc>
          <w:tcPr>
            <w:tcW w:w="1085" w:type="dxa"/>
            <w:vAlign w:val="bottom"/>
          </w:tcPr>
          <w:p>
            <w:pPr>
              <w:autoSpaceDN w:val="0"/>
              <w:jc w:val="left"/>
              <w:textAlignment w:val="bottom"/>
              <w:rPr>
                <w:rFonts w:hint="default" w:ascii="Arial" w:hAnsi="宋体"/>
                <w:b w:val="0"/>
                <w:i w:val="0"/>
                <w:color w:val="000000"/>
                <w:sz w:val="20"/>
                <w:u w:val="none"/>
              </w:rPr>
            </w:pPr>
          </w:p>
        </w:tc>
        <w:tc>
          <w:tcPr>
            <w:tcW w:w="1086" w:type="dxa"/>
            <w:vAlign w:val="bottom"/>
          </w:tcPr>
          <w:p>
            <w:pPr>
              <w:autoSpaceDN w:val="0"/>
              <w:jc w:val="left"/>
              <w:textAlignment w:val="bottom"/>
              <w:rPr>
                <w:rFonts w:hint="default" w:ascii="Arial" w:hAnsi="宋体"/>
                <w:b w:val="0"/>
                <w:i w:val="0"/>
                <w:color w:val="000000"/>
                <w:sz w:val="20"/>
                <w:u w:val="none"/>
              </w:rPr>
            </w:pPr>
          </w:p>
        </w:tc>
        <w:tc>
          <w:tcPr>
            <w:tcW w:w="3255"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8562"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：许昌市统计局（服务业统计办公室）</w:t>
            </w:r>
          </w:p>
        </w:tc>
        <w:tc>
          <w:tcPr>
            <w:tcW w:w="1085" w:type="dxa"/>
            <w:vAlign w:val="bottom"/>
          </w:tcPr>
          <w:p>
            <w:pPr>
              <w:autoSpaceDN w:val="0"/>
              <w:jc w:val="left"/>
              <w:textAlignment w:val="bottom"/>
              <w:rPr>
                <w:rFonts w:hint="default" w:ascii="Arial" w:hAnsi="宋体"/>
                <w:b w:val="0"/>
                <w:i w:val="0"/>
                <w:color w:val="000000"/>
                <w:sz w:val="20"/>
                <w:u w:val="none"/>
              </w:rPr>
            </w:pPr>
          </w:p>
        </w:tc>
        <w:tc>
          <w:tcPr>
            <w:tcW w:w="1086" w:type="dxa"/>
            <w:vAlign w:val="bottom"/>
          </w:tcPr>
          <w:p>
            <w:pPr>
              <w:autoSpaceDN w:val="0"/>
              <w:jc w:val="left"/>
              <w:textAlignment w:val="bottom"/>
              <w:rPr>
                <w:rFonts w:hint="default" w:ascii="Arial" w:hAnsi="宋体"/>
                <w:b w:val="0"/>
                <w:i w:val="0"/>
                <w:color w:val="000000"/>
                <w:sz w:val="20"/>
                <w:u w:val="none"/>
              </w:rPr>
            </w:pPr>
          </w:p>
        </w:tc>
        <w:tc>
          <w:tcPr>
            <w:tcW w:w="3255"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900"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577"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本年收入合计</w:t>
            </w:r>
          </w:p>
        </w:tc>
        <w:tc>
          <w:tcPr>
            <w:tcW w:w="10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财政拨款收入</w:t>
            </w:r>
          </w:p>
        </w:tc>
        <w:tc>
          <w:tcPr>
            <w:tcW w:w="10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上级补助收入</w:t>
            </w:r>
          </w:p>
        </w:tc>
        <w:tc>
          <w:tcPr>
            <w:tcW w:w="1086"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事业收入</w:t>
            </w:r>
          </w:p>
        </w:tc>
        <w:tc>
          <w:tcPr>
            <w:tcW w:w="10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经营收入</w:t>
            </w:r>
          </w:p>
        </w:tc>
        <w:tc>
          <w:tcPr>
            <w:tcW w:w="10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附属单位上缴收入</w:t>
            </w:r>
          </w:p>
        </w:tc>
        <w:tc>
          <w:tcPr>
            <w:tcW w:w="10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442"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57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442" w:type="dxa"/>
            <w:vMerge w:val="continue"/>
            <w:tcBorders>
              <w:bottom w:val="single" w:color="000000" w:sz="4" w:space="0"/>
              <w:right w:val="single" w:color="000000" w:sz="4" w:space="0"/>
            </w:tcBorders>
            <w:vAlign w:val="center"/>
          </w:tcPr>
          <w:p>
            <w:pPr>
              <w:rPr>
                <w:rFonts w:hint="default" w:ascii="宋体" w:hAnsi="宋体"/>
                <w:sz w:val="24"/>
              </w:rPr>
            </w:pPr>
          </w:p>
        </w:tc>
        <w:tc>
          <w:tcPr>
            <w:tcW w:w="157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442" w:type="dxa"/>
            <w:vMerge w:val="continue"/>
            <w:tcBorders>
              <w:bottom w:val="single" w:color="000000" w:sz="4" w:space="0"/>
              <w:right w:val="single" w:color="000000" w:sz="4" w:space="0"/>
            </w:tcBorders>
            <w:vAlign w:val="center"/>
          </w:tcPr>
          <w:p>
            <w:pPr>
              <w:rPr>
                <w:rFonts w:hint="default" w:ascii="宋体" w:hAnsi="宋体"/>
                <w:sz w:val="24"/>
              </w:rPr>
            </w:pPr>
          </w:p>
        </w:tc>
        <w:tc>
          <w:tcPr>
            <w:tcW w:w="1577"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6"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90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57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0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0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08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0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0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0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900"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59.92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59.92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56.63</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56.63</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2010550</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56.32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2.17</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1.12</w:t>
            </w: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458"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442"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57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71"/>
        <w:gridCol w:w="1022"/>
        <w:gridCol w:w="1214"/>
        <w:gridCol w:w="4567"/>
        <w:gridCol w:w="1485"/>
        <w:gridCol w:w="1022"/>
        <w:gridCol w:w="1341"/>
        <w:gridCol w:w="1022"/>
        <w:gridCol w:w="1022"/>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71" w:type="dxa"/>
            <w:vAlign w:val="bottom"/>
          </w:tcPr>
          <w:p>
            <w:pPr>
              <w:autoSpaceDN w:val="0"/>
              <w:jc w:val="left"/>
              <w:textAlignment w:val="bottom"/>
              <w:rPr>
                <w:rFonts w:hint="default" w:ascii="Arial" w:hAnsi="宋体"/>
                <w:b w:val="0"/>
                <w:i w:val="0"/>
                <w:color w:val="000000"/>
                <w:sz w:val="20"/>
                <w:u w:val="none"/>
              </w:rPr>
            </w:pPr>
          </w:p>
        </w:tc>
        <w:tc>
          <w:tcPr>
            <w:tcW w:w="1022" w:type="dxa"/>
            <w:vAlign w:val="bottom"/>
          </w:tcPr>
          <w:p>
            <w:pPr>
              <w:autoSpaceDN w:val="0"/>
              <w:jc w:val="left"/>
              <w:textAlignment w:val="bottom"/>
              <w:rPr>
                <w:rFonts w:hint="default" w:ascii="Arial" w:hAnsi="宋体"/>
                <w:b w:val="0"/>
                <w:i w:val="0"/>
                <w:color w:val="000000"/>
                <w:sz w:val="20"/>
                <w:u w:val="none"/>
              </w:rPr>
            </w:pPr>
          </w:p>
        </w:tc>
        <w:tc>
          <w:tcPr>
            <w:tcW w:w="1214" w:type="dxa"/>
            <w:vAlign w:val="bottom"/>
          </w:tcPr>
          <w:p>
            <w:pPr>
              <w:autoSpaceDN w:val="0"/>
              <w:jc w:val="left"/>
              <w:textAlignment w:val="bottom"/>
              <w:rPr>
                <w:rFonts w:hint="default" w:ascii="Arial" w:hAnsi="宋体"/>
                <w:b w:val="0"/>
                <w:i w:val="0"/>
                <w:color w:val="000000"/>
                <w:sz w:val="20"/>
                <w:u w:val="none"/>
              </w:rPr>
            </w:pPr>
          </w:p>
        </w:tc>
        <w:tc>
          <w:tcPr>
            <w:tcW w:w="4567" w:type="dxa"/>
            <w:vAlign w:val="bottom"/>
          </w:tcPr>
          <w:p>
            <w:pPr>
              <w:autoSpaceDN w:val="0"/>
              <w:jc w:val="left"/>
              <w:textAlignment w:val="bottom"/>
              <w:rPr>
                <w:rFonts w:hint="default" w:ascii="Arial" w:hAnsi="宋体"/>
                <w:b w:val="0"/>
                <w:i w:val="0"/>
                <w:color w:val="000000"/>
                <w:sz w:val="20"/>
                <w:u w:val="none"/>
              </w:rPr>
            </w:pPr>
          </w:p>
        </w:tc>
        <w:tc>
          <w:tcPr>
            <w:tcW w:w="1485" w:type="dxa"/>
            <w:vAlign w:val="bottom"/>
          </w:tcPr>
          <w:p>
            <w:pPr>
              <w:autoSpaceDN w:val="0"/>
              <w:jc w:val="left"/>
              <w:textAlignment w:val="bottom"/>
              <w:rPr>
                <w:rFonts w:hint="default" w:ascii="Arial" w:hAnsi="宋体"/>
                <w:b w:val="0"/>
                <w:i w:val="0"/>
                <w:color w:val="000000"/>
                <w:sz w:val="20"/>
                <w:u w:val="none"/>
              </w:rPr>
            </w:pPr>
          </w:p>
        </w:tc>
        <w:tc>
          <w:tcPr>
            <w:tcW w:w="1022" w:type="dxa"/>
            <w:vAlign w:val="bottom"/>
          </w:tcPr>
          <w:p>
            <w:pPr>
              <w:autoSpaceDN w:val="0"/>
              <w:jc w:val="left"/>
              <w:textAlignment w:val="bottom"/>
              <w:rPr>
                <w:rFonts w:hint="default" w:ascii="Arial" w:hAnsi="宋体"/>
                <w:b w:val="0"/>
                <w:i w:val="0"/>
                <w:color w:val="000000"/>
                <w:sz w:val="20"/>
                <w:u w:val="none"/>
              </w:rPr>
            </w:pPr>
          </w:p>
        </w:tc>
        <w:tc>
          <w:tcPr>
            <w:tcW w:w="1341" w:type="dxa"/>
            <w:vAlign w:val="bottom"/>
          </w:tcPr>
          <w:p>
            <w:pPr>
              <w:autoSpaceDN w:val="0"/>
              <w:jc w:val="left"/>
              <w:textAlignment w:val="bottom"/>
              <w:rPr>
                <w:rFonts w:hint="default" w:ascii="Arial" w:hAnsi="宋体"/>
                <w:b w:val="0"/>
                <w:i w:val="0"/>
                <w:color w:val="000000"/>
                <w:sz w:val="20"/>
                <w:u w:val="none"/>
              </w:rPr>
            </w:pPr>
          </w:p>
        </w:tc>
        <w:tc>
          <w:tcPr>
            <w:tcW w:w="1022" w:type="dxa"/>
            <w:vAlign w:val="bottom"/>
          </w:tcPr>
          <w:p>
            <w:pPr>
              <w:autoSpaceDN w:val="0"/>
              <w:jc w:val="left"/>
              <w:textAlignment w:val="bottom"/>
              <w:rPr>
                <w:rFonts w:hint="default" w:ascii="Arial" w:hAnsi="宋体"/>
                <w:b w:val="0"/>
                <w:i w:val="0"/>
                <w:color w:val="000000"/>
                <w:sz w:val="20"/>
                <w:u w:val="none"/>
              </w:rPr>
            </w:pPr>
          </w:p>
        </w:tc>
        <w:tc>
          <w:tcPr>
            <w:tcW w:w="2044"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8559"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：许昌市统计局（服务业统计办公室）</w:t>
            </w:r>
          </w:p>
        </w:tc>
        <w:tc>
          <w:tcPr>
            <w:tcW w:w="1022" w:type="dxa"/>
            <w:vAlign w:val="bottom"/>
          </w:tcPr>
          <w:p>
            <w:pPr>
              <w:autoSpaceDN w:val="0"/>
              <w:jc w:val="left"/>
              <w:textAlignment w:val="bottom"/>
              <w:rPr>
                <w:rFonts w:hint="default" w:ascii="Arial" w:hAnsi="宋体"/>
                <w:b w:val="0"/>
                <w:i w:val="0"/>
                <w:color w:val="000000"/>
                <w:sz w:val="20"/>
                <w:u w:val="none"/>
              </w:rPr>
            </w:pPr>
          </w:p>
        </w:tc>
        <w:tc>
          <w:tcPr>
            <w:tcW w:w="1341" w:type="dxa"/>
            <w:vAlign w:val="bottom"/>
          </w:tcPr>
          <w:p>
            <w:pPr>
              <w:autoSpaceDN w:val="0"/>
              <w:jc w:val="left"/>
              <w:textAlignment w:val="bottom"/>
              <w:rPr>
                <w:rFonts w:hint="default" w:ascii="Arial" w:hAnsi="宋体"/>
                <w:b w:val="0"/>
                <w:i w:val="0"/>
                <w:color w:val="000000"/>
                <w:sz w:val="20"/>
                <w:u w:val="none"/>
              </w:rPr>
            </w:pPr>
          </w:p>
        </w:tc>
        <w:tc>
          <w:tcPr>
            <w:tcW w:w="1022" w:type="dxa"/>
            <w:vAlign w:val="bottom"/>
          </w:tcPr>
          <w:p>
            <w:pPr>
              <w:autoSpaceDN w:val="0"/>
              <w:jc w:val="left"/>
              <w:textAlignment w:val="bottom"/>
              <w:rPr>
                <w:rFonts w:hint="default" w:ascii="Arial" w:hAnsi="宋体"/>
                <w:b w:val="0"/>
                <w:i w:val="0"/>
                <w:color w:val="000000"/>
                <w:sz w:val="20"/>
                <w:u w:val="none"/>
              </w:rPr>
            </w:pPr>
          </w:p>
        </w:tc>
        <w:tc>
          <w:tcPr>
            <w:tcW w:w="2044"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074"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485"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本年支出合计</w:t>
            </w:r>
          </w:p>
        </w:tc>
        <w:tc>
          <w:tcPr>
            <w:tcW w:w="102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341"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02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上缴上级支出</w:t>
            </w:r>
          </w:p>
        </w:tc>
        <w:tc>
          <w:tcPr>
            <w:tcW w:w="102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经营支出</w:t>
            </w:r>
          </w:p>
        </w:tc>
        <w:tc>
          <w:tcPr>
            <w:tcW w:w="1022"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456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4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4567" w:type="dxa"/>
            <w:vMerge w:val="continue"/>
            <w:tcBorders>
              <w:bottom w:val="single" w:color="000000" w:sz="4" w:space="0"/>
              <w:right w:val="single" w:color="000000" w:sz="4" w:space="0"/>
            </w:tcBorders>
            <w:vAlign w:val="center"/>
          </w:tcPr>
          <w:p>
            <w:pPr>
              <w:rPr>
                <w:rFonts w:hint="default" w:ascii="宋体" w:hAnsi="宋体"/>
                <w:sz w:val="24"/>
              </w:rPr>
            </w:pP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4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4567" w:type="dxa"/>
            <w:vMerge w:val="continue"/>
            <w:tcBorders>
              <w:bottom w:val="single" w:color="000000" w:sz="4" w:space="0"/>
              <w:right w:val="single" w:color="000000" w:sz="4" w:space="0"/>
            </w:tcBorders>
            <w:vAlign w:val="center"/>
          </w:tcPr>
          <w:p>
            <w:pPr>
              <w:rPr>
                <w:rFonts w:hint="default" w:ascii="宋体" w:hAnsi="宋体"/>
                <w:sz w:val="24"/>
              </w:rPr>
            </w:pPr>
          </w:p>
        </w:tc>
        <w:tc>
          <w:tcPr>
            <w:tcW w:w="1485"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341"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022"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07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48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02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34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02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02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022"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07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74.39</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74.39</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69.20</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69.20</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68.89</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68.89</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2010550</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68.89</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68.89</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0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56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48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41"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2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239"/>
        <w:gridCol w:w="539"/>
        <w:gridCol w:w="2349"/>
        <w:gridCol w:w="2527"/>
        <w:gridCol w:w="539"/>
        <w:gridCol w:w="1397"/>
        <w:gridCol w:w="34"/>
        <w:gridCol w:w="1194"/>
        <w:gridCol w:w="864"/>
        <w:gridCol w:w="2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4001"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239" w:type="dxa"/>
            <w:vAlign w:val="bottom"/>
          </w:tcPr>
          <w:p>
            <w:pPr>
              <w:autoSpaceDN w:val="0"/>
              <w:jc w:val="left"/>
              <w:textAlignment w:val="bottom"/>
              <w:rPr>
                <w:rFonts w:hint="default" w:ascii="Arial" w:hAnsi="宋体"/>
                <w:b w:val="0"/>
                <w:i w:val="0"/>
                <w:color w:val="000000"/>
                <w:sz w:val="20"/>
                <w:u w:val="none"/>
              </w:rPr>
            </w:pPr>
          </w:p>
        </w:tc>
        <w:tc>
          <w:tcPr>
            <w:tcW w:w="539" w:type="dxa"/>
            <w:vAlign w:val="bottom"/>
          </w:tcPr>
          <w:p>
            <w:pPr>
              <w:autoSpaceDN w:val="0"/>
              <w:jc w:val="left"/>
              <w:textAlignment w:val="bottom"/>
              <w:rPr>
                <w:rFonts w:hint="default" w:ascii="Arial" w:hAnsi="宋体"/>
                <w:b w:val="0"/>
                <w:i w:val="0"/>
                <w:color w:val="000000"/>
                <w:sz w:val="20"/>
                <w:u w:val="none"/>
              </w:rPr>
            </w:pPr>
          </w:p>
        </w:tc>
        <w:tc>
          <w:tcPr>
            <w:tcW w:w="2349" w:type="dxa"/>
            <w:vAlign w:val="bottom"/>
          </w:tcPr>
          <w:p>
            <w:pPr>
              <w:autoSpaceDN w:val="0"/>
              <w:jc w:val="left"/>
              <w:textAlignment w:val="bottom"/>
              <w:rPr>
                <w:rFonts w:hint="default" w:ascii="Arial" w:hAnsi="宋体"/>
                <w:b w:val="0"/>
                <w:i w:val="0"/>
                <w:color w:val="000000"/>
                <w:sz w:val="20"/>
                <w:u w:val="none"/>
              </w:rPr>
            </w:pPr>
          </w:p>
        </w:tc>
        <w:tc>
          <w:tcPr>
            <w:tcW w:w="2527" w:type="dxa"/>
            <w:vAlign w:val="bottom"/>
          </w:tcPr>
          <w:p>
            <w:pPr>
              <w:autoSpaceDN w:val="0"/>
              <w:jc w:val="left"/>
              <w:textAlignment w:val="bottom"/>
              <w:rPr>
                <w:rFonts w:hint="default" w:ascii="Arial" w:hAnsi="宋体"/>
                <w:b w:val="0"/>
                <w:i w:val="0"/>
                <w:color w:val="000000"/>
                <w:sz w:val="20"/>
                <w:u w:val="none"/>
              </w:rPr>
            </w:pPr>
          </w:p>
        </w:tc>
        <w:tc>
          <w:tcPr>
            <w:tcW w:w="539" w:type="dxa"/>
            <w:vAlign w:val="bottom"/>
          </w:tcPr>
          <w:p>
            <w:pPr>
              <w:autoSpaceDN w:val="0"/>
              <w:jc w:val="left"/>
              <w:textAlignment w:val="bottom"/>
              <w:rPr>
                <w:rFonts w:hint="default" w:ascii="Arial" w:hAnsi="宋体"/>
                <w:b w:val="0"/>
                <w:i w:val="0"/>
                <w:color w:val="000000"/>
                <w:sz w:val="20"/>
                <w:u w:val="none"/>
              </w:rPr>
            </w:pPr>
          </w:p>
        </w:tc>
        <w:tc>
          <w:tcPr>
            <w:tcW w:w="1397" w:type="dxa"/>
            <w:vAlign w:val="bottom"/>
          </w:tcPr>
          <w:p>
            <w:pPr>
              <w:autoSpaceDN w:val="0"/>
              <w:jc w:val="left"/>
              <w:textAlignment w:val="bottom"/>
              <w:rPr>
                <w:rFonts w:hint="default" w:ascii="Arial" w:hAnsi="宋体"/>
                <w:b w:val="0"/>
                <w:i w:val="0"/>
                <w:color w:val="000000"/>
                <w:sz w:val="20"/>
                <w:u w:val="none"/>
              </w:rPr>
            </w:pPr>
          </w:p>
        </w:tc>
        <w:tc>
          <w:tcPr>
            <w:tcW w:w="4411"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127" w:type="dxa"/>
            <w:gridSpan w:val="3"/>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：许昌市统计局（服务业统计办公室）</w:t>
            </w:r>
          </w:p>
        </w:tc>
        <w:tc>
          <w:tcPr>
            <w:tcW w:w="2527" w:type="dxa"/>
            <w:vAlign w:val="bottom"/>
          </w:tcPr>
          <w:p>
            <w:pPr>
              <w:autoSpaceDN w:val="0"/>
              <w:jc w:val="left"/>
              <w:textAlignment w:val="bottom"/>
              <w:rPr>
                <w:rFonts w:hint="default" w:ascii="Arial" w:hAnsi="宋体"/>
                <w:b w:val="0"/>
                <w:i w:val="0"/>
                <w:color w:val="000000"/>
                <w:sz w:val="20"/>
                <w:u w:val="none"/>
              </w:rPr>
            </w:pPr>
          </w:p>
        </w:tc>
        <w:tc>
          <w:tcPr>
            <w:tcW w:w="539" w:type="dxa"/>
            <w:vAlign w:val="bottom"/>
          </w:tcPr>
          <w:p>
            <w:pPr>
              <w:autoSpaceDN w:val="0"/>
              <w:jc w:val="left"/>
              <w:textAlignment w:val="bottom"/>
              <w:rPr>
                <w:rFonts w:hint="default" w:ascii="Arial" w:hAnsi="宋体"/>
                <w:b w:val="0"/>
                <w:i w:val="0"/>
                <w:color w:val="000000"/>
                <w:sz w:val="20"/>
                <w:u w:val="none"/>
              </w:rPr>
            </w:pPr>
          </w:p>
        </w:tc>
        <w:tc>
          <w:tcPr>
            <w:tcW w:w="1397" w:type="dxa"/>
            <w:vAlign w:val="bottom"/>
          </w:tcPr>
          <w:p>
            <w:pPr>
              <w:autoSpaceDN w:val="0"/>
              <w:jc w:val="left"/>
              <w:textAlignment w:val="bottom"/>
              <w:rPr>
                <w:rFonts w:hint="default" w:ascii="Arial" w:hAnsi="宋体"/>
                <w:b w:val="0"/>
                <w:i w:val="0"/>
                <w:color w:val="000000"/>
                <w:sz w:val="20"/>
                <w:u w:val="none"/>
              </w:rPr>
            </w:pPr>
          </w:p>
        </w:tc>
        <w:tc>
          <w:tcPr>
            <w:tcW w:w="4411"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5127"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8874" w:type="dxa"/>
            <w:gridSpan w:val="7"/>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2239"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53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34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252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53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1431"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19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86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231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2239"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539" w:type="dxa"/>
            <w:vMerge w:val="continue"/>
            <w:tcBorders>
              <w:bottom w:val="single" w:color="000000" w:sz="4" w:space="0"/>
              <w:right w:val="single" w:color="000000" w:sz="4" w:space="0"/>
            </w:tcBorders>
            <w:vAlign w:val="center"/>
          </w:tcPr>
          <w:p>
            <w:pPr>
              <w:rPr>
                <w:rFonts w:hint="default" w:ascii="宋体" w:hAnsi="宋体"/>
                <w:sz w:val="24"/>
              </w:rPr>
            </w:pPr>
          </w:p>
        </w:tc>
        <w:tc>
          <w:tcPr>
            <w:tcW w:w="2349" w:type="dxa"/>
            <w:vMerge w:val="continue"/>
            <w:tcBorders>
              <w:bottom w:val="single" w:color="000000" w:sz="4" w:space="0"/>
              <w:right w:val="single" w:color="000000" w:sz="4" w:space="0"/>
            </w:tcBorders>
            <w:vAlign w:val="center"/>
          </w:tcPr>
          <w:p>
            <w:pPr>
              <w:rPr>
                <w:rFonts w:hint="default" w:ascii="宋体" w:hAnsi="宋体"/>
                <w:sz w:val="24"/>
              </w:rPr>
            </w:pPr>
          </w:p>
        </w:tc>
        <w:tc>
          <w:tcPr>
            <w:tcW w:w="2527" w:type="dxa"/>
            <w:vMerge w:val="continue"/>
            <w:tcBorders>
              <w:bottom w:val="single" w:color="000000" w:sz="4" w:space="0"/>
              <w:right w:val="single" w:color="000000" w:sz="4" w:space="0"/>
            </w:tcBorders>
            <w:vAlign w:val="center"/>
          </w:tcPr>
          <w:p>
            <w:pPr>
              <w:rPr>
                <w:rFonts w:hint="default" w:ascii="宋体" w:hAnsi="宋体"/>
                <w:sz w:val="24"/>
              </w:rPr>
            </w:pPr>
          </w:p>
        </w:tc>
        <w:tc>
          <w:tcPr>
            <w:tcW w:w="539" w:type="dxa"/>
            <w:vMerge w:val="continue"/>
            <w:tcBorders>
              <w:bottom w:val="single" w:color="000000" w:sz="4" w:space="0"/>
              <w:right w:val="single" w:color="000000" w:sz="4" w:space="0"/>
            </w:tcBorders>
            <w:vAlign w:val="center"/>
          </w:tcPr>
          <w:p>
            <w:pPr>
              <w:rPr>
                <w:rFonts w:hint="default" w:ascii="宋体" w:hAnsi="宋体"/>
                <w:sz w:val="24"/>
              </w:rPr>
            </w:pPr>
          </w:p>
        </w:tc>
        <w:tc>
          <w:tcPr>
            <w:tcW w:w="1431"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194" w:type="dxa"/>
            <w:vMerge w:val="continue"/>
            <w:tcBorders>
              <w:bottom w:val="single" w:color="000000" w:sz="4" w:space="0"/>
              <w:right w:val="single" w:color="000000" w:sz="4" w:space="0"/>
            </w:tcBorders>
            <w:vAlign w:val="center"/>
          </w:tcPr>
          <w:p>
            <w:pPr>
              <w:rPr>
                <w:rFonts w:hint="default" w:ascii="宋体" w:hAnsi="宋体"/>
                <w:sz w:val="24"/>
              </w:rPr>
            </w:pPr>
          </w:p>
        </w:tc>
        <w:tc>
          <w:tcPr>
            <w:tcW w:w="864" w:type="dxa"/>
            <w:vMerge w:val="continue"/>
            <w:tcBorders>
              <w:bottom w:val="single" w:color="000000" w:sz="4" w:space="0"/>
              <w:right w:val="single" w:color="000000" w:sz="4" w:space="0"/>
            </w:tcBorders>
            <w:vAlign w:val="center"/>
          </w:tcPr>
          <w:p>
            <w:pPr>
              <w:rPr>
                <w:rFonts w:hint="default" w:ascii="宋体" w:hAnsi="宋体"/>
                <w:sz w:val="24"/>
              </w:rPr>
            </w:pPr>
          </w:p>
        </w:tc>
        <w:tc>
          <w:tcPr>
            <w:tcW w:w="2319"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34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52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43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19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86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31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59.92</w:t>
            </w: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69.20</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69.20</w:t>
            </w: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rPr>
                <w:rFonts w:hint="default"/>
                <w:lang w:eastAsia="zh-CN"/>
              </w:rPr>
            </w:pPr>
            <w:r>
              <w:rPr>
                <w:rFonts w:hint="default"/>
                <w:lang w:eastAsia="zh-CN"/>
              </w:rPr>
              <w:t>十八、自然资源海洋气象等支出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rPr>
                <w:rFonts w:hint="default"/>
                <w:lang w:eastAsia="zh-CN"/>
              </w:rPr>
            </w:pPr>
            <w:r>
              <w:rPr>
                <w:rFonts w:hint="default"/>
                <w:lang w:eastAsia="zh-CN"/>
              </w:rPr>
              <w:t>二十一、国有资本经营预算支出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rPr>
                <w:rFonts w:hint="default"/>
                <w:lang w:eastAsia="zh-CN"/>
              </w:rPr>
            </w:pPr>
            <w:r>
              <w:rPr>
                <w:rFonts w:hint="default"/>
                <w:lang w:eastAsia="zh-CN"/>
              </w:rPr>
              <w:t>二十二、灾害防治及应急管理支出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59.92</w:t>
            </w:r>
          </w:p>
        </w:tc>
        <w:tc>
          <w:tcPr>
            <w:tcW w:w="252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74.39</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74.39</w:t>
            </w: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15.12</w:t>
            </w: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0.65</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0.65</w:t>
            </w: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15.12</w:t>
            </w: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政府性基金预算财政拨款</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国有资本经营预算财政拨款</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52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239"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539"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23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75.04</w:t>
            </w:r>
          </w:p>
        </w:tc>
        <w:tc>
          <w:tcPr>
            <w:tcW w:w="252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53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1431"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75.04</w:t>
            </w:r>
          </w:p>
        </w:tc>
        <w:tc>
          <w:tcPr>
            <w:tcW w:w="119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75.04</w:t>
            </w:r>
          </w:p>
        </w:tc>
        <w:tc>
          <w:tcPr>
            <w:tcW w:w="86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31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5" w:hRule="atLeast"/>
        </w:trPr>
        <w:tc>
          <w:tcPr>
            <w:tcW w:w="14001"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280"/>
        <w:gridCol w:w="1058"/>
        <w:gridCol w:w="1173"/>
        <w:gridCol w:w="5094"/>
        <w:gridCol w:w="2663"/>
        <w:gridCol w:w="1057"/>
        <w:gridCol w:w="2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8" w:type="dxa"/>
            <w:gridSpan w:val="7"/>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280" w:type="dxa"/>
            <w:vAlign w:val="bottom"/>
          </w:tcPr>
          <w:p>
            <w:pPr>
              <w:autoSpaceDN w:val="0"/>
              <w:jc w:val="left"/>
              <w:textAlignment w:val="bottom"/>
              <w:rPr>
                <w:rFonts w:hint="default" w:ascii="Arial" w:hAnsi="宋体"/>
                <w:b w:val="0"/>
                <w:i w:val="0"/>
                <w:color w:val="000000"/>
                <w:sz w:val="20"/>
                <w:u w:val="none"/>
              </w:rPr>
            </w:pPr>
          </w:p>
        </w:tc>
        <w:tc>
          <w:tcPr>
            <w:tcW w:w="1058" w:type="dxa"/>
            <w:vAlign w:val="bottom"/>
          </w:tcPr>
          <w:p>
            <w:pPr>
              <w:autoSpaceDN w:val="0"/>
              <w:jc w:val="left"/>
              <w:textAlignment w:val="bottom"/>
              <w:rPr>
                <w:rFonts w:hint="default" w:ascii="Arial" w:hAnsi="宋体"/>
                <w:b w:val="0"/>
                <w:i w:val="0"/>
                <w:color w:val="000000"/>
                <w:sz w:val="20"/>
                <w:u w:val="none"/>
              </w:rPr>
            </w:pPr>
          </w:p>
        </w:tc>
        <w:tc>
          <w:tcPr>
            <w:tcW w:w="1173" w:type="dxa"/>
            <w:vAlign w:val="bottom"/>
          </w:tcPr>
          <w:p>
            <w:pPr>
              <w:autoSpaceDN w:val="0"/>
              <w:jc w:val="left"/>
              <w:textAlignment w:val="bottom"/>
              <w:rPr>
                <w:rFonts w:hint="default" w:ascii="Arial" w:hAnsi="宋体"/>
                <w:b w:val="0"/>
                <w:i w:val="0"/>
                <w:color w:val="000000"/>
                <w:sz w:val="20"/>
                <w:u w:val="none"/>
              </w:rPr>
            </w:pPr>
          </w:p>
        </w:tc>
        <w:tc>
          <w:tcPr>
            <w:tcW w:w="5094" w:type="dxa"/>
            <w:vAlign w:val="bottom"/>
          </w:tcPr>
          <w:p>
            <w:pPr>
              <w:autoSpaceDN w:val="0"/>
              <w:jc w:val="left"/>
              <w:textAlignment w:val="bottom"/>
              <w:rPr>
                <w:rFonts w:hint="default" w:ascii="Arial" w:hAnsi="宋体"/>
                <w:b w:val="0"/>
                <w:i w:val="0"/>
                <w:color w:val="000000"/>
                <w:sz w:val="20"/>
                <w:u w:val="none"/>
              </w:rPr>
            </w:pPr>
          </w:p>
        </w:tc>
        <w:tc>
          <w:tcPr>
            <w:tcW w:w="2663" w:type="dxa"/>
            <w:vAlign w:val="bottom"/>
          </w:tcPr>
          <w:p>
            <w:pPr>
              <w:autoSpaceDN w:val="0"/>
              <w:jc w:val="left"/>
              <w:textAlignment w:val="bottom"/>
              <w:rPr>
                <w:rFonts w:hint="default" w:ascii="Arial" w:hAnsi="宋体"/>
                <w:b w:val="0"/>
                <w:i w:val="0"/>
                <w:color w:val="000000"/>
                <w:sz w:val="20"/>
                <w:u w:val="none"/>
              </w:rPr>
            </w:pPr>
          </w:p>
        </w:tc>
        <w:tc>
          <w:tcPr>
            <w:tcW w:w="372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268"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：许昌市统计局（服务业统计办公室）</w:t>
            </w:r>
          </w:p>
        </w:tc>
        <w:tc>
          <w:tcPr>
            <w:tcW w:w="3720"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7605"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6383"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11"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509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66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05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266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2511"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5094" w:type="dxa"/>
            <w:vMerge w:val="continue"/>
            <w:tcBorders>
              <w:bottom w:val="single" w:color="000000" w:sz="4" w:space="0"/>
              <w:right w:val="single" w:color="000000" w:sz="4" w:space="0"/>
            </w:tcBorders>
            <w:vAlign w:val="center"/>
          </w:tcPr>
          <w:p>
            <w:pPr>
              <w:rPr>
                <w:rFonts w:hint="default" w:ascii="宋体" w:hAnsi="宋体"/>
                <w:sz w:val="24"/>
              </w:rPr>
            </w:pPr>
          </w:p>
        </w:tc>
        <w:tc>
          <w:tcPr>
            <w:tcW w:w="2663" w:type="dxa"/>
            <w:vMerge w:val="continue"/>
            <w:tcBorders>
              <w:bottom w:val="single" w:color="000000" w:sz="4" w:space="0"/>
              <w:right w:val="single" w:color="000000" w:sz="4" w:space="0"/>
            </w:tcBorders>
            <w:vAlign w:val="center"/>
          </w:tcPr>
          <w:p>
            <w:pPr>
              <w:rPr>
                <w:rFonts w:hint="default" w:ascii="宋体" w:hAnsi="宋体"/>
                <w:sz w:val="24"/>
              </w:rPr>
            </w:pPr>
          </w:p>
        </w:tc>
        <w:tc>
          <w:tcPr>
            <w:tcW w:w="1057" w:type="dxa"/>
            <w:vMerge w:val="continue"/>
            <w:tcBorders>
              <w:bottom w:val="single" w:color="000000" w:sz="4" w:space="0"/>
              <w:right w:val="single" w:color="000000" w:sz="4" w:space="0"/>
            </w:tcBorders>
            <w:vAlign w:val="center"/>
          </w:tcPr>
          <w:p>
            <w:pPr>
              <w:rPr>
                <w:rFonts w:hint="default" w:ascii="宋体" w:hAnsi="宋体"/>
                <w:sz w:val="24"/>
              </w:rPr>
            </w:pPr>
          </w:p>
        </w:tc>
        <w:tc>
          <w:tcPr>
            <w:tcW w:w="2663"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511"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5094" w:type="dxa"/>
            <w:vMerge w:val="continue"/>
            <w:tcBorders>
              <w:bottom w:val="single" w:color="000000" w:sz="4" w:space="0"/>
              <w:right w:val="single" w:color="000000" w:sz="4" w:space="0"/>
            </w:tcBorders>
            <w:vAlign w:val="center"/>
          </w:tcPr>
          <w:p>
            <w:pPr>
              <w:rPr>
                <w:rFonts w:hint="default" w:ascii="宋体" w:hAnsi="宋体"/>
                <w:sz w:val="24"/>
              </w:rPr>
            </w:pPr>
          </w:p>
        </w:tc>
        <w:tc>
          <w:tcPr>
            <w:tcW w:w="2663" w:type="dxa"/>
            <w:vMerge w:val="continue"/>
            <w:tcBorders>
              <w:bottom w:val="single" w:color="000000" w:sz="4" w:space="0"/>
              <w:right w:val="single" w:color="000000" w:sz="4" w:space="0"/>
            </w:tcBorders>
            <w:vAlign w:val="center"/>
          </w:tcPr>
          <w:p>
            <w:pPr>
              <w:rPr>
                <w:rFonts w:hint="default" w:ascii="宋体" w:hAnsi="宋体"/>
                <w:sz w:val="24"/>
              </w:rPr>
            </w:pPr>
          </w:p>
        </w:tc>
        <w:tc>
          <w:tcPr>
            <w:tcW w:w="1057" w:type="dxa"/>
            <w:vMerge w:val="continue"/>
            <w:tcBorders>
              <w:bottom w:val="single" w:color="000000" w:sz="4" w:space="0"/>
              <w:right w:val="single" w:color="000000" w:sz="4" w:space="0"/>
            </w:tcBorders>
            <w:vAlign w:val="center"/>
          </w:tcPr>
          <w:p>
            <w:pPr>
              <w:rPr>
                <w:rFonts w:hint="default" w:ascii="宋体" w:hAnsi="宋体"/>
                <w:sz w:val="24"/>
              </w:rPr>
            </w:pPr>
          </w:p>
        </w:tc>
        <w:tc>
          <w:tcPr>
            <w:tcW w:w="2663"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7605"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6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057"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6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7605"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74.39</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74.39</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69.20</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69.20</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统计信息事务</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68.89</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68.89</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2010550</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68.89</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68.89</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511"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9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57"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3988" w:type="dxa"/>
            <w:gridSpan w:val="7"/>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001"/>
        <w:gridCol w:w="2015"/>
        <w:gridCol w:w="1314"/>
        <w:gridCol w:w="1293"/>
        <w:gridCol w:w="32"/>
        <w:gridCol w:w="2257"/>
        <w:gridCol w:w="993"/>
        <w:gridCol w:w="982"/>
        <w:gridCol w:w="32"/>
        <w:gridCol w:w="1775"/>
        <w:gridCol w:w="2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4020" w:type="dxa"/>
            <w:gridSpan w:val="11"/>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001" w:type="dxa"/>
            <w:vAlign w:val="bottom"/>
          </w:tcPr>
          <w:p>
            <w:pPr>
              <w:autoSpaceDN w:val="0"/>
              <w:jc w:val="left"/>
              <w:textAlignment w:val="bottom"/>
              <w:rPr>
                <w:rFonts w:hint="default" w:ascii="Arial" w:hAnsi="宋体"/>
                <w:b w:val="0"/>
                <w:i w:val="0"/>
                <w:color w:val="000000"/>
                <w:sz w:val="20"/>
                <w:u w:val="none"/>
              </w:rPr>
            </w:pPr>
          </w:p>
        </w:tc>
        <w:tc>
          <w:tcPr>
            <w:tcW w:w="2015" w:type="dxa"/>
            <w:vAlign w:val="bottom"/>
          </w:tcPr>
          <w:p>
            <w:pPr>
              <w:autoSpaceDN w:val="0"/>
              <w:jc w:val="left"/>
              <w:textAlignment w:val="bottom"/>
              <w:rPr>
                <w:rFonts w:hint="default" w:ascii="Arial" w:hAnsi="宋体"/>
                <w:b w:val="0"/>
                <w:i w:val="0"/>
                <w:color w:val="000000"/>
                <w:sz w:val="20"/>
                <w:u w:val="none"/>
              </w:rPr>
            </w:pPr>
          </w:p>
        </w:tc>
        <w:tc>
          <w:tcPr>
            <w:tcW w:w="1314" w:type="dxa"/>
            <w:vAlign w:val="bottom"/>
          </w:tcPr>
          <w:p>
            <w:pPr>
              <w:autoSpaceDN w:val="0"/>
              <w:jc w:val="left"/>
              <w:textAlignment w:val="bottom"/>
              <w:rPr>
                <w:rFonts w:hint="default" w:ascii="Arial" w:hAnsi="宋体"/>
                <w:b w:val="0"/>
                <w:i w:val="0"/>
                <w:color w:val="000000"/>
                <w:sz w:val="20"/>
                <w:u w:val="none"/>
              </w:rPr>
            </w:pPr>
          </w:p>
        </w:tc>
        <w:tc>
          <w:tcPr>
            <w:tcW w:w="1293" w:type="dxa"/>
            <w:vAlign w:val="bottom"/>
          </w:tcPr>
          <w:p>
            <w:pPr>
              <w:autoSpaceDN w:val="0"/>
              <w:jc w:val="left"/>
              <w:textAlignment w:val="bottom"/>
              <w:rPr>
                <w:rFonts w:hint="default" w:ascii="Arial" w:hAnsi="宋体"/>
                <w:b w:val="0"/>
                <w:i w:val="0"/>
                <w:color w:val="000000"/>
                <w:sz w:val="20"/>
                <w:u w:val="none"/>
              </w:rPr>
            </w:pPr>
          </w:p>
        </w:tc>
        <w:tc>
          <w:tcPr>
            <w:tcW w:w="2289" w:type="dxa"/>
            <w:gridSpan w:val="2"/>
            <w:vAlign w:val="bottom"/>
          </w:tcPr>
          <w:p>
            <w:pPr>
              <w:autoSpaceDN w:val="0"/>
              <w:jc w:val="left"/>
              <w:textAlignment w:val="bottom"/>
              <w:rPr>
                <w:rFonts w:hint="default" w:ascii="Arial" w:hAnsi="宋体"/>
                <w:b w:val="0"/>
                <w:i w:val="0"/>
                <w:color w:val="000000"/>
                <w:sz w:val="20"/>
                <w:u w:val="none"/>
              </w:rPr>
            </w:pPr>
          </w:p>
        </w:tc>
        <w:tc>
          <w:tcPr>
            <w:tcW w:w="993" w:type="dxa"/>
            <w:vAlign w:val="bottom"/>
          </w:tcPr>
          <w:p>
            <w:pPr>
              <w:autoSpaceDN w:val="0"/>
              <w:jc w:val="left"/>
              <w:textAlignment w:val="bottom"/>
              <w:rPr>
                <w:rFonts w:hint="default" w:ascii="Arial" w:hAnsi="宋体"/>
                <w:b w:val="0"/>
                <w:i w:val="0"/>
                <w:color w:val="000000"/>
                <w:sz w:val="20"/>
                <w:u w:val="none"/>
              </w:rPr>
            </w:pPr>
          </w:p>
        </w:tc>
        <w:tc>
          <w:tcPr>
            <w:tcW w:w="982" w:type="dxa"/>
            <w:vAlign w:val="bottom"/>
          </w:tcPr>
          <w:p>
            <w:pPr>
              <w:autoSpaceDN w:val="0"/>
              <w:jc w:val="left"/>
              <w:textAlignment w:val="bottom"/>
              <w:rPr>
                <w:rFonts w:hint="default" w:ascii="Arial" w:hAnsi="宋体"/>
                <w:b w:val="0"/>
                <w:i w:val="0"/>
                <w:color w:val="000000"/>
                <w:sz w:val="20"/>
                <w:u w:val="none"/>
              </w:rPr>
            </w:pPr>
          </w:p>
        </w:tc>
        <w:tc>
          <w:tcPr>
            <w:tcW w:w="4133" w:type="dxa"/>
            <w:gridSpan w:val="3"/>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7912"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：许昌市统计局（服务业统计办公室）</w:t>
            </w:r>
          </w:p>
        </w:tc>
        <w:tc>
          <w:tcPr>
            <w:tcW w:w="993" w:type="dxa"/>
            <w:vAlign w:val="bottom"/>
          </w:tcPr>
          <w:p>
            <w:pPr>
              <w:autoSpaceDN w:val="0"/>
              <w:jc w:val="left"/>
              <w:textAlignment w:val="bottom"/>
              <w:rPr>
                <w:rFonts w:hint="default" w:ascii="Arial" w:hAnsi="宋体"/>
                <w:b w:val="0"/>
                <w:i w:val="0"/>
                <w:color w:val="000000"/>
                <w:sz w:val="20"/>
                <w:u w:val="none"/>
              </w:rPr>
            </w:pPr>
          </w:p>
        </w:tc>
        <w:tc>
          <w:tcPr>
            <w:tcW w:w="982" w:type="dxa"/>
            <w:vAlign w:val="bottom"/>
          </w:tcPr>
          <w:p>
            <w:pPr>
              <w:autoSpaceDN w:val="0"/>
              <w:jc w:val="left"/>
              <w:textAlignment w:val="bottom"/>
              <w:rPr>
                <w:rFonts w:hint="default" w:ascii="Arial" w:hAnsi="宋体"/>
                <w:b w:val="0"/>
                <w:i w:val="0"/>
                <w:color w:val="000000"/>
                <w:sz w:val="20"/>
                <w:u w:val="none"/>
              </w:rPr>
            </w:pPr>
          </w:p>
        </w:tc>
        <w:tc>
          <w:tcPr>
            <w:tcW w:w="4133" w:type="dxa"/>
            <w:gridSpan w:val="3"/>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4330"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9690" w:type="dxa"/>
            <w:gridSpan w:val="8"/>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01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314"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1325"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257"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99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1014"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177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326"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2015" w:type="dxa"/>
            <w:vMerge w:val="continue"/>
            <w:tcBorders>
              <w:bottom w:val="single" w:color="000000" w:sz="4" w:space="0"/>
              <w:right w:val="single" w:color="000000" w:sz="4" w:space="0"/>
            </w:tcBorders>
            <w:vAlign w:val="center"/>
          </w:tcPr>
          <w:p>
            <w:pPr>
              <w:rPr>
                <w:rFonts w:hint="default" w:ascii="宋体" w:hAnsi="宋体"/>
                <w:sz w:val="24"/>
              </w:rPr>
            </w:pPr>
          </w:p>
        </w:tc>
        <w:tc>
          <w:tcPr>
            <w:tcW w:w="1314" w:type="dxa"/>
            <w:vMerge w:val="continue"/>
            <w:tcBorders>
              <w:bottom w:val="single" w:color="000000" w:sz="4" w:space="0"/>
              <w:right w:val="single" w:color="000000" w:sz="4" w:space="0"/>
            </w:tcBorders>
            <w:vAlign w:val="center"/>
          </w:tcPr>
          <w:p>
            <w:pPr>
              <w:rPr>
                <w:rFonts w:hint="default" w:ascii="宋体" w:hAnsi="宋体"/>
                <w:sz w:val="24"/>
              </w:rPr>
            </w:pPr>
          </w:p>
        </w:tc>
        <w:tc>
          <w:tcPr>
            <w:tcW w:w="1325"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2257" w:type="dxa"/>
            <w:vMerge w:val="continue"/>
            <w:tcBorders>
              <w:bottom w:val="single" w:color="000000" w:sz="4" w:space="0"/>
              <w:right w:val="single" w:color="000000" w:sz="4" w:space="0"/>
            </w:tcBorders>
            <w:vAlign w:val="center"/>
          </w:tcPr>
          <w:p>
            <w:pPr>
              <w:rPr>
                <w:rFonts w:hint="default" w:ascii="宋体" w:hAnsi="宋体"/>
                <w:sz w:val="24"/>
              </w:rPr>
            </w:pPr>
          </w:p>
        </w:tc>
        <w:tc>
          <w:tcPr>
            <w:tcW w:w="993" w:type="dxa"/>
            <w:vMerge w:val="continue"/>
            <w:tcBorders>
              <w:bottom w:val="single" w:color="000000" w:sz="4" w:space="0"/>
              <w:right w:val="single" w:color="000000" w:sz="4" w:space="0"/>
            </w:tcBorders>
            <w:vAlign w:val="center"/>
          </w:tcPr>
          <w:p>
            <w:pPr>
              <w:rPr>
                <w:rFonts w:hint="default" w:ascii="宋体" w:hAnsi="宋体"/>
                <w:sz w:val="24"/>
              </w:rPr>
            </w:pPr>
          </w:p>
        </w:tc>
        <w:tc>
          <w:tcPr>
            <w:tcW w:w="1014" w:type="dxa"/>
            <w:gridSpan w:val="2"/>
            <w:vMerge w:val="continue"/>
            <w:tcBorders>
              <w:bottom w:val="single" w:color="000000" w:sz="4" w:space="0"/>
              <w:right w:val="single" w:color="000000" w:sz="4" w:space="0"/>
            </w:tcBorders>
            <w:vAlign w:val="center"/>
          </w:tcPr>
          <w:p>
            <w:pPr>
              <w:rPr>
                <w:rFonts w:hint="default" w:ascii="宋体" w:hAnsi="宋体"/>
                <w:sz w:val="24"/>
              </w:rPr>
            </w:pPr>
          </w:p>
        </w:tc>
        <w:tc>
          <w:tcPr>
            <w:tcW w:w="1775" w:type="dxa"/>
            <w:vMerge w:val="continue"/>
            <w:tcBorders>
              <w:bottom w:val="single" w:color="000000" w:sz="4" w:space="0"/>
              <w:right w:val="single" w:color="000000" w:sz="4" w:space="0"/>
            </w:tcBorders>
            <w:vAlign w:val="center"/>
          </w:tcPr>
          <w:p>
            <w:pPr>
              <w:rPr>
                <w:rFonts w:hint="default" w:ascii="宋体" w:hAnsi="宋体"/>
                <w:sz w:val="24"/>
              </w:rPr>
            </w:pPr>
          </w:p>
        </w:tc>
        <w:tc>
          <w:tcPr>
            <w:tcW w:w="2326" w:type="dxa"/>
            <w:vMerge w:val="continue"/>
            <w:tcBorders>
              <w:bottom w:val="single" w:color="000000" w:sz="4" w:space="0"/>
              <w:right w:val="single" w:color="000000" w:sz="4" w:space="0"/>
            </w:tcBorders>
            <w:vAlign w:val="center"/>
          </w:tcPr>
          <w:p>
            <w:pP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60.03</w:t>
            </w: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14.36</w:t>
            </w: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基本工资</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33.76</w:t>
            </w: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13.31</w:t>
            </w: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国内债务付息</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津贴补贴</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17.28</w:t>
            </w: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印刷费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国外债务付息</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奖金</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咨询费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伙食补助费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手续费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177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房屋建筑物购建</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绩效工资</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水费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办公设备购置</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20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机关事业单位基本养老保险缴费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3.51</w:t>
            </w: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电费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专用设备购置</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职业年金缴费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邮电费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0.56</w:t>
            </w: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基础设施建设</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20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职工基本医疗保险缴费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1.68</w:t>
            </w: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取暖费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大型修缮</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20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公务员医疗补助缴费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物业管理费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177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信息网络及软件购置更新</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其他社会保障缴费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0.29</w:t>
            </w: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差旅费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物资储备</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住房公积金</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3.39</w:t>
            </w: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因公出国（境）费用</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土地补偿</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维修（护）费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安置补助</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其他工资福利支出</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0.11</w:t>
            </w: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租赁费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177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地上附着物和青苗补偿</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会议费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拆迁补偿</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离休费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培训费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公务用车购置</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退休费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公务接待费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177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其他交通工具购置</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退职（役）费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专用材料费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177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文物和陈列品购置</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抚恤金</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被装购置费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无形资产购置</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生活补助</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专用燃料费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177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其他资本性支出</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救济费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劳务费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医疗费补助</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委托业务费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赠与</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助学金</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工会经费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0.31</w:t>
            </w: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177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国家赔偿费用支出</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奖励金</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福利费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0.06</w:t>
            </w: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177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对民间非营利组织和群众性自治组织补贴</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个人农业生产补贴</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公务用车运行维护费</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其他支出</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代缴社会保险费</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其他交通费用</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0.13</w:t>
            </w: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2015" w:type="dxa"/>
            <w:tcBorders>
              <w:bottom w:val="single" w:color="000000" w:sz="4" w:space="0"/>
              <w:right w:val="single" w:color="000000" w:sz="4" w:space="0"/>
            </w:tcBorders>
            <w:vAlign w:val="center"/>
          </w:tcPr>
          <w:p>
            <w:pPr>
              <w:rPr>
                <w:rFonts w:hint="default"/>
                <w:lang w:eastAsia="zh-CN"/>
              </w:rPr>
            </w:pPr>
            <w:r>
              <w:rPr>
                <w:rFonts w:hint="default"/>
                <w:lang w:eastAsia="zh-CN"/>
              </w:rPr>
              <w:t xml:space="preserve">  其他对个人和家庭的补助</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税金及附加费用</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001" w:type="dxa"/>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1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25"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2257"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其他商品和服务支出</w:t>
            </w:r>
          </w:p>
        </w:tc>
        <w:tc>
          <w:tcPr>
            <w:tcW w:w="99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14"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75"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3016"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131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60.03</w:t>
            </w:r>
          </w:p>
        </w:tc>
        <w:tc>
          <w:tcPr>
            <w:tcW w:w="7364" w:type="dxa"/>
            <w:gridSpan w:val="7"/>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232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4020"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158"/>
        <w:gridCol w:w="1488"/>
        <w:gridCol w:w="1048"/>
        <w:gridCol w:w="34"/>
        <w:gridCol w:w="1043"/>
        <w:gridCol w:w="1049"/>
        <w:gridCol w:w="1158"/>
        <w:gridCol w:w="1048"/>
        <w:gridCol w:w="1489"/>
        <w:gridCol w:w="1048"/>
        <w:gridCol w:w="1049"/>
        <w:gridCol w:w="1048"/>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13818" w:type="dxa"/>
            <w:gridSpan w:val="13"/>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44"/>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158" w:type="dxa"/>
            <w:vAlign w:val="bottom"/>
          </w:tcPr>
          <w:p>
            <w:pPr>
              <w:autoSpaceDN w:val="0"/>
              <w:jc w:val="left"/>
              <w:textAlignment w:val="bottom"/>
              <w:rPr>
                <w:rFonts w:hint="default" w:ascii="Arial" w:hAnsi="宋体"/>
                <w:b w:val="0"/>
                <w:i w:val="0"/>
                <w:color w:val="000000"/>
                <w:sz w:val="20"/>
                <w:u w:val="none"/>
              </w:rPr>
            </w:pPr>
          </w:p>
        </w:tc>
        <w:tc>
          <w:tcPr>
            <w:tcW w:w="1488" w:type="dxa"/>
            <w:vAlign w:val="bottom"/>
          </w:tcPr>
          <w:p>
            <w:pPr>
              <w:autoSpaceDN w:val="0"/>
              <w:jc w:val="left"/>
              <w:textAlignment w:val="bottom"/>
              <w:rPr>
                <w:rFonts w:hint="default" w:ascii="Arial" w:hAnsi="宋体"/>
                <w:b w:val="0"/>
                <w:i w:val="0"/>
                <w:color w:val="000000"/>
                <w:sz w:val="20"/>
                <w:u w:val="none"/>
              </w:rPr>
            </w:pPr>
          </w:p>
        </w:tc>
        <w:tc>
          <w:tcPr>
            <w:tcW w:w="1082" w:type="dxa"/>
            <w:gridSpan w:val="2"/>
            <w:vAlign w:val="bottom"/>
          </w:tcPr>
          <w:p>
            <w:pPr>
              <w:autoSpaceDN w:val="0"/>
              <w:jc w:val="left"/>
              <w:textAlignment w:val="bottom"/>
              <w:rPr>
                <w:rFonts w:hint="default" w:ascii="Arial" w:hAnsi="宋体"/>
                <w:b w:val="0"/>
                <w:i w:val="0"/>
                <w:color w:val="000000"/>
                <w:sz w:val="20"/>
                <w:u w:val="none"/>
              </w:rPr>
            </w:pPr>
          </w:p>
        </w:tc>
        <w:tc>
          <w:tcPr>
            <w:tcW w:w="1043" w:type="dxa"/>
            <w:vAlign w:val="bottom"/>
          </w:tcPr>
          <w:p>
            <w:pPr>
              <w:autoSpaceDN w:val="0"/>
              <w:jc w:val="left"/>
              <w:textAlignment w:val="bottom"/>
              <w:rPr>
                <w:rFonts w:hint="default" w:ascii="Arial" w:hAnsi="宋体"/>
                <w:b w:val="0"/>
                <w:i w:val="0"/>
                <w:color w:val="000000"/>
                <w:sz w:val="20"/>
                <w:u w:val="none"/>
              </w:rPr>
            </w:pPr>
          </w:p>
        </w:tc>
        <w:tc>
          <w:tcPr>
            <w:tcW w:w="1049" w:type="dxa"/>
            <w:vAlign w:val="bottom"/>
          </w:tcPr>
          <w:p>
            <w:pPr>
              <w:autoSpaceDN w:val="0"/>
              <w:jc w:val="left"/>
              <w:textAlignment w:val="bottom"/>
              <w:rPr>
                <w:rFonts w:hint="default" w:ascii="Arial" w:hAnsi="宋体"/>
                <w:b w:val="0"/>
                <w:i w:val="0"/>
                <w:color w:val="000000"/>
                <w:sz w:val="20"/>
                <w:u w:val="none"/>
              </w:rPr>
            </w:pPr>
          </w:p>
        </w:tc>
        <w:tc>
          <w:tcPr>
            <w:tcW w:w="1158" w:type="dxa"/>
            <w:vAlign w:val="bottom"/>
          </w:tcPr>
          <w:p>
            <w:pPr>
              <w:autoSpaceDN w:val="0"/>
              <w:jc w:val="left"/>
              <w:textAlignment w:val="bottom"/>
              <w:rPr>
                <w:rFonts w:hint="default" w:ascii="Arial" w:hAnsi="宋体"/>
                <w:b w:val="0"/>
                <w:i w:val="0"/>
                <w:color w:val="000000"/>
                <w:sz w:val="20"/>
                <w:u w:val="none"/>
              </w:rPr>
            </w:pPr>
          </w:p>
        </w:tc>
        <w:tc>
          <w:tcPr>
            <w:tcW w:w="1048" w:type="dxa"/>
            <w:vAlign w:val="bottom"/>
          </w:tcPr>
          <w:p>
            <w:pPr>
              <w:autoSpaceDN w:val="0"/>
              <w:jc w:val="left"/>
              <w:textAlignment w:val="bottom"/>
              <w:rPr>
                <w:rFonts w:hint="default" w:ascii="Arial" w:hAnsi="宋体"/>
                <w:b w:val="0"/>
                <w:i w:val="0"/>
                <w:color w:val="000000"/>
                <w:sz w:val="20"/>
                <w:u w:val="none"/>
              </w:rPr>
            </w:pPr>
          </w:p>
        </w:tc>
        <w:tc>
          <w:tcPr>
            <w:tcW w:w="1489" w:type="dxa"/>
            <w:vAlign w:val="bottom"/>
          </w:tcPr>
          <w:p>
            <w:pPr>
              <w:autoSpaceDN w:val="0"/>
              <w:jc w:val="left"/>
              <w:textAlignment w:val="bottom"/>
              <w:rPr>
                <w:rFonts w:hint="default" w:ascii="Arial" w:hAnsi="宋体"/>
                <w:b w:val="0"/>
                <w:i w:val="0"/>
                <w:color w:val="000000"/>
                <w:sz w:val="20"/>
                <w:u w:val="none"/>
              </w:rPr>
            </w:pPr>
          </w:p>
        </w:tc>
        <w:tc>
          <w:tcPr>
            <w:tcW w:w="4303"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6978" w:type="dxa"/>
            <w:gridSpan w:val="7"/>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：许昌市统计局（服务业统计办公室）</w:t>
            </w:r>
          </w:p>
        </w:tc>
        <w:tc>
          <w:tcPr>
            <w:tcW w:w="1048" w:type="dxa"/>
            <w:vAlign w:val="bottom"/>
          </w:tcPr>
          <w:p>
            <w:pPr>
              <w:autoSpaceDN w:val="0"/>
              <w:jc w:val="left"/>
              <w:textAlignment w:val="bottom"/>
              <w:rPr>
                <w:rFonts w:hint="default" w:ascii="Arial" w:hAnsi="宋体"/>
                <w:b w:val="0"/>
                <w:i w:val="0"/>
                <w:color w:val="000000"/>
                <w:sz w:val="20"/>
                <w:u w:val="none"/>
              </w:rPr>
            </w:pPr>
          </w:p>
        </w:tc>
        <w:tc>
          <w:tcPr>
            <w:tcW w:w="1489" w:type="dxa"/>
            <w:vAlign w:val="bottom"/>
          </w:tcPr>
          <w:p>
            <w:pPr>
              <w:autoSpaceDN w:val="0"/>
              <w:jc w:val="left"/>
              <w:textAlignment w:val="bottom"/>
              <w:rPr>
                <w:rFonts w:hint="default" w:ascii="Arial" w:hAnsi="宋体"/>
                <w:b w:val="0"/>
                <w:i w:val="0"/>
                <w:color w:val="000000"/>
                <w:sz w:val="20"/>
                <w:u w:val="none"/>
              </w:rPr>
            </w:pPr>
          </w:p>
        </w:tc>
        <w:tc>
          <w:tcPr>
            <w:tcW w:w="4303"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978" w:type="dxa"/>
            <w:gridSpan w:val="7"/>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6840" w:type="dxa"/>
            <w:gridSpan w:val="6"/>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158"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8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174"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15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104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89"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145"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15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5" w:hRule="atLeast"/>
        </w:trPr>
        <w:tc>
          <w:tcPr>
            <w:tcW w:w="1158" w:type="dxa"/>
            <w:vMerge w:val="continue"/>
            <w:tcBorders>
              <w:left w:val="single" w:color="000000" w:sz="4" w:space="0"/>
              <w:bottom w:val="single" w:color="000000" w:sz="4" w:space="0"/>
              <w:right w:val="single" w:color="000000" w:sz="4" w:space="0"/>
            </w:tcBorders>
            <w:vAlign w:val="center"/>
          </w:tcPr>
          <w:p>
            <w:pPr>
              <w:rPr>
                <w:rFonts w:hint="default" w:ascii="宋体" w:hAnsi="宋体"/>
                <w:sz w:val="24"/>
              </w:rPr>
            </w:pPr>
          </w:p>
        </w:tc>
        <w:tc>
          <w:tcPr>
            <w:tcW w:w="1488" w:type="dxa"/>
            <w:vMerge w:val="continue"/>
            <w:tcBorders>
              <w:bottom w:val="single" w:color="000000" w:sz="4" w:space="0"/>
              <w:right w:val="single" w:color="000000" w:sz="4" w:space="0"/>
            </w:tcBorders>
            <w:vAlign w:val="center"/>
          </w:tcPr>
          <w:p>
            <w:pPr>
              <w:autoSpaceDN w:val="0"/>
              <w:textAlignment w:val="auto"/>
              <w:rPr>
                <w:rFonts w:hint="default" w:ascii="宋体" w:hAnsi="宋体"/>
                <w:sz w:val="24"/>
              </w:rPr>
            </w:pPr>
          </w:p>
        </w:tc>
        <w:tc>
          <w:tcPr>
            <w:tcW w:w="10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07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04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158" w:type="dxa"/>
            <w:vMerge w:val="continue"/>
            <w:tcBorders>
              <w:bottom w:val="single" w:color="000000" w:sz="4" w:space="0"/>
              <w:right w:val="single" w:color="000000" w:sz="4" w:space="0"/>
            </w:tcBorders>
            <w:vAlign w:val="center"/>
          </w:tcPr>
          <w:p>
            <w:pPr>
              <w:rPr>
                <w:rFonts w:hint="default" w:ascii="宋体" w:hAnsi="宋体"/>
                <w:sz w:val="24"/>
              </w:rPr>
            </w:pPr>
          </w:p>
        </w:tc>
        <w:tc>
          <w:tcPr>
            <w:tcW w:w="1048"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489"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0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04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0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158"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158"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48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0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07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04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15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0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48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10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104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104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115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1158" w:type="dxa"/>
            <w:tcBorders>
              <w:left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7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04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8"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06" w:hRule="atLeast"/>
        </w:trPr>
        <w:tc>
          <w:tcPr>
            <w:tcW w:w="13818" w:type="dxa"/>
            <w:gridSpan w:val="13"/>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没有预算安排的三公经费，也没有预算安排的三公支出，故本表无数据。</w:t>
      </w:r>
    </w:p>
    <w:tbl>
      <w:tblPr>
        <w:tblStyle w:val="5"/>
        <w:tblW w:w="139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06"/>
        <w:gridCol w:w="1150"/>
        <w:gridCol w:w="1367"/>
        <w:gridCol w:w="3651"/>
        <w:gridCol w:w="1763"/>
        <w:gridCol w:w="1150"/>
        <w:gridCol w:w="1150"/>
        <w:gridCol w:w="1150"/>
        <w:gridCol w:w="1150"/>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3987" w:type="dxa"/>
            <w:gridSpan w:val="10"/>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0"/>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06" w:type="dxa"/>
            <w:vAlign w:val="bottom"/>
          </w:tcPr>
          <w:p>
            <w:pPr>
              <w:autoSpaceDN w:val="0"/>
              <w:jc w:val="left"/>
              <w:textAlignment w:val="bottom"/>
              <w:rPr>
                <w:rFonts w:hint="default" w:ascii="Arial" w:hAnsi="宋体"/>
                <w:b w:val="0"/>
                <w:i w:val="0"/>
                <w:color w:val="000000"/>
                <w:sz w:val="20"/>
                <w:u w:val="none"/>
              </w:rPr>
            </w:pPr>
          </w:p>
        </w:tc>
        <w:tc>
          <w:tcPr>
            <w:tcW w:w="1150" w:type="dxa"/>
            <w:vAlign w:val="bottom"/>
          </w:tcPr>
          <w:p>
            <w:pPr>
              <w:autoSpaceDN w:val="0"/>
              <w:jc w:val="left"/>
              <w:textAlignment w:val="bottom"/>
              <w:rPr>
                <w:rFonts w:hint="default" w:ascii="Arial" w:hAnsi="宋体"/>
                <w:b w:val="0"/>
                <w:i w:val="0"/>
                <w:color w:val="000000"/>
                <w:sz w:val="20"/>
                <w:u w:val="none"/>
              </w:rPr>
            </w:pPr>
          </w:p>
        </w:tc>
        <w:tc>
          <w:tcPr>
            <w:tcW w:w="1367" w:type="dxa"/>
            <w:vAlign w:val="bottom"/>
          </w:tcPr>
          <w:p>
            <w:pPr>
              <w:autoSpaceDN w:val="0"/>
              <w:jc w:val="left"/>
              <w:textAlignment w:val="bottom"/>
              <w:rPr>
                <w:rFonts w:hint="default" w:ascii="Arial" w:hAnsi="宋体"/>
                <w:b w:val="0"/>
                <w:i w:val="0"/>
                <w:color w:val="000000"/>
                <w:sz w:val="20"/>
                <w:u w:val="none"/>
              </w:rPr>
            </w:pPr>
          </w:p>
        </w:tc>
        <w:tc>
          <w:tcPr>
            <w:tcW w:w="3651" w:type="dxa"/>
            <w:vAlign w:val="bottom"/>
          </w:tcPr>
          <w:p>
            <w:pPr>
              <w:autoSpaceDN w:val="0"/>
              <w:jc w:val="left"/>
              <w:textAlignment w:val="bottom"/>
              <w:rPr>
                <w:rFonts w:hint="default" w:ascii="Arial" w:hAnsi="宋体"/>
                <w:b w:val="0"/>
                <w:i w:val="0"/>
                <w:color w:val="000000"/>
                <w:sz w:val="20"/>
                <w:u w:val="none"/>
              </w:rPr>
            </w:pPr>
          </w:p>
        </w:tc>
        <w:tc>
          <w:tcPr>
            <w:tcW w:w="1763" w:type="dxa"/>
            <w:vAlign w:val="bottom"/>
          </w:tcPr>
          <w:p>
            <w:pPr>
              <w:autoSpaceDN w:val="0"/>
              <w:jc w:val="left"/>
              <w:textAlignment w:val="bottom"/>
              <w:rPr>
                <w:rFonts w:hint="default" w:ascii="Arial" w:hAnsi="宋体"/>
                <w:b w:val="0"/>
                <w:i w:val="0"/>
                <w:color w:val="000000"/>
                <w:sz w:val="20"/>
                <w:u w:val="none"/>
              </w:rPr>
            </w:pPr>
          </w:p>
        </w:tc>
        <w:tc>
          <w:tcPr>
            <w:tcW w:w="1150" w:type="dxa"/>
            <w:vAlign w:val="bottom"/>
          </w:tcPr>
          <w:p>
            <w:pPr>
              <w:autoSpaceDN w:val="0"/>
              <w:jc w:val="left"/>
              <w:textAlignment w:val="bottom"/>
              <w:rPr>
                <w:rFonts w:hint="default" w:ascii="Arial" w:hAnsi="宋体"/>
                <w:b w:val="0"/>
                <w:i w:val="0"/>
                <w:color w:val="000000"/>
                <w:sz w:val="20"/>
                <w:u w:val="none"/>
              </w:rPr>
            </w:pPr>
          </w:p>
        </w:tc>
        <w:tc>
          <w:tcPr>
            <w:tcW w:w="1150" w:type="dxa"/>
            <w:vAlign w:val="bottom"/>
          </w:tcPr>
          <w:p>
            <w:pPr>
              <w:autoSpaceDN w:val="0"/>
              <w:jc w:val="left"/>
              <w:textAlignment w:val="bottom"/>
              <w:rPr>
                <w:rFonts w:hint="default" w:ascii="Arial" w:hAnsi="宋体"/>
                <w:b w:val="0"/>
                <w:i w:val="0"/>
                <w:color w:val="000000"/>
                <w:sz w:val="20"/>
                <w:u w:val="none"/>
              </w:rPr>
            </w:pPr>
          </w:p>
        </w:tc>
        <w:tc>
          <w:tcPr>
            <w:tcW w:w="3450"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9387"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：许昌市统计局（服务业统计办公室）</w:t>
            </w:r>
          </w:p>
        </w:tc>
        <w:tc>
          <w:tcPr>
            <w:tcW w:w="1150" w:type="dxa"/>
            <w:vAlign w:val="bottom"/>
          </w:tcPr>
          <w:p>
            <w:pPr>
              <w:autoSpaceDN w:val="0"/>
              <w:jc w:val="left"/>
              <w:textAlignment w:val="bottom"/>
              <w:rPr>
                <w:rFonts w:hint="default" w:ascii="Arial" w:hAnsi="宋体"/>
                <w:b w:val="0"/>
                <w:i w:val="0"/>
                <w:color w:val="000000"/>
                <w:sz w:val="20"/>
                <w:u w:val="none"/>
              </w:rPr>
            </w:pPr>
          </w:p>
        </w:tc>
        <w:tc>
          <w:tcPr>
            <w:tcW w:w="3450"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6474"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763"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115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w:t>
            </w:r>
          </w:p>
        </w:tc>
        <w:tc>
          <w:tcPr>
            <w:tcW w:w="3450" w:type="dxa"/>
            <w:gridSpan w:val="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c>
          <w:tcPr>
            <w:tcW w:w="115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23"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651"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763"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0" w:type="dxa"/>
            <w:vMerge w:val="continue"/>
            <w:tcBorders>
              <w:top w:val="single" w:color="000000" w:sz="4" w:space="0"/>
              <w:bottom w:val="single" w:color="000000" w:sz="4" w:space="0"/>
              <w:right w:val="single" w:color="000000" w:sz="4" w:space="0"/>
            </w:tcBorders>
            <w:vAlign w:val="center"/>
          </w:tcPr>
          <w:p>
            <w:pPr>
              <w:rPr>
                <w:rFonts w:hint="default" w:ascii="宋体" w:hAnsi="宋体"/>
                <w:sz w:val="24"/>
              </w:rPr>
            </w:pPr>
          </w:p>
        </w:tc>
        <w:tc>
          <w:tcPr>
            <w:tcW w:w="115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15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150"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15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23"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65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763"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23"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ascii="宋体" w:hAnsi="宋体"/>
                <w:sz w:val="24"/>
              </w:rPr>
            </w:pPr>
          </w:p>
        </w:tc>
        <w:tc>
          <w:tcPr>
            <w:tcW w:w="3651"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763"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bottom w:val="single" w:color="000000" w:sz="4" w:space="0"/>
              <w:right w:val="single" w:color="000000" w:sz="4" w:space="0"/>
            </w:tcBorders>
            <w:vAlign w:val="center"/>
          </w:tcPr>
          <w:p>
            <w:pPr>
              <w:autoSpaceDN w:val="0"/>
              <w:jc w:val="center"/>
              <w:textAlignment w:val="center"/>
              <w:rPr>
                <w:rFonts w:hint="default" w:ascii="宋体" w:hAnsi="宋体"/>
                <w:sz w:val="24"/>
              </w:rPr>
            </w:pPr>
          </w:p>
        </w:tc>
        <w:tc>
          <w:tcPr>
            <w:tcW w:w="1150" w:type="dxa"/>
            <w:vMerge w:val="continue"/>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hRule="atLeast"/>
        </w:trPr>
        <w:tc>
          <w:tcPr>
            <w:tcW w:w="647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76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1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1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1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1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1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6474"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7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23"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65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25" w:hRule="atLeast"/>
        </w:trPr>
        <w:tc>
          <w:tcPr>
            <w:tcW w:w="2823"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651"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63"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0" w:hRule="atLeast"/>
        </w:trPr>
        <w:tc>
          <w:tcPr>
            <w:tcW w:w="13987" w:type="dxa"/>
            <w:gridSpan w:val="10"/>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本年度政府性基金预算财政拨款收入、支出及结转和结余情况。本表金额转换为万元时，因四舍五入可能存在尾差。</w:t>
            </w:r>
          </w:p>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说明：我</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75.04</w:t>
      </w:r>
      <w:r>
        <w:rPr>
          <w:rFonts w:hint="eastAsia" w:ascii="仿宋_GB2312" w:hAnsi="仿宋_GB2312" w:eastAsia="仿宋_GB2312" w:cs="仿宋_GB2312"/>
          <w:sz w:val="32"/>
          <w:szCs w:val="32"/>
          <w:highlight w:val="none"/>
        </w:rPr>
        <w:t>万元。与上年度相比，收、支总计各增加2.5</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万元，增长3.45%。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59.92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59.92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74.39</w:t>
      </w:r>
      <w:r>
        <w:rPr>
          <w:rFonts w:hint="eastAsia" w:ascii="仿宋_GB2312" w:hAnsi="仿宋_GB2312" w:eastAsia="仿宋_GB2312" w:cs="仿宋_GB2312"/>
          <w:sz w:val="32"/>
          <w:szCs w:val="32"/>
          <w:highlight w:val="none"/>
        </w:rPr>
        <w:t>万元，其中：基本支出74.39万元，占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75.04</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74.39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74.39</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69.20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93.02</w:t>
      </w:r>
      <w:r>
        <w:rPr>
          <w:rFonts w:hint="eastAsia" w:ascii="仿宋_GB2312" w:hAnsi="仿宋_GB2312" w:eastAsia="仿宋_GB2312" w:cs="仿宋_GB2312"/>
          <w:sz w:val="32"/>
          <w:szCs w:val="32"/>
          <w:highlight w:val="none"/>
        </w:rPr>
        <w:t>%；社会保障和就业支出3.51万元，占4.72%；卫生健康支出1.68</w:t>
      </w:r>
      <w:r>
        <w:rPr>
          <w:rFonts w:hint="eastAsia" w:ascii="仿宋_GB2312" w:hAnsi="仿宋_GB2312" w:eastAsia="仿宋_GB2312" w:cs="仿宋_GB2312"/>
          <w:sz w:val="32"/>
          <w:szCs w:val="32"/>
          <w:highlight w:val="none"/>
          <w:lang w:eastAsia="zh-CN"/>
        </w:rPr>
        <w:t>万元，占</w:t>
      </w:r>
      <w:r>
        <w:rPr>
          <w:rFonts w:hint="eastAsia" w:ascii="仿宋_GB2312" w:hAnsi="仿宋_GB2312" w:eastAsia="仿宋_GB2312" w:cs="仿宋_GB2312"/>
          <w:sz w:val="32"/>
          <w:szCs w:val="32"/>
          <w:highlight w:val="none"/>
          <w:lang w:val="en-US" w:eastAsia="zh-CN"/>
        </w:rPr>
        <w:t>2.26%</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rPr>
        <w:t>68.17万</w:t>
      </w:r>
      <w:r>
        <w:rPr>
          <w:rFonts w:hint="eastAsia" w:ascii="仿宋_GB2312" w:hAnsi="仿宋_GB2312" w:eastAsia="仿宋_GB2312" w:cs="仿宋_GB2312"/>
          <w:sz w:val="32"/>
          <w:szCs w:val="32"/>
          <w:highlight w:val="none"/>
        </w:rPr>
        <w:t>元，支出决算为74.39万元，完成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预算的109.12%。其中：</w:t>
      </w:r>
    </w:p>
    <w:p>
      <w:pPr>
        <w:widowControl/>
        <w:numPr>
          <w:ilvl w:val="0"/>
          <w:numId w:val="2"/>
        </w:numPr>
        <w:spacing w:line="590" w:lineRule="exact"/>
        <w:ind w:firstLine="642"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一般公共服务（类）统计信息事务（款）事业运行（项）。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预算为61.94万元，支出决算为</w:t>
      </w:r>
      <w:r>
        <w:rPr>
          <w:rFonts w:hint="eastAsia" w:ascii="仿宋_GB2312" w:hAnsi="仿宋_GB2312" w:eastAsia="仿宋_GB2312" w:cs="仿宋_GB2312"/>
          <w:sz w:val="32"/>
          <w:szCs w:val="32"/>
          <w:highlight w:val="none"/>
          <w:lang w:val="en-US" w:eastAsia="zh-CN"/>
        </w:rPr>
        <w:t>68.89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预算的111.22%。决算数与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工资晋级晋档导致</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numPr>
          <w:ilvl w:val="0"/>
          <w:numId w:val="0"/>
        </w:numPr>
        <w:wordWrap/>
        <w:adjustRightInd/>
        <w:snapToGrid/>
        <w:spacing w:before="0" w:after="0" w:line="590" w:lineRule="exact"/>
        <w:ind w:left="0" w:leftChars="0" w:right="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2．一般公共服务（类）群众团体事务（款）工会事务（项）。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87.53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87.96%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人员经费调整</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FF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年度一般公共预算财政拨款基本支出74.39万元。其中：人员经费60.03万元，主要包括：基本工资、津贴补贴、机关事业单位基本养老保险缴费、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w:t>
      </w:r>
      <w:bookmarkStart w:id="0" w:name="_GoBack"/>
      <w:bookmarkEnd w:id="0"/>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sz w:val="32"/>
          <w:szCs w:val="32"/>
          <w:highlight w:val="none"/>
        </w:rPr>
        <w:t>住房公积金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highlight w:val="none"/>
        </w:rPr>
        <w:t>其他工资福利支出；公用经费14.36万元，主要包括：办公费、邮电费、工会经费、福利费、其他交通费用</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numPr>
          <w:ilvl w:val="0"/>
          <w:numId w:val="3"/>
        </w:numPr>
        <w:spacing w:line="590" w:lineRule="exact"/>
        <w:ind w:firstLine="64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numPr>
          <w:ilvl w:val="0"/>
          <w:numId w:val="0"/>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590" w:lineRule="exact"/>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在局党组的领导下，高度重视绩效管理工作，局党组专门成立了预算绩效管理工作领导小组，提出绩效管理工作总体要求，对评价依据，评价目的，考评对象，方法步骤，工作进度做出具体规定。年初开展绩效目标申报，确定年度目标，年中实施绩效监控，对预算支出情况进行分析，绩效目标基本实现。</w:t>
      </w:r>
    </w:p>
    <w:p>
      <w:pPr>
        <w:widowControl/>
        <w:wordWrap/>
        <w:adjustRightInd/>
        <w:snapToGrid/>
        <w:spacing w:line="590" w:lineRule="exact"/>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单位整体绩效目标和项目支出绩效目标进行了自评。一是单位整体绩效自评情况。2021年开展单位整体绩效自评工作，通过对设定各项指标评价，分析项目绩效完成率，能够完成绩效目标任务。二是项目绩效自评情况。我单位共有0个项目批复了绩效目标，项目金额0.00万元。</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widowControl/>
        <w:wordWrap/>
        <w:adjustRightInd/>
        <w:snapToGrid/>
        <w:spacing w:line="590" w:lineRule="exact"/>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590" w:lineRule="exact"/>
        <w:ind w:right="0" w:firstLine="640" w:firstLineChars="200"/>
        <w:jc w:val="both"/>
        <w:textAlignment w:val="auto"/>
        <w:outlineLvl w:val="9"/>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auto"/>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0D08F"/>
    <w:multiLevelType w:val="singleLevel"/>
    <w:tmpl w:val="4B30D08F"/>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63EF490F"/>
    <w:multiLevelType w:val="singleLevel"/>
    <w:tmpl w:val="63EF490F"/>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4DD98AB"/>
    <w:rsid w:val="3DDDD848"/>
    <w:rsid w:val="463FFCFC"/>
    <w:rsid w:val="4F7CA0B9"/>
    <w:rsid w:val="57BD0D89"/>
    <w:rsid w:val="5D7FA807"/>
    <w:rsid w:val="6CDFAF22"/>
    <w:rsid w:val="6FFF5B75"/>
    <w:rsid w:val="737FB8FA"/>
    <w:rsid w:val="75FFD35C"/>
    <w:rsid w:val="7E77DEFB"/>
    <w:rsid w:val="AEEF57FB"/>
    <w:rsid w:val="B93E22B4"/>
    <w:rsid w:val="BA3F6F01"/>
    <w:rsid w:val="BFDEADAF"/>
    <w:rsid w:val="D3FB79DB"/>
    <w:rsid w:val="DFFFC083"/>
    <w:rsid w:val="E57FE79F"/>
    <w:rsid w:val="E62F604A"/>
    <w:rsid w:val="E9FB584F"/>
    <w:rsid w:val="EDFC06DF"/>
    <w:rsid w:val="F91F9894"/>
    <w:rsid w:val="FEFE5C12"/>
    <w:rsid w:val="FFFEC89E"/>
    <w:rsid w:val="FFFFE6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批注框文本 Char Char Char"/>
    <w:link w:val="2"/>
    <w:qFormat/>
    <w:uiPriority w:val="99"/>
    <w:rPr>
      <w:kern w:val="2"/>
      <w:sz w:val="18"/>
      <w:szCs w:val="18"/>
    </w:rPr>
  </w:style>
  <w:style w:type="character" w:customStyle="1" w:styleId="10">
    <w:name w:val="页脚 Char Char Char"/>
    <w:link w:val="3"/>
    <w:qFormat/>
    <w:uiPriority w:val="99"/>
    <w:rPr>
      <w:kern w:val="2"/>
      <w:sz w:val="18"/>
      <w:szCs w:val="18"/>
    </w:rPr>
  </w:style>
  <w:style w:type="character" w:customStyle="1" w:styleId="11">
    <w:name w:val="页眉 Char Char Char"/>
    <w:link w:val="4"/>
    <w:qFormat/>
    <w:uiPriority w:val="99"/>
    <w:rPr>
      <w:kern w:val="2"/>
      <w:sz w:val="18"/>
      <w:szCs w:val="18"/>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7550</Words>
  <Characters>8926</Characters>
  <Lines>60</Lines>
  <Paragraphs>16</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huanghe</cp:lastModifiedBy>
  <cp:lastPrinted>2023-02-19T08:56:00Z</cp:lastPrinted>
  <dcterms:modified xsi:type="dcterms:W3CDTF">2023-05-15T15:17:49Z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56F852B5A5DC4B9E87E30BF039984B4C</vt:lpwstr>
  </property>
</Properties>
</file>