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许昌市纤维检验所单位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许昌市纤维检验所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许昌市纤维检验所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许昌市纤维检验所主要职责是：许昌市纤维检验所隶属于许昌市</w:t>
      </w:r>
      <w:r>
        <w:rPr>
          <w:rFonts w:hint="eastAsia" w:ascii="仿宋_GB2312" w:hAnsi="宋体" w:eastAsia="仿宋_GB2312" w:cs="宋体"/>
          <w:kern w:val="0"/>
          <w:sz w:val="32"/>
          <w:szCs w:val="32"/>
          <w:highlight w:val="none"/>
          <w:lang w:val="en-US" w:eastAsia="zh-CN"/>
        </w:rPr>
        <w:t>市场监督管理</w:t>
      </w:r>
      <w:r>
        <w:rPr>
          <w:rFonts w:hint="eastAsia" w:ascii="仿宋_GB2312" w:hAnsi="宋体" w:eastAsia="仿宋_GB2312" w:cs="宋体"/>
          <w:kern w:val="0"/>
          <w:sz w:val="32"/>
          <w:szCs w:val="32"/>
          <w:highlight w:val="none"/>
          <w:lang w:eastAsia="zh-CN"/>
        </w:rPr>
        <w:t>局，业务上接受河南省</w:t>
      </w:r>
      <w:r>
        <w:rPr>
          <w:rFonts w:hint="eastAsia" w:ascii="仿宋_GB2312" w:hAnsi="仿宋_GB2312" w:eastAsia="仿宋_GB2312" w:cs="仿宋_GB2312"/>
          <w:color w:val="auto"/>
          <w:sz w:val="32"/>
          <w:szCs w:val="32"/>
          <w:highlight w:val="none"/>
          <w:lang w:val="en-US" w:eastAsia="zh-CN"/>
        </w:rPr>
        <w:t>纤维质量监测中心</w:t>
      </w:r>
      <w:r>
        <w:rPr>
          <w:rFonts w:hint="eastAsia" w:ascii="仿宋_GB2312" w:hAnsi="宋体" w:eastAsia="仿宋_GB2312" w:cs="宋体"/>
          <w:kern w:val="0"/>
          <w:sz w:val="32"/>
          <w:szCs w:val="32"/>
          <w:highlight w:val="none"/>
          <w:lang w:eastAsia="zh-CN"/>
        </w:rPr>
        <w:t>领导。承担许昌市辖区内纤维及其制品的质量检验、公证检验、仲裁检验、委托检验等工作，是第三方公证检验机构，依法履行对棉、麻、毛、丝等纤维质量的监督管理，并受许昌市</w:t>
      </w:r>
      <w:r>
        <w:rPr>
          <w:rFonts w:hint="eastAsia" w:ascii="仿宋_GB2312" w:hAnsi="宋体" w:eastAsia="仿宋_GB2312" w:cs="宋体"/>
          <w:kern w:val="0"/>
          <w:sz w:val="32"/>
          <w:szCs w:val="32"/>
          <w:highlight w:val="none"/>
          <w:lang w:val="en-US" w:eastAsia="zh-CN"/>
        </w:rPr>
        <w:t>市场监督管理局</w:t>
      </w:r>
      <w:r>
        <w:rPr>
          <w:rFonts w:hint="eastAsia" w:ascii="仿宋_GB2312" w:hAnsi="宋体" w:eastAsia="仿宋_GB2312" w:cs="宋体"/>
          <w:kern w:val="0"/>
          <w:sz w:val="32"/>
          <w:szCs w:val="32"/>
          <w:highlight w:val="none"/>
          <w:lang w:eastAsia="zh-CN"/>
        </w:rPr>
        <w:t>委托，负责辖区内纤维制品和服装质量的</w:t>
      </w:r>
      <w:r>
        <w:rPr>
          <w:rFonts w:hint="eastAsia" w:ascii="仿宋_GB2312" w:hAnsi="宋体" w:eastAsia="仿宋_GB2312" w:cs="宋体"/>
          <w:kern w:val="0"/>
          <w:sz w:val="32"/>
          <w:szCs w:val="32"/>
          <w:highlight w:val="none"/>
          <w:lang w:val="en-US" w:eastAsia="zh-CN"/>
        </w:rPr>
        <w:t>抽检</w:t>
      </w:r>
      <w:r>
        <w:rPr>
          <w:rFonts w:hint="eastAsia" w:ascii="仿宋_GB2312" w:hAnsi="宋体" w:eastAsia="仿宋_GB2312" w:cs="宋体"/>
          <w:kern w:val="0"/>
          <w:sz w:val="32"/>
          <w:szCs w:val="32"/>
          <w:highlight w:val="none"/>
          <w:lang w:eastAsia="zh-CN"/>
        </w:rPr>
        <w:t>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许昌市纤维检验所内设机构3个</w:t>
      </w:r>
      <w:r>
        <w:rPr>
          <w:rFonts w:hint="eastAsia" w:ascii="仿宋_GB2312" w:hAnsi="仿宋_GB2312" w:eastAsia="仿宋_GB2312" w:cs="仿宋_GB2312"/>
          <w:kern w:val="0"/>
          <w:sz w:val="32"/>
          <w:szCs w:val="32"/>
          <w:highlight w:val="none"/>
        </w:rPr>
        <w:t>，包括：</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实验室、监督室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lang w:val="en"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许昌市纤维检验所</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许昌市纤维检验所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07"/>
        <w:gridCol w:w="688"/>
        <w:gridCol w:w="2347"/>
        <w:gridCol w:w="4034"/>
        <w:gridCol w:w="669"/>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0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68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5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03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6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0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68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5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03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6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2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4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13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8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5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223.49</w:t>
            </w: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223.49</w:t>
            </w: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48.23</w:t>
            </w: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8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3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271.72</w:t>
            </w:r>
          </w:p>
        </w:tc>
        <w:tc>
          <w:tcPr>
            <w:tcW w:w="403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982"/>
        <w:gridCol w:w="353"/>
        <w:gridCol w:w="1096"/>
        <w:gridCol w:w="239"/>
        <w:gridCol w:w="1210"/>
        <w:gridCol w:w="44"/>
        <w:gridCol w:w="1254"/>
        <w:gridCol w:w="82"/>
        <w:gridCol w:w="1172"/>
        <w:gridCol w:w="1171"/>
        <w:gridCol w:w="83"/>
        <w:gridCol w:w="1088"/>
        <w:gridCol w:w="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83" w:type="dxa"/>
            <w:gridSpan w:val="1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35"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35"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5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5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5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08"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43"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1335"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35"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5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5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5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08"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5"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54"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54"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54"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54"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223.49</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223.49</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val="0"/>
                <w:bCs w:val="0"/>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202.27</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202.27</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201.54</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201.54</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137.26</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137.26</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64.28</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64.28</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335"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4"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83" w:type="dxa"/>
            <w:gridSpan w:val="1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489" w:hRule="atLeast"/>
        </w:trPr>
        <w:tc>
          <w:tcPr>
            <w:tcW w:w="13716" w:type="dxa"/>
            <w:gridSpan w:val="1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938"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9"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9"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80"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7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42"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255" w:hRule="atLeast"/>
        </w:trPr>
        <w:tc>
          <w:tcPr>
            <w:tcW w:w="5925"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1449"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9"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80"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7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342"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592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9"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9"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71"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38" w:type="dxa"/>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9"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38" w:type="dxa"/>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9"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38" w:type="dxa"/>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9"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9"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1"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5925"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5925"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271.72</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183.15</w:t>
            </w:r>
          </w:p>
        </w:tc>
        <w:tc>
          <w:tcPr>
            <w:tcW w:w="138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88.57</w:t>
            </w: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241.32</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152.75</w:t>
            </w:r>
          </w:p>
        </w:tc>
        <w:tc>
          <w:tcPr>
            <w:tcW w:w="138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88.57</w:t>
            </w: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240.59</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152.02</w:t>
            </w:r>
          </w:p>
        </w:tc>
        <w:tc>
          <w:tcPr>
            <w:tcW w:w="138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88.57</w:t>
            </w: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152.02</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152.02</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4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1449"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0"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93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449"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380"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7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7" w:type="dxa"/>
          <w:trHeight w:val="308" w:hRule="atLeast"/>
        </w:trPr>
        <w:tc>
          <w:tcPr>
            <w:tcW w:w="13716" w:type="dxa"/>
            <w:gridSpan w:val="1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6"/>
        <w:gridCol w:w="581"/>
        <w:gridCol w:w="1339"/>
        <w:gridCol w:w="4078"/>
        <w:gridCol w:w="581"/>
        <w:gridCol w:w="1013"/>
        <w:gridCol w:w="1278"/>
        <w:gridCol w:w="1024"/>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47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1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1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47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6"/>
        <w:gridCol w:w="222"/>
        <w:gridCol w:w="222"/>
        <w:gridCol w:w="3956"/>
        <w:gridCol w:w="2028"/>
        <w:gridCol w:w="2011"/>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3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0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7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271.63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183.13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tbl>
      <w:tblPr>
        <w:tblStyle w:val="5"/>
        <w:tblpPr w:leftFromText="180" w:rightFromText="180" w:vertAnchor="text" w:horzAnchor="page" w:tblpX="826" w:tblpY="331"/>
        <w:tblOverlap w:val="never"/>
        <w:tblW w:w="14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377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73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5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7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82"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8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6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8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7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7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77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77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77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166.85</w:t>
            </w:r>
          </w:p>
        </w:tc>
        <w:tc>
          <w:tcPr>
            <w:tcW w:w="8492"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73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
        <w:gridCol w:w="340"/>
        <w:gridCol w:w="340"/>
        <w:gridCol w:w="1678"/>
        <w:gridCol w:w="1606"/>
        <w:gridCol w:w="1606"/>
        <w:gridCol w:w="1606"/>
        <w:gridCol w:w="1606"/>
        <w:gridCol w:w="1606"/>
        <w:gridCol w:w="3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：许昌市纤维检验所</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3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3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注：本表反映单位本年度政府性基金预算财政拨款收入、支出及结转和结余情况。本表金额转换为万元时，因四舍五入可能存在尾差。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说明：我单位没有政府性基金收入，也没有使用政府性基金安排的支出，故本表无数据。</w:t>
            </w:r>
          </w:p>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271.72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84.5</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23.7</w:t>
      </w:r>
      <w:r>
        <w:rPr>
          <w:rFonts w:hint="eastAsia" w:ascii="仿宋_GB2312" w:hAnsi="仿宋_GB2312" w:eastAsia="仿宋_GB2312"/>
          <w:sz w:val="32"/>
          <w:szCs w:val="24"/>
          <w:lang w:val="en-US" w:eastAsia="zh-CN"/>
        </w:rPr>
        <w:t>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本棉花年度轮出轮入公检收支减少所致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223.49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223.49</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sz w:val="32"/>
          <w:szCs w:val="24"/>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271.72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183.15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67.4</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rPr>
        <w:t>88.57</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32.6</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271.63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79.87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22.7</w:t>
      </w:r>
      <w:r>
        <w:rPr>
          <w:rFonts w:hint="eastAsia" w:ascii="仿宋_GB2312" w:hAnsi="仿宋_GB2312" w:eastAsia="仿宋_GB2312"/>
          <w:sz w:val="32"/>
          <w:szCs w:val="24"/>
          <w:lang w:val="en-US" w:eastAsia="zh-CN"/>
        </w:rPr>
        <w:t>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本棉花年度轮出轮入公检收支减少所致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271.63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99.96</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sz w:val="32"/>
          <w:szCs w:val="24"/>
          <w:lang w:val="en-US"/>
        </w:rPr>
        <w:t>26.09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8.7</w:t>
      </w:r>
      <w:r>
        <w:rPr>
          <w:rFonts w:hint="eastAsia" w:ascii="仿宋_GB2312" w:hAnsi="仿宋_GB2312" w:eastAsia="仿宋_GB2312"/>
          <w:sz w:val="32"/>
          <w:szCs w:val="24"/>
          <w:lang w:val="en-US" w:eastAsia="zh-CN"/>
        </w:rPr>
        <w:t>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本棉花年度轮出轮入公检收支减少所致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271.63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241.23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88.81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社会保障和就业（类）支出21.39万元，占7.87%；卫生健康支出（类）支出9.01万元，占3.32%。</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年度一般公共预算财政拨款支出预算为</w:t>
      </w:r>
      <w:r>
        <w:rPr>
          <w:rFonts w:hint="eastAsia" w:ascii="仿宋_GB2312" w:hAnsi="仿宋_GB2312" w:eastAsia="仿宋_GB2312"/>
          <w:sz w:val="32"/>
          <w:szCs w:val="24"/>
          <w:lang w:val="en-US"/>
        </w:rPr>
        <w:t>231.77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271.63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117.2</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sz w:val="32"/>
          <w:szCs w:val="32"/>
          <w:highlight w:val="none"/>
        </w:rPr>
        <w:t>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一般公共服务支出（类）市场监督管理事务（款）行政运行（项）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156.28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152.00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97.26</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支出本着专款专用、厉行节约的原则，减少一般性办公费用支出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3.一般公共服务支出（类）市场监督管理事务（款）其他市场监督管理事务（项）。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88.50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192.39</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我所执行中国纤维质量监测中心2021年度国储棉出入库公检工作，这部分经费为国家中心下发任务完成后追加划拨经费，预算数为上年任务完成应划拨经费数，不包含后期陆续划拨经费。</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宋体" w:eastAsia="仿宋_GB2312" w:cs="Courier New"/>
          <w:b/>
          <w:bCs/>
          <w:sz w:val="32"/>
          <w:szCs w:val="32"/>
          <w:lang w:val="en-US" w:eastAsia="zh-CN"/>
        </w:rPr>
        <w:t>社会保障和就业支出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宋体" w:eastAsia="仿宋_GB2312" w:cs="Courier New"/>
          <w:b/>
          <w:bCs/>
          <w:sz w:val="32"/>
          <w:szCs w:val="32"/>
          <w:lang w:val="en-US" w:eastAsia="zh-CN"/>
        </w:rPr>
        <w:t>行政事业单位养老支出</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宋体" w:eastAsia="仿宋_GB2312" w:cs="Courier New"/>
          <w:b/>
          <w:bCs/>
          <w:sz w:val="32"/>
          <w:szCs w:val="32"/>
          <w:lang w:val="en-US" w:eastAsia="zh-CN"/>
        </w:rPr>
        <w:t>行政单位离退休</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预算为10.46万元，支出决算为10.38万元，完成预算的99.24%。决算数与预算数存在差异的主要原因是，使用单位结转结余的上年度资金支付了部分退休人员经费支出。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宋体" w:eastAsia="仿宋_GB2312" w:cs="Courier New"/>
          <w:b/>
          <w:bCs/>
          <w:sz w:val="32"/>
          <w:szCs w:val="32"/>
          <w:lang w:val="en-US" w:eastAsia="zh-CN"/>
        </w:rPr>
        <w:t>5.社会保障和就业支出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宋体" w:eastAsia="仿宋_GB2312" w:cs="Courier New"/>
          <w:b/>
          <w:bCs/>
          <w:sz w:val="32"/>
          <w:szCs w:val="32"/>
          <w:lang w:val="en-US" w:eastAsia="zh-CN"/>
        </w:rPr>
        <w:t>行政事业单位养老支出</w:t>
      </w:r>
      <w:r>
        <w:rPr>
          <w:rFonts w:hint="eastAsia" w:ascii="仿宋_GB2312" w:hAnsi="仿宋_GB2312" w:eastAsia="仿宋_GB2312" w:cs="仿宋_GB2312"/>
          <w:b/>
          <w:bCs/>
          <w:color w:val="auto"/>
          <w:sz w:val="32"/>
          <w:szCs w:val="32"/>
          <w:highlight w:val="none"/>
          <w:lang w:val="en-US" w:eastAsia="zh-CN"/>
        </w:rPr>
        <w:t>（款）机关事业单位基本养老保险缴费支出（项）。</w:t>
      </w:r>
      <w:r>
        <w:rPr>
          <w:rFonts w:hint="eastAsia" w:ascii="仿宋_GB2312" w:hAnsi="仿宋_GB2312" w:eastAsia="仿宋_GB2312" w:cs="仿宋_GB2312"/>
          <w:color w:val="auto"/>
          <w:sz w:val="32"/>
          <w:szCs w:val="32"/>
          <w:highlight w:val="none"/>
          <w:lang w:val="en-US" w:eastAsia="zh-CN"/>
        </w:rPr>
        <w:t>预算为9.07万元，支出决算为11.01万元，完成预算的121.39%。决算数与预算数存在差异的主要原因是，本财政年度使用结转结余资金，支付了部分上年度未支付的基本养老险缴费支出。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预算为4.73万元，支出决算为4.62万元，完成预算的97.67%。决算数与预算数存在差异的主要原因是单位结转结余的上年度资金支付了部分本年度医疗保险。</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预算为4.50万元，支出决算为4.40万元，完成预算的97.78%。决算数与预算数存在差异的主要原因是单位结转结余的上年度资金支付了部分本年度公务员医疗补助。</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183.13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166.85</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sz w:val="32"/>
          <w:szCs w:val="24"/>
          <w:lang w:val="en-US"/>
        </w:rPr>
        <w:t>16.28</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办公费、印刷费、水费、电费、邮电费、维修（护）费、专用材料费、劳务费、委托业务费、工会经费、福利费、公务用车运行维护费、其他交通费用。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1.93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48.</w:t>
      </w:r>
      <w:r>
        <w:rPr>
          <w:rFonts w:hint="eastAsia" w:ascii="仿宋_GB2312" w:hAnsi="仿宋_GB2312" w:eastAsia="仿宋_GB2312"/>
          <w:sz w:val="32"/>
          <w:szCs w:val="24"/>
          <w:lang w:val="en-US" w:eastAsia="zh-CN"/>
        </w:rPr>
        <w:t>25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Courier New"/>
          <w:sz w:val="32"/>
          <w:szCs w:val="32"/>
          <w:lang w:val="en-US" w:eastAsia="zh-CN"/>
        </w:rPr>
        <w:t>我所2021年度全年在外执行公检任务时间较长，同时也减少了不必要的公务交流，本着厉行节约的原则，减少三公经费支出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sz w:val="32"/>
          <w:szCs w:val="24"/>
          <w:lang w:val="en-US"/>
        </w:rPr>
        <w:t>1.93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48.</w:t>
      </w:r>
      <w:r>
        <w:rPr>
          <w:rFonts w:hint="eastAsia" w:ascii="仿宋_GB2312" w:hAnsi="仿宋_GB2312" w:eastAsia="仿宋_GB2312"/>
          <w:sz w:val="32"/>
          <w:szCs w:val="24"/>
          <w:lang w:val="en-US" w:eastAsia="zh-CN"/>
        </w:rPr>
        <w:t>25</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lang w:val="en-US"/>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1.93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48.</w:t>
      </w:r>
      <w:r>
        <w:rPr>
          <w:rFonts w:hint="eastAsia" w:ascii="仿宋_GB2312" w:hAnsi="仿宋_GB2312" w:eastAsia="仿宋_GB2312"/>
          <w:sz w:val="32"/>
          <w:szCs w:val="24"/>
          <w:lang w:val="en-US" w:eastAsia="zh-CN"/>
        </w:rPr>
        <w:t>25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车辆老化严重长期连续使用存在严重安全隐患，尽量减少使用次数，降低运行维护支出。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1.93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Courier New"/>
          <w:sz w:val="32"/>
          <w:szCs w:val="32"/>
          <w:lang w:val="en-US" w:eastAsia="zh-CN"/>
        </w:rPr>
        <w:t>执行中国纤维质量监测中心下发的国储棉轮出公检任务保障车辆的运行维护支出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。不存在项目年末结转和结余资金数额较大，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单位2021年度</w:t>
      </w:r>
      <w:r>
        <w:rPr>
          <w:rFonts w:hint="eastAsia" w:ascii="仿宋_GB2312" w:hAnsi="仿宋_GB2312" w:eastAsia="仿宋_GB2312" w:cs="仿宋_GB2312"/>
          <w:sz w:val="32"/>
          <w:szCs w:val="32"/>
          <w:highlight w:val="none"/>
        </w:rPr>
        <w:t>没有政府性基金收入，也没有使用政府性基金安排的支出</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年度机关运行经费预算为</w:t>
      </w:r>
      <w:r>
        <w:rPr>
          <w:rFonts w:hint="eastAsia" w:ascii="仿宋_GB2312" w:hAnsi="仿宋_GB2312" w:eastAsia="仿宋_GB2312" w:cs="仿宋_GB2312"/>
          <w:sz w:val="32"/>
          <w:szCs w:val="32"/>
          <w:highlight w:val="none"/>
          <w:lang w:val="en-US" w:eastAsia="zh-CN"/>
        </w:rPr>
        <w:t>28.20万元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sz w:val="32"/>
          <w:szCs w:val="24"/>
          <w:lang w:val="en-US"/>
        </w:rPr>
        <w:t>16.28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57.73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宋体" w:eastAsia="仿宋_GB2312" w:cs="Courier New"/>
          <w:sz w:val="32"/>
          <w:szCs w:val="32"/>
          <w:lang w:val="en-US" w:eastAsia="zh-CN"/>
        </w:rPr>
        <w:t>我所2021年度全年在外执行中国纤维质量监测中心下发的国储棉轮出轮入公检任务，加上一般性办公支出本着专款专用、厉行节约的原则，减少一般性办公费用支出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，其中：政府采购货物支出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、政府采购工程支出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、政府采购服务支出</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。授予中小企业合同金额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w:t>
      </w:r>
      <w:r>
        <w:rPr>
          <w:rFonts w:hint="eastAsia" w:ascii="仿宋_GB2312" w:hAnsi="仿宋_GB2312" w:eastAsia="仿宋_GB2312" w:cs="仿宋_GB2312"/>
          <w:sz w:val="32"/>
          <w:szCs w:val="32"/>
          <w:highlight w:val="none"/>
          <w:lang w:eastAsia="zh-CN"/>
        </w:rPr>
        <w:t>0万元</w:t>
      </w:r>
      <w:r>
        <w:rPr>
          <w:rFonts w:hint="eastAsia" w:ascii="仿宋_GB2312" w:hAnsi="仿宋_GB2312" w:eastAsia="仿宋_GB2312" w:cs="仿宋_GB2312"/>
          <w:sz w:val="32"/>
          <w:szCs w:val="32"/>
          <w:highlight w:val="none"/>
        </w:rPr>
        <w:t>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w:t>
      </w:r>
      <w:r>
        <w:rPr>
          <w:rFonts w:hint="eastAsia" w:ascii="仿宋_GB2312" w:hAnsi="仿宋_GB2312" w:eastAsia="仿宋_GB2312" w:cs="仿宋_GB2312"/>
          <w:sz w:val="32"/>
          <w:szCs w:val="32"/>
          <w:highlight w:val="none"/>
          <w:lang w:eastAsia="zh-CN"/>
        </w:rPr>
        <w:t>0万元</w:t>
      </w:r>
      <w:r>
        <w:rPr>
          <w:rFonts w:hint="eastAsia" w:ascii="仿宋_GB2312" w:hAnsi="仿宋_GB2312" w:eastAsia="仿宋_GB2312" w:cs="仿宋_GB2312"/>
          <w:sz w:val="32"/>
          <w:szCs w:val="32"/>
          <w:highlight w:val="none"/>
        </w:rPr>
        <w:t>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w:t>
      </w:r>
      <w:r>
        <w:rPr>
          <w:rFonts w:hint="eastAsia" w:ascii="仿宋_GB2312" w:hAnsi="仿宋_GB2312" w:eastAsia="仿宋_GB2312" w:cs="仿宋_GB2312"/>
          <w:b w:val="0"/>
          <w:bCs w:val="0"/>
          <w:color w:val="auto"/>
          <w:sz w:val="32"/>
          <w:szCs w:val="32"/>
          <w:highlight w:val="none"/>
          <w:lang w:val="en-US" w:eastAsia="zh-CN"/>
        </w:rPr>
        <w:t>2021年度我单位一般公共预算财政拨款支出年初预算为</w:t>
      </w:r>
      <w:r>
        <w:rPr>
          <w:rFonts w:hint="eastAsia" w:ascii="仿宋_GB2312" w:hAnsi="宋体" w:eastAsia="仿宋_GB2312" w:cs="仿宋_GB2312"/>
          <w:color w:val="000000"/>
          <w:kern w:val="0"/>
          <w:sz w:val="31"/>
          <w:szCs w:val="31"/>
          <w:lang w:val="en-US" w:eastAsia="zh-CN" w:bidi="ar"/>
        </w:rPr>
        <w:t>231.77</w:t>
      </w:r>
      <w:r>
        <w:rPr>
          <w:rFonts w:hint="eastAsia" w:ascii="仿宋_GB2312" w:hAnsi="仿宋_GB2312" w:eastAsia="仿宋_GB2312" w:cs="仿宋_GB2312"/>
          <w:b w:val="0"/>
          <w:bCs w:val="0"/>
          <w:color w:val="auto"/>
          <w:sz w:val="32"/>
          <w:szCs w:val="32"/>
          <w:highlight w:val="none"/>
          <w:lang w:val="en-US" w:eastAsia="zh-CN"/>
        </w:rPr>
        <w:t>万元，本年度决算</w:t>
      </w:r>
      <w:r>
        <w:rPr>
          <w:rFonts w:hint="eastAsia" w:ascii="仿宋_GB2312" w:hAnsi="仿宋_GB2312" w:eastAsia="仿宋_GB2312" w:cs="仿宋_GB2312"/>
          <w:sz w:val="32"/>
          <w:szCs w:val="32"/>
          <w:highlight w:val="none"/>
        </w:rPr>
        <w:t>收、支总计均为</w:t>
      </w:r>
      <w:r>
        <w:rPr>
          <w:rFonts w:hint="eastAsia" w:ascii="仿宋_GB2312" w:hAnsi="仿宋_GB2312" w:eastAsia="仿宋_GB2312"/>
          <w:sz w:val="32"/>
          <w:szCs w:val="24"/>
        </w:rPr>
        <w:t>271.72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b w:val="0"/>
          <w:bCs w:val="0"/>
          <w:color w:val="auto"/>
          <w:sz w:val="32"/>
          <w:szCs w:val="32"/>
          <w:highlight w:val="none"/>
          <w:lang w:val="en-US" w:eastAsia="zh-CN"/>
        </w:rPr>
        <w:t>，单位资金全部到位，资金管理情况良好，大部分资金都能够按照预期要求完成支付。资金拨付履行完整的审批程序和手续，严格遵守财务管理各项规章制度，本单位完成年初指定的绩效目标，提升了资金使用效益</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w:t>
      </w:r>
      <w:r>
        <w:rPr>
          <w:rFonts w:hint="eastAsia" w:ascii="仿宋_GB2312" w:hAnsi="仿宋_GB2312" w:eastAsia="仿宋_GB2312"/>
          <w:sz w:val="32"/>
          <w:szCs w:val="24"/>
          <w:lang w:val="en-US"/>
        </w:rPr>
        <w:t>88.57</w:t>
      </w:r>
      <w:r>
        <w:rPr>
          <w:rFonts w:hint="eastAsia" w:ascii="仿宋_GB2312" w:hAnsi="仿宋_GB2312" w:eastAsia="仿宋_GB2312" w:cs="仿宋_GB2312"/>
          <w:color w:val="auto"/>
          <w:sz w:val="32"/>
          <w:szCs w:val="32"/>
          <w:highlight w:val="none"/>
          <w:lang w:val="en-US" w:eastAsia="zh-CN"/>
        </w:rPr>
        <w:t>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许昌市纤维检验所单位1个，项目金额</w:t>
      </w:r>
      <w:r>
        <w:rPr>
          <w:rFonts w:hint="eastAsia" w:ascii="仿宋_GB2312" w:hAnsi="仿宋_GB2312" w:eastAsia="仿宋_GB2312"/>
          <w:sz w:val="32"/>
          <w:szCs w:val="24"/>
          <w:lang w:val="en-US"/>
        </w:rPr>
        <w:t>88.57</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350EB"/>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7C77B6"/>
    <w:rsid w:val="02A3489A"/>
    <w:rsid w:val="02CA138D"/>
    <w:rsid w:val="02E365EF"/>
    <w:rsid w:val="033646FC"/>
    <w:rsid w:val="03C75F80"/>
    <w:rsid w:val="046A1F02"/>
    <w:rsid w:val="0478364D"/>
    <w:rsid w:val="053D4C0D"/>
    <w:rsid w:val="0557532E"/>
    <w:rsid w:val="0799329C"/>
    <w:rsid w:val="08397436"/>
    <w:rsid w:val="086F16A7"/>
    <w:rsid w:val="0A0F7225"/>
    <w:rsid w:val="0A2B7D82"/>
    <w:rsid w:val="0ADC40E9"/>
    <w:rsid w:val="0AE607F4"/>
    <w:rsid w:val="0B386127"/>
    <w:rsid w:val="0B451598"/>
    <w:rsid w:val="0BEC73F4"/>
    <w:rsid w:val="0C392698"/>
    <w:rsid w:val="0E2DD508"/>
    <w:rsid w:val="101F47D8"/>
    <w:rsid w:val="10BD36F6"/>
    <w:rsid w:val="11705E8E"/>
    <w:rsid w:val="11AD02D1"/>
    <w:rsid w:val="11BF0649"/>
    <w:rsid w:val="123E3E08"/>
    <w:rsid w:val="13015D68"/>
    <w:rsid w:val="133212F4"/>
    <w:rsid w:val="13D22E22"/>
    <w:rsid w:val="14BC199D"/>
    <w:rsid w:val="15F829AC"/>
    <w:rsid w:val="161C2DFF"/>
    <w:rsid w:val="16373578"/>
    <w:rsid w:val="164E6B85"/>
    <w:rsid w:val="16D3336B"/>
    <w:rsid w:val="17200028"/>
    <w:rsid w:val="17806C36"/>
    <w:rsid w:val="17A74F62"/>
    <w:rsid w:val="17CC748F"/>
    <w:rsid w:val="18A47774"/>
    <w:rsid w:val="18BB370C"/>
    <w:rsid w:val="1A8D28EB"/>
    <w:rsid w:val="1A9F2D78"/>
    <w:rsid w:val="1B2E6FD8"/>
    <w:rsid w:val="1B877D21"/>
    <w:rsid w:val="1C4319A9"/>
    <w:rsid w:val="1C942589"/>
    <w:rsid w:val="1E443B4B"/>
    <w:rsid w:val="1E994F4A"/>
    <w:rsid w:val="1EAF0224"/>
    <w:rsid w:val="1F2230A4"/>
    <w:rsid w:val="20192774"/>
    <w:rsid w:val="20210932"/>
    <w:rsid w:val="202448E0"/>
    <w:rsid w:val="20F614FE"/>
    <w:rsid w:val="21246ADE"/>
    <w:rsid w:val="21302EEA"/>
    <w:rsid w:val="22376FB5"/>
    <w:rsid w:val="22A470BA"/>
    <w:rsid w:val="23E152D7"/>
    <w:rsid w:val="23EE2489"/>
    <w:rsid w:val="255D43C8"/>
    <w:rsid w:val="26714EF8"/>
    <w:rsid w:val="2675673E"/>
    <w:rsid w:val="26876BDD"/>
    <w:rsid w:val="26FF11E8"/>
    <w:rsid w:val="2714632A"/>
    <w:rsid w:val="27541E73"/>
    <w:rsid w:val="27B0539E"/>
    <w:rsid w:val="29365CF8"/>
    <w:rsid w:val="299469B3"/>
    <w:rsid w:val="29DF3109"/>
    <w:rsid w:val="2A6A557A"/>
    <w:rsid w:val="2A805789"/>
    <w:rsid w:val="2ADC0D75"/>
    <w:rsid w:val="2B4A0E52"/>
    <w:rsid w:val="2C975890"/>
    <w:rsid w:val="2DE41D3C"/>
    <w:rsid w:val="2DEF21BB"/>
    <w:rsid w:val="2E4A2F05"/>
    <w:rsid w:val="2ECC1061"/>
    <w:rsid w:val="2ECD5264"/>
    <w:rsid w:val="2EE7009C"/>
    <w:rsid w:val="2FA476AD"/>
    <w:rsid w:val="303F7540"/>
    <w:rsid w:val="30E968DE"/>
    <w:rsid w:val="31DD00BF"/>
    <w:rsid w:val="3293174C"/>
    <w:rsid w:val="32BB38D4"/>
    <w:rsid w:val="32C9376D"/>
    <w:rsid w:val="33780472"/>
    <w:rsid w:val="33AF0905"/>
    <w:rsid w:val="355932F4"/>
    <w:rsid w:val="35611882"/>
    <w:rsid w:val="36746FC3"/>
    <w:rsid w:val="368763AE"/>
    <w:rsid w:val="37F150F4"/>
    <w:rsid w:val="385A6822"/>
    <w:rsid w:val="395D59E7"/>
    <w:rsid w:val="39A93932"/>
    <w:rsid w:val="3A915562"/>
    <w:rsid w:val="3B380EFD"/>
    <w:rsid w:val="3B8D4765"/>
    <w:rsid w:val="3C000DBA"/>
    <w:rsid w:val="3DC045D3"/>
    <w:rsid w:val="3DDC75C4"/>
    <w:rsid w:val="3E504FFB"/>
    <w:rsid w:val="3E615CD0"/>
    <w:rsid w:val="3E9C47F6"/>
    <w:rsid w:val="3F8B0112"/>
    <w:rsid w:val="3FAB3095"/>
    <w:rsid w:val="3FE45947"/>
    <w:rsid w:val="41242965"/>
    <w:rsid w:val="41F555EE"/>
    <w:rsid w:val="428241C8"/>
    <w:rsid w:val="435671EA"/>
    <w:rsid w:val="43E41970"/>
    <w:rsid w:val="440809E9"/>
    <w:rsid w:val="442407A6"/>
    <w:rsid w:val="445F22F6"/>
    <w:rsid w:val="44805EA1"/>
    <w:rsid w:val="45710696"/>
    <w:rsid w:val="457A2E0C"/>
    <w:rsid w:val="46142B1B"/>
    <w:rsid w:val="47E60DD0"/>
    <w:rsid w:val="48735039"/>
    <w:rsid w:val="492C684B"/>
    <w:rsid w:val="49500594"/>
    <w:rsid w:val="49E7604E"/>
    <w:rsid w:val="4A8A3038"/>
    <w:rsid w:val="4BF67CDD"/>
    <w:rsid w:val="4D102B88"/>
    <w:rsid w:val="4D173441"/>
    <w:rsid w:val="4D603DD6"/>
    <w:rsid w:val="4EBF010F"/>
    <w:rsid w:val="4F471EB0"/>
    <w:rsid w:val="4F5A4BF2"/>
    <w:rsid w:val="51331326"/>
    <w:rsid w:val="51740A7F"/>
    <w:rsid w:val="51A5541E"/>
    <w:rsid w:val="51C96242"/>
    <w:rsid w:val="52FC4042"/>
    <w:rsid w:val="53844535"/>
    <w:rsid w:val="53906AE1"/>
    <w:rsid w:val="54F46F60"/>
    <w:rsid w:val="55A37BEA"/>
    <w:rsid w:val="56362CD2"/>
    <w:rsid w:val="56D37381"/>
    <w:rsid w:val="577F94C1"/>
    <w:rsid w:val="5784687B"/>
    <w:rsid w:val="57846959"/>
    <w:rsid w:val="578E6A87"/>
    <w:rsid w:val="57BD9EC0"/>
    <w:rsid w:val="57FE5568"/>
    <w:rsid w:val="5AC2203A"/>
    <w:rsid w:val="5CBB3334"/>
    <w:rsid w:val="5D115FAF"/>
    <w:rsid w:val="5E5CB875"/>
    <w:rsid w:val="5F53242B"/>
    <w:rsid w:val="60316CD8"/>
    <w:rsid w:val="603F5DE6"/>
    <w:rsid w:val="60E63D03"/>
    <w:rsid w:val="62811722"/>
    <w:rsid w:val="62E75A72"/>
    <w:rsid w:val="64065D21"/>
    <w:rsid w:val="64571880"/>
    <w:rsid w:val="649125B6"/>
    <w:rsid w:val="64A85204"/>
    <w:rsid w:val="64D2DDCA"/>
    <w:rsid w:val="652F4C1A"/>
    <w:rsid w:val="666D37F1"/>
    <w:rsid w:val="66CD2E5A"/>
    <w:rsid w:val="67087D8F"/>
    <w:rsid w:val="671F687E"/>
    <w:rsid w:val="67F415F8"/>
    <w:rsid w:val="681621B9"/>
    <w:rsid w:val="682640D1"/>
    <w:rsid w:val="684B73E5"/>
    <w:rsid w:val="68523EC2"/>
    <w:rsid w:val="68A01342"/>
    <w:rsid w:val="6A047A2A"/>
    <w:rsid w:val="6D1E1BFC"/>
    <w:rsid w:val="6EFB7548"/>
    <w:rsid w:val="6F3831C3"/>
    <w:rsid w:val="6F8B71C1"/>
    <w:rsid w:val="70753482"/>
    <w:rsid w:val="707B522A"/>
    <w:rsid w:val="711969B4"/>
    <w:rsid w:val="73194D05"/>
    <w:rsid w:val="73A83B0E"/>
    <w:rsid w:val="744D3EF9"/>
    <w:rsid w:val="74794411"/>
    <w:rsid w:val="74993D11"/>
    <w:rsid w:val="75867C40"/>
    <w:rsid w:val="75B10B26"/>
    <w:rsid w:val="76432199"/>
    <w:rsid w:val="76F44829"/>
    <w:rsid w:val="77A267C0"/>
    <w:rsid w:val="78882278"/>
    <w:rsid w:val="789E008A"/>
    <w:rsid w:val="78B118A6"/>
    <w:rsid w:val="79135044"/>
    <w:rsid w:val="7A1A67F6"/>
    <w:rsid w:val="7A7D0F99"/>
    <w:rsid w:val="7DFD280A"/>
    <w:rsid w:val="7E4A0E7C"/>
    <w:rsid w:val="7EFD449D"/>
    <w:rsid w:val="7FBF0D36"/>
    <w:rsid w:val="7FFE5610"/>
    <w:rsid w:val="A2E954BD"/>
    <w:rsid w:val="B53D3C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8258</Words>
  <Characters>10019</Characters>
  <Lines>60</Lines>
  <Paragraphs>16</Paragraphs>
  <TotalTime>5.33333333333333</TotalTime>
  <ScaleCrop>false</ScaleCrop>
  <LinksUpToDate>false</LinksUpToDate>
  <CharactersWithSpaces>10243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2023-05-10T11:15:17Z</cp:lastPrinted>
  <dcterms:modified xsi:type="dcterms:W3CDTF">2023-05-29T03:10:28Z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AF7EC751FCF44E18883C6C6B42459362_13</vt:lpwstr>
  </property>
</Properties>
</file>