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许昌市第九中学单位决算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headerReference r:id="rId3" w:type="default"/>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许昌市第九中学概况</w:t>
      </w:r>
    </w:p>
    <w:p>
      <w:pPr>
        <w:numPr>
          <w:ilvl w:val="0"/>
          <w:numId w:val="1"/>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职责</w:t>
      </w:r>
    </w:p>
    <w:p>
      <w:pPr>
        <w:numPr>
          <w:ilvl w:val="0"/>
          <w:numId w:val="1"/>
        </w:num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七、一般公共预算财政拨款“三公”经费支出决算表</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七、一般公共预算财政拨款“三公”经费支出决算情况说明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八、政府性基金预算财政拨款支出决算情况说明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九、机关运行经费支出情况说明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十、政府采购支出情况说明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十一、国有资产占用情况说明</w:t>
      </w:r>
    </w:p>
    <w:p>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宋体" w:eastAsia="黑体" w:cs="宋体"/>
          <w:kern w:val="0"/>
          <w:sz w:val="28"/>
          <w:szCs w:val="28"/>
        </w:rPr>
      </w:pPr>
      <w:r>
        <w:rPr>
          <w:rFonts w:hint="eastAsia" w:ascii="黑体" w:hAnsi="黑体" w:eastAsia="黑体" w:cs="黑体"/>
          <w:sz w:val="48"/>
          <w:szCs w:val="48"/>
        </w:rPr>
        <w:t>第一部分  许昌市第九中学概况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一、部门</w:t>
      </w:r>
      <w:r>
        <w:rPr>
          <w:rFonts w:hint="eastAsia" w:ascii="黑体" w:hAnsi="黑体" w:eastAsia="黑体" w:cs="黑体"/>
          <w:bCs/>
          <w:sz w:val="32"/>
          <w:szCs w:val="32"/>
        </w:rPr>
        <w:t>职责</w:t>
      </w:r>
    </w:p>
    <w:p>
      <w:pPr>
        <w:widowControl/>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1.实施初中义务教育，促进基础教育发展。</w:t>
      </w:r>
    </w:p>
    <w:p>
      <w:pPr>
        <w:widowControl/>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2.初中学历教育。</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内设机构5个，包括：办公室、教务科、政教科、总务科、安全科。</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从决算单位构成看，许昌市第九中学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p>
    <w:p>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2021年度决算编制范围的单位共1个，具体是：</w:t>
      </w:r>
    </w:p>
    <w:p>
      <w:pPr>
        <w:widowControl/>
        <w:ind w:firstLine="640" w:firstLineChars="200"/>
        <w:jc w:val="left"/>
        <w:rPr>
          <w:rFonts w:ascii="宋体" w:hAnsi="宋体" w:cs="仿宋_GB2312"/>
          <w:kern w:val="0"/>
          <w:sz w:val="32"/>
          <w:szCs w:val="32"/>
        </w:rPr>
      </w:pPr>
      <w:r>
        <w:rPr>
          <w:rFonts w:hint="eastAsia" w:ascii="仿宋_GB2312" w:hAnsi="仿宋_GB2312" w:eastAsia="仿宋_GB2312" w:cs="仿宋_GB2312"/>
          <w:kern w:val="0"/>
          <w:sz w:val="32"/>
          <w:szCs w:val="32"/>
        </w:rPr>
        <w:t>1.许昌市第九中学</w:t>
      </w:r>
    </w:p>
    <w:p>
      <w:pPr>
        <w:widowControl/>
        <w:jc w:val="left"/>
        <w:rPr>
          <w:rFonts w:ascii="宋体" w:hAnsi="宋体" w:cs="宋体"/>
          <w:kern w:val="0"/>
          <w:sz w:val="28"/>
          <w:szCs w:val="28"/>
        </w:rPr>
        <w:sectPr>
          <w:footerReference r:id="rId4" w:type="default"/>
          <w:footerReference r:id="rId5" w:type="even"/>
          <w:pgSz w:w="11906" w:h="16838"/>
          <w:pgMar w:top="1440" w:right="1800" w:bottom="1440" w:left="180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2021年度单位决算表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5"/>
        <w:tblW w:w="13041" w:type="dxa"/>
        <w:tblInd w:w="89" w:type="dxa"/>
        <w:tblLayout w:type="autofit"/>
        <w:tblCellMar>
          <w:top w:w="0" w:type="dxa"/>
          <w:left w:w="108" w:type="dxa"/>
          <w:bottom w:w="0" w:type="dxa"/>
          <w:right w:w="108" w:type="dxa"/>
        </w:tblCellMar>
      </w:tblPr>
      <w:tblGrid>
        <w:gridCol w:w="4545"/>
        <w:gridCol w:w="611"/>
        <w:gridCol w:w="1173"/>
        <w:gridCol w:w="4264"/>
        <w:gridCol w:w="611"/>
        <w:gridCol w:w="1837"/>
      </w:tblGrid>
      <w:tr>
        <w:tblPrEx>
          <w:tblCellMar>
            <w:top w:w="0" w:type="dxa"/>
            <w:left w:w="108" w:type="dxa"/>
            <w:bottom w:w="0" w:type="dxa"/>
            <w:right w:w="108" w:type="dxa"/>
          </w:tblCellMar>
        </w:tblPrEx>
        <w:trPr>
          <w:trHeight w:val="390" w:hRule="atLeast"/>
        </w:trPr>
        <w:tc>
          <w:tcPr>
            <w:tcW w:w="13041" w:type="dxa"/>
            <w:gridSpan w:val="6"/>
            <w:tcBorders>
              <w:top w:val="nil"/>
              <w:left w:val="nil"/>
              <w:bottom w:val="nil"/>
              <w:right w:val="nil"/>
            </w:tcBorders>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收入支出决算总表</w:t>
            </w:r>
          </w:p>
        </w:tc>
      </w:tr>
      <w:tr>
        <w:tblPrEx>
          <w:tblCellMar>
            <w:top w:w="0" w:type="dxa"/>
            <w:left w:w="108" w:type="dxa"/>
            <w:bottom w:w="0" w:type="dxa"/>
            <w:right w:w="108" w:type="dxa"/>
          </w:tblCellMar>
        </w:tblPrEx>
        <w:trPr>
          <w:trHeight w:val="255" w:hRule="atLeast"/>
        </w:trPr>
        <w:tc>
          <w:tcPr>
            <w:tcW w:w="4545"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1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173"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426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1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37"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公开01表</w:t>
            </w:r>
          </w:p>
        </w:tc>
      </w:tr>
      <w:tr>
        <w:tblPrEx>
          <w:tblCellMar>
            <w:top w:w="0" w:type="dxa"/>
            <w:left w:w="108" w:type="dxa"/>
            <w:bottom w:w="0" w:type="dxa"/>
            <w:right w:w="108" w:type="dxa"/>
          </w:tblCellMar>
        </w:tblPrEx>
        <w:trPr>
          <w:trHeight w:val="255" w:hRule="atLeast"/>
        </w:trPr>
        <w:tc>
          <w:tcPr>
            <w:tcW w:w="6329" w:type="dxa"/>
            <w:gridSpan w:val="3"/>
            <w:tcBorders>
              <w:top w:val="nil"/>
              <w:left w:val="nil"/>
              <w:bottom w:val="single" w:color="000000" w:sz="4" w:space="0"/>
              <w:right w:val="nil"/>
            </w:tcBorders>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部门：许昌市第九中学</w:t>
            </w:r>
          </w:p>
        </w:tc>
        <w:tc>
          <w:tcPr>
            <w:tcW w:w="4264"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611" w:type="dxa"/>
            <w:tcBorders>
              <w:top w:val="nil"/>
              <w:left w:val="nil"/>
              <w:bottom w:val="nil"/>
              <w:right w:val="nil"/>
            </w:tcBorders>
            <w:noWrap/>
            <w:vAlign w:val="bottom"/>
          </w:tcPr>
          <w:p>
            <w:pPr>
              <w:widowControl/>
              <w:jc w:val="left"/>
              <w:rPr>
                <w:rFonts w:ascii="Arial" w:hAnsi="Arial" w:cs="Arial"/>
                <w:color w:val="000000"/>
                <w:kern w:val="0"/>
                <w:sz w:val="20"/>
                <w:szCs w:val="20"/>
              </w:rPr>
            </w:pPr>
          </w:p>
        </w:tc>
        <w:tc>
          <w:tcPr>
            <w:tcW w:w="1837" w:type="dxa"/>
            <w:tcBorders>
              <w:top w:val="nil"/>
              <w:left w:val="nil"/>
              <w:bottom w:val="nil"/>
              <w:right w:val="nil"/>
            </w:tcBorders>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6329"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收入</w:t>
            </w:r>
          </w:p>
        </w:tc>
        <w:tc>
          <w:tcPr>
            <w:tcW w:w="6712"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支出</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7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83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17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83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1,125.14</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三、国有资本经营预算财政拨款收入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四、上级补助收入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五、事业收入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1,188.15</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六、经营收入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七、附属单位上缴收入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八、其他收入</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24</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25</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26</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1,125.14</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1,394.69</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使用非财政拨款结余</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结余分配</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年初结转和结余</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269.55</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年末结转和结余</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4545"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11"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17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1,394.69</w:t>
            </w:r>
          </w:p>
        </w:tc>
        <w:tc>
          <w:tcPr>
            <w:tcW w:w="426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6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83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1,394.69</w:t>
            </w:r>
          </w:p>
        </w:tc>
      </w:tr>
      <w:tr>
        <w:tblPrEx>
          <w:tblCellMar>
            <w:top w:w="0" w:type="dxa"/>
            <w:left w:w="108" w:type="dxa"/>
            <w:bottom w:w="0" w:type="dxa"/>
            <w:right w:w="108" w:type="dxa"/>
          </w:tblCellMar>
        </w:tblPrEx>
        <w:trPr>
          <w:trHeight w:val="308" w:hRule="atLeast"/>
        </w:trPr>
        <w:tc>
          <w:tcPr>
            <w:tcW w:w="13041" w:type="dxa"/>
            <w:gridSpan w:val="6"/>
            <w:tcBorders>
              <w:top w:val="nil"/>
              <w:left w:val="nil"/>
              <w:bottom w:val="nil"/>
              <w:right w:val="nil"/>
            </w:tcBorders>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注：本表反映部门本年度的总收支和年末结转结余情况。本表金额转换为万元时，因四舍五入可能存在尾差。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701" w:right="1440" w:bottom="1701" w:left="1440" w:header="720" w:footer="720" w:gutter="0"/>
          <w:pgNumType w:fmt="numberInDash"/>
          <w:cols w:space="720" w:num="1"/>
          <w:docGrid w:type="lines" w:linePitch="312" w:charSpace="0"/>
        </w:sectPr>
      </w:pPr>
    </w:p>
    <w:tbl>
      <w:tblPr>
        <w:tblStyle w:val="5"/>
        <w:tblW w:w="14457" w:type="dxa"/>
        <w:tblInd w:w="89" w:type="dxa"/>
        <w:tblLayout w:type="autofit"/>
        <w:tblCellMar>
          <w:top w:w="0" w:type="dxa"/>
          <w:left w:w="108" w:type="dxa"/>
          <w:bottom w:w="0" w:type="dxa"/>
          <w:right w:w="108" w:type="dxa"/>
        </w:tblCellMar>
      </w:tblPr>
      <w:tblGrid>
        <w:gridCol w:w="403"/>
        <w:gridCol w:w="315"/>
        <w:gridCol w:w="268"/>
        <w:gridCol w:w="4926"/>
        <w:gridCol w:w="1568"/>
        <w:gridCol w:w="1777"/>
        <w:gridCol w:w="911"/>
        <w:gridCol w:w="846"/>
        <w:gridCol w:w="898"/>
        <w:gridCol w:w="846"/>
        <w:gridCol w:w="1875"/>
      </w:tblGrid>
      <w:tr>
        <w:tblPrEx>
          <w:tblCellMar>
            <w:top w:w="0" w:type="dxa"/>
            <w:left w:w="108" w:type="dxa"/>
            <w:bottom w:w="0" w:type="dxa"/>
            <w:right w:w="108" w:type="dxa"/>
          </w:tblCellMar>
        </w:tblPrEx>
        <w:trPr>
          <w:trHeight w:val="390" w:hRule="atLeast"/>
        </w:trPr>
        <w:tc>
          <w:tcPr>
            <w:tcW w:w="14457" w:type="dxa"/>
            <w:gridSpan w:val="11"/>
            <w:tcBorders>
              <w:top w:val="nil"/>
              <w:left w:val="nil"/>
              <w:bottom w:val="nil"/>
              <w:right w:val="nil"/>
            </w:tcBorders>
            <w:shd w:val="clear" w:color="000000" w:fill="FFFFFF"/>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333"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6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17"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926"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56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7"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1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46"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9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46"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75" w:type="dxa"/>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公开02表</w:t>
            </w:r>
          </w:p>
        </w:tc>
      </w:tr>
      <w:tr>
        <w:tblPrEx>
          <w:tblCellMar>
            <w:top w:w="0" w:type="dxa"/>
            <w:left w:w="108" w:type="dxa"/>
            <w:bottom w:w="0" w:type="dxa"/>
            <w:right w:w="108" w:type="dxa"/>
          </w:tblCellMar>
        </w:tblPrEx>
        <w:trPr>
          <w:trHeight w:val="255" w:hRule="atLeast"/>
        </w:trPr>
        <w:tc>
          <w:tcPr>
            <w:tcW w:w="5736" w:type="dxa"/>
            <w:gridSpan w:val="4"/>
            <w:tcBorders>
              <w:top w:val="nil"/>
              <w:left w:val="nil"/>
              <w:bottom w:val="single" w:color="000000" w:sz="4" w:space="0"/>
              <w:right w:val="nil"/>
            </w:tcBorders>
            <w:shd w:val="clear" w:color="000000" w:fill="FFFFFF"/>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部门：许昌市第九中学</w:t>
            </w:r>
          </w:p>
        </w:tc>
        <w:tc>
          <w:tcPr>
            <w:tcW w:w="156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777"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1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46"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9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46"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75" w:type="dxa"/>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73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56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本年收入合计</w:t>
            </w:r>
          </w:p>
        </w:tc>
        <w:tc>
          <w:tcPr>
            <w:tcW w:w="1777"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财政拨款收入</w:t>
            </w:r>
          </w:p>
        </w:tc>
        <w:tc>
          <w:tcPr>
            <w:tcW w:w="911"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上级补助收入</w:t>
            </w:r>
          </w:p>
        </w:tc>
        <w:tc>
          <w:tcPr>
            <w:tcW w:w="846"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事业收入</w:t>
            </w:r>
          </w:p>
        </w:tc>
        <w:tc>
          <w:tcPr>
            <w:tcW w:w="89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经营收入</w:t>
            </w:r>
          </w:p>
        </w:tc>
        <w:tc>
          <w:tcPr>
            <w:tcW w:w="846"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附属单位上缴收入</w:t>
            </w:r>
          </w:p>
        </w:tc>
        <w:tc>
          <w:tcPr>
            <w:tcW w:w="1875"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其他收入</w:t>
            </w:r>
          </w:p>
        </w:tc>
      </w:tr>
      <w:tr>
        <w:tblPrEx>
          <w:tblCellMar>
            <w:top w:w="0" w:type="dxa"/>
            <w:left w:w="108" w:type="dxa"/>
            <w:bottom w:w="0" w:type="dxa"/>
            <w:right w:w="108" w:type="dxa"/>
          </w:tblCellMar>
        </w:tblPrEx>
        <w:trPr>
          <w:trHeight w:val="312" w:hRule="atLeast"/>
        </w:trPr>
        <w:tc>
          <w:tcPr>
            <w:tcW w:w="810" w:type="dxa"/>
            <w:gridSpan w:val="3"/>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926"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56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77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911"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875"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810"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926"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56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77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911"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875"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810"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926"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56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77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911"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46"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875"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73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56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77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1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4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8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846"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875"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r>
      <w:tr>
        <w:tblPrEx>
          <w:tblCellMar>
            <w:top w:w="0" w:type="dxa"/>
            <w:left w:w="108" w:type="dxa"/>
            <w:bottom w:w="0" w:type="dxa"/>
            <w:right w:w="108" w:type="dxa"/>
          </w:tblCellMar>
        </w:tblPrEx>
        <w:trPr>
          <w:trHeight w:val="308" w:hRule="atLeast"/>
        </w:trPr>
        <w:tc>
          <w:tcPr>
            <w:tcW w:w="573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1,125.14</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1,125.14</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教育支出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941.84</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941.84</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普通教育</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933.79</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933.79</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2050203</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初中教育</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857.88</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857.88</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2050299</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其他普通教育支出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75.92</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75.92</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其他教育支出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2059999</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其他教育支出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155.69</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155.69</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155.69</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155.69</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107.87</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107.87</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47.82</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47.82</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21.75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21.75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21.75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21.75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10"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926"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56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21.75</w:t>
            </w:r>
          </w:p>
        </w:tc>
        <w:tc>
          <w:tcPr>
            <w:tcW w:w="177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21.75</w:t>
            </w:r>
          </w:p>
        </w:tc>
        <w:tc>
          <w:tcPr>
            <w:tcW w:w="91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46"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75"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4457" w:type="dxa"/>
            <w:gridSpan w:val="11"/>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注：本表反映部门本年度取得的各项收入情况。本表金额转换为万元时，因四舍五入可能存在尾差。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1418" w:right="1440" w:bottom="1134" w:left="1440" w:header="720" w:footer="720" w:gutter="0"/>
          <w:pgNumType w:fmt="numberInDash"/>
          <w:cols w:space="720" w:num="1"/>
          <w:docGrid w:type="lines" w:linePitch="312" w:charSpace="0"/>
        </w:sectPr>
      </w:pPr>
    </w:p>
    <w:tbl>
      <w:tblPr>
        <w:tblStyle w:val="5"/>
        <w:tblW w:w="14379" w:type="dxa"/>
        <w:tblInd w:w="89" w:type="dxa"/>
        <w:tblLayout w:type="autofit"/>
        <w:tblCellMar>
          <w:top w:w="0" w:type="dxa"/>
          <w:left w:w="108" w:type="dxa"/>
          <w:bottom w:w="0" w:type="dxa"/>
          <w:right w:w="108" w:type="dxa"/>
        </w:tblCellMar>
      </w:tblPr>
      <w:tblGrid>
        <w:gridCol w:w="400"/>
        <w:gridCol w:w="316"/>
        <w:gridCol w:w="270"/>
        <w:gridCol w:w="2684"/>
        <w:gridCol w:w="474"/>
        <w:gridCol w:w="1163"/>
        <w:gridCol w:w="552"/>
        <w:gridCol w:w="1628"/>
        <w:gridCol w:w="1628"/>
        <w:gridCol w:w="147"/>
        <w:gridCol w:w="474"/>
        <w:gridCol w:w="865"/>
        <w:gridCol w:w="231"/>
        <w:gridCol w:w="555"/>
        <w:gridCol w:w="732"/>
        <w:gridCol w:w="221"/>
        <w:gridCol w:w="592"/>
        <w:gridCol w:w="1263"/>
        <w:gridCol w:w="362"/>
      </w:tblGrid>
      <w:tr>
        <w:tblPrEx>
          <w:tblCellMar>
            <w:top w:w="0" w:type="dxa"/>
            <w:left w:w="108" w:type="dxa"/>
            <w:bottom w:w="0" w:type="dxa"/>
            <w:right w:w="108" w:type="dxa"/>
          </w:tblCellMar>
        </w:tblPrEx>
        <w:trPr>
          <w:trHeight w:val="390" w:hRule="atLeast"/>
        </w:trPr>
        <w:tc>
          <w:tcPr>
            <w:tcW w:w="14379" w:type="dxa"/>
            <w:gridSpan w:val="19"/>
            <w:tcBorders>
              <w:top w:val="nil"/>
              <w:left w:val="nil"/>
              <w:bottom w:val="nil"/>
              <w:right w:val="nil"/>
            </w:tcBorders>
            <w:shd w:val="clear" w:color="000000" w:fill="FFFFFF"/>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支出决算表</w:t>
            </w:r>
          </w:p>
        </w:tc>
      </w:tr>
      <w:tr>
        <w:tblPrEx>
          <w:tblCellMar>
            <w:top w:w="0" w:type="dxa"/>
            <w:left w:w="108" w:type="dxa"/>
            <w:bottom w:w="0" w:type="dxa"/>
            <w:right w:w="108" w:type="dxa"/>
          </w:tblCellMar>
        </w:tblPrEx>
        <w:trPr>
          <w:gridAfter w:val="1"/>
          <w:wAfter w:w="362" w:type="dxa"/>
          <w:trHeight w:val="255" w:hRule="atLeast"/>
        </w:trPr>
        <w:tc>
          <w:tcPr>
            <w:tcW w:w="329"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6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19"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873" w:type="dxa"/>
            <w:gridSpan w:val="4"/>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2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2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86" w:type="dxa"/>
            <w:gridSpan w:val="3"/>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86"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53"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55" w:type="dxa"/>
            <w:gridSpan w:val="2"/>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公开03表</w:t>
            </w:r>
          </w:p>
        </w:tc>
      </w:tr>
      <w:tr>
        <w:tblPrEx>
          <w:tblCellMar>
            <w:top w:w="0" w:type="dxa"/>
            <w:left w:w="108" w:type="dxa"/>
            <w:bottom w:w="0" w:type="dxa"/>
            <w:right w:w="108" w:type="dxa"/>
          </w:tblCellMar>
        </w:tblPrEx>
        <w:trPr>
          <w:gridAfter w:val="1"/>
          <w:wAfter w:w="362" w:type="dxa"/>
          <w:trHeight w:val="255" w:hRule="atLeast"/>
        </w:trPr>
        <w:tc>
          <w:tcPr>
            <w:tcW w:w="5681" w:type="dxa"/>
            <w:gridSpan w:val="7"/>
            <w:tcBorders>
              <w:top w:val="nil"/>
              <w:left w:val="nil"/>
              <w:bottom w:val="nil"/>
              <w:right w:val="nil"/>
            </w:tcBorders>
            <w:shd w:val="clear" w:color="000000" w:fill="FFFFFF"/>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部门：许昌市第九中学</w:t>
            </w:r>
          </w:p>
        </w:tc>
        <w:tc>
          <w:tcPr>
            <w:tcW w:w="162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2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86" w:type="dxa"/>
            <w:gridSpan w:val="3"/>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786"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53"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55" w:type="dxa"/>
            <w:gridSpan w:val="2"/>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gridAfter w:val="1"/>
          <w:wAfter w:w="362" w:type="dxa"/>
          <w:trHeight w:val="308" w:hRule="atLeast"/>
        </w:trPr>
        <w:tc>
          <w:tcPr>
            <w:tcW w:w="5681" w:type="dxa"/>
            <w:gridSpan w:val="7"/>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62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本年支出合计</w:t>
            </w:r>
          </w:p>
        </w:tc>
        <w:tc>
          <w:tcPr>
            <w:tcW w:w="162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486" w:type="dxa"/>
            <w:gridSpan w:val="3"/>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786" w:type="dxa"/>
            <w:gridSpan w:val="2"/>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上缴上级支出</w:t>
            </w:r>
          </w:p>
        </w:tc>
        <w:tc>
          <w:tcPr>
            <w:tcW w:w="953" w:type="dxa"/>
            <w:gridSpan w:val="2"/>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经营支出</w:t>
            </w:r>
          </w:p>
        </w:tc>
        <w:tc>
          <w:tcPr>
            <w:tcW w:w="1855" w:type="dxa"/>
            <w:gridSpan w:val="2"/>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对附属单位补助支出</w:t>
            </w:r>
          </w:p>
        </w:tc>
      </w:tr>
      <w:tr>
        <w:tblPrEx>
          <w:tblCellMar>
            <w:top w:w="0" w:type="dxa"/>
            <w:left w:w="108" w:type="dxa"/>
            <w:bottom w:w="0" w:type="dxa"/>
            <w:right w:w="108" w:type="dxa"/>
          </w:tblCellMar>
        </w:tblPrEx>
        <w:trPr>
          <w:gridAfter w:val="1"/>
          <w:wAfter w:w="362" w:type="dxa"/>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873" w:type="dxa"/>
            <w:gridSpan w:val="4"/>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486" w:type="dxa"/>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786"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953"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855"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362" w:type="dxa"/>
          <w:trHeight w:val="312" w:hRule="atLeast"/>
        </w:trPr>
        <w:tc>
          <w:tcPr>
            <w:tcW w:w="808"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873" w:type="dxa"/>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486" w:type="dxa"/>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786"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953"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855"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362" w:type="dxa"/>
          <w:trHeight w:val="312" w:hRule="atLeast"/>
        </w:trPr>
        <w:tc>
          <w:tcPr>
            <w:tcW w:w="808"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873" w:type="dxa"/>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62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486" w:type="dxa"/>
            <w:gridSpan w:val="3"/>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786"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953"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855" w:type="dxa"/>
            <w:gridSpan w:val="2"/>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gridAfter w:val="1"/>
          <w:wAfter w:w="362" w:type="dxa"/>
          <w:trHeight w:val="308" w:hRule="atLeast"/>
        </w:trPr>
        <w:tc>
          <w:tcPr>
            <w:tcW w:w="5681" w:type="dxa"/>
            <w:gridSpan w:val="7"/>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62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62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486"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78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95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855"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gridAfter w:val="1"/>
          <w:wAfter w:w="362" w:type="dxa"/>
          <w:trHeight w:val="308" w:hRule="atLeast"/>
        </w:trPr>
        <w:tc>
          <w:tcPr>
            <w:tcW w:w="5681" w:type="dxa"/>
            <w:gridSpan w:val="7"/>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1,394.69</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1,174.63</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220.06</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教育支出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1,188.15</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968.08</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220.06</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普通教育</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1,179.50</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968.08</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211.41</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2050203</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初中教育</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976.08</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968.08</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8.00</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2050299</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其他普通教育支出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203.41</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203.41</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20507</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特殊教育</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0.60</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0.60</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2050701</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特殊学校教育</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0.60</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0.60</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其他教育支出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2059999</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其他教育支出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108.55</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108.55</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67.32</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67.32</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873" w:type="dxa"/>
            <w:gridSpan w:val="4"/>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162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1486" w:type="dxa"/>
            <w:gridSpan w:val="3"/>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78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5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85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gridAfter w:val="1"/>
          <w:wAfter w:w="362" w:type="dxa"/>
          <w:trHeight w:val="308" w:hRule="atLeast"/>
        </w:trPr>
        <w:tc>
          <w:tcPr>
            <w:tcW w:w="14017" w:type="dxa"/>
            <w:gridSpan w:val="18"/>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注：本表反映部门本年度各项支出情况。本表金额转换为万元时，因四舍五入可能存在尾差。</w:t>
            </w:r>
          </w:p>
        </w:tc>
      </w:tr>
      <w:tr>
        <w:tblPrEx>
          <w:tblCellMar>
            <w:top w:w="0" w:type="dxa"/>
            <w:left w:w="108" w:type="dxa"/>
            <w:bottom w:w="0" w:type="dxa"/>
            <w:right w:w="108" w:type="dxa"/>
          </w:tblCellMar>
        </w:tblPrEx>
        <w:trPr>
          <w:trHeight w:val="390" w:hRule="atLeast"/>
        </w:trPr>
        <w:tc>
          <w:tcPr>
            <w:tcW w:w="14379" w:type="dxa"/>
            <w:gridSpan w:val="19"/>
            <w:tcBorders>
              <w:top w:val="nil"/>
              <w:left w:val="nil"/>
              <w:bottom w:val="nil"/>
              <w:right w:val="nil"/>
            </w:tcBorders>
            <w:shd w:val="clear" w:color="000000" w:fill="FFFFFF"/>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财政拨款收入支出决算总表</w:t>
            </w:r>
          </w:p>
        </w:tc>
      </w:tr>
      <w:tr>
        <w:tblPrEx>
          <w:tblCellMar>
            <w:top w:w="0" w:type="dxa"/>
            <w:left w:w="108" w:type="dxa"/>
            <w:bottom w:w="0" w:type="dxa"/>
            <w:right w:w="108" w:type="dxa"/>
          </w:tblCellMar>
        </w:tblPrEx>
        <w:trPr>
          <w:trHeight w:val="255" w:hRule="atLeast"/>
        </w:trPr>
        <w:tc>
          <w:tcPr>
            <w:tcW w:w="3492" w:type="dxa"/>
            <w:gridSpan w:val="4"/>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74"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63"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955" w:type="dxa"/>
            <w:gridSpan w:val="4"/>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74"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96"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87"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13"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25" w:type="dxa"/>
            <w:gridSpan w:val="2"/>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公开04表</w:t>
            </w:r>
          </w:p>
        </w:tc>
      </w:tr>
      <w:tr>
        <w:tblPrEx>
          <w:tblCellMar>
            <w:top w:w="0" w:type="dxa"/>
            <w:left w:w="108" w:type="dxa"/>
            <w:bottom w:w="0" w:type="dxa"/>
            <w:right w:w="108" w:type="dxa"/>
          </w:tblCellMar>
        </w:tblPrEx>
        <w:trPr>
          <w:trHeight w:val="255" w:hRule="atLeast"/>
        </w:trPr>
        <w:tc>
          <w:tcPr>
            <w:tcW w:w="3492" w:type="dxa"/>
            <w:gridSpan w:val="4"/>
            <w:tcBorders>
              <w:top w:val="nil"/>
              <w:left w:val="nil"/>
              <w:bottom w:val="nil"/>
              <w:right w:val="nil"/>
            </w:tcBorders>
            <w:shd w:val="clear" w:color="000000" w:fill="FFFFFF"/>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部门：许昌市第九中学</w:t>
            </w:r>
          </w:p>
        </w:tc>
        <w:tc>
          <w:tcPr>
            <w:tcW w:w="474"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63"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955" w:type="dxa"/>
            <w:gridSpan w:val="4"/>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74"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96"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87"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813" w:type="dxa"/>
            <w:gridSpan w:val="2"/>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625" w:type="dxa"/>
            <w:gridSpan w:val="2"/>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129"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收     入</w:t>
            </w:r>
          </w:p>
        </w:tc>
        <w:tc>
          <w:tcPr>
            <w:tcW w:w="9250" w:type="dxa"/>
            <w:gridSpan w:val="1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支     出</w:t>
            </w:r>
          </w:p>
        </w:tc>
      </w:tr>
      <w:tr>
        <w:tblPrEx>
          <w:tblCellMar>
            <w:top w:w="0" w:type="dxa"/>
            <w:left w:w="108" w:type="dxa"/>
            <w:bottom w:w="0" w:type="dxa"/>
            <w:right w:w="108" w:type="dxa"/>
          </w:tblCellMar>
        </w:tblPrEx>
        <w:trPr>
          <w:trHeight w:val="312" w:hRule="atLeast"/>
        </w:trPr>
        <w:tc>
          <w:tcPr>
            <w:tcW w:w="3492" w:type="dxa"/>
            <w:gridSpan w:val="4"/>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74"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163"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金额</w:t>
            </w:r>
          </w:p>
        </w:tc>
        <w:tc>
          <w:tcPr>
            <w:tcW w:w="3955" w:type="dxa"/>
            <w:gridSpan w:val="4"/>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474"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行次</w:t>
            </w:r>
          </w:p>
        </w:tc>
        <w:tc>
          <w:tcPr>
            <w:tcW w:w="1096"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287"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一般公共预算财政拨款</w:t>
            </w:r>
          </w:p>
        </w:tc>
        <w:tc>
          <w:tcPr>
            <w:tcW w:w="813"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政府性基金预算财政拨款</w:t>
            </w:r>
          </w:p>
        </w:tc>
        <w:tc>
          <w:tcPr>
            <w:tcW w:w="1625" w:type="dxa"/>
            <w:gridSpan w:val="2"/>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国有资本经营预算财政拨款</w:t>
            </w:r>
          </w:p>
        </w:tc>
      </w:tr>
      <w:tr>
        <w:tblPrEx>
          <w:tblCellMar>
            <w:top w:w="0" w:type="dxa"/>
            <w:left w:w="108" w:type="dxa"/>
            <w:bottom w:w="0" w:type="dxa"/>
            <w:right w:w="108" w:type="dxa"/>
          </w:tblCellMar>
        </w:tblPrEx>
        <w:trPr>
          <w:trHeight w:val="615" w:hRule="atLeast"/>
        </w:trPr>
        <w:tc>
          <w:tcPr>
            <w:tcW w:w="3492" w:type="dxa"/>
            <w:gridSpan w:val="4"/>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74"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163"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955" w:type="dxa"/>
            <w:gridSpan w:val="4"/>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74"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096" w:type="dxa"/>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287" w:type="dxa"/>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813" w:type="dxa"/>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625" w:type="dxa"/>
            <w:gridSpan w:val="2"/>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163"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　</w:t>
            </w:r>
          </w:p>
        </w:tc>
        <w:tc>
          <w:tcPr>
            <w:tcW w:w="1096"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287"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813"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625" w:type="dxa"/>
            <w:gridSpan w:val="2"/>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1,125.14</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一、一般公共服务支出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33</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二、政府性基金预算财政拨款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二、外交支出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34</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三、国有资本经营财政拨款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三、国防支出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35</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四、公共安全支出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36</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五、教育支出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37</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1,188.15</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1,188.15</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六、科学技术支出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38</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七、文化旅游体育与传媒支出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39</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八、社会保障和就业支出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40</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九、卫生健康支出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41</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十、节能环保支出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42</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十一、城乡社区支出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43</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十二、农林水支出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44</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13</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十三、交通运输支出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45</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14</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十四、资源勘探工业信息等支出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46</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15</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十五、商业服务业等支出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47</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16</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十六、金融支出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48</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17</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十七、援助其他地区支出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49</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18</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十八、自然资源海洋气象等支出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50</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19</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十九、住房保障支出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51</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20</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二十、粮油物资储备支出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52</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21</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二十一、国有资本经营预算支出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53</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22</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二十二、灾害防治及应急管理支出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54</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23</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二十三、其他支出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55</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0"/>
                <w:szCs w:val="20"/>
              </w:rPr>
            </w:pPr>
            <w:r>
              <w:rPr>
                <w:rFonts w:hint="eastAsia" w:ascii="宋体" w:hAnsi="宋体" w:cs="Arial"/>
                <w:b/>
                <w:bCs/>
                <w:color w:val="000000"/>
                <w:kern w:val="0"/>
                <w:sz w:val="20"/>
                <w:szCs w:val="20"/>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24</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二十四、债务还本支出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56</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25</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二十五、债务付息支出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57</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26</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二十六、抗疫特别国债安排的支出</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58</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本年收入合计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27</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1,125.14</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本年支出合计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59</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1,394.69</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1,394.69</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年初财政拨款结转和结余</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28</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269.55</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年末财政拨款结转和结余</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60</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一般公共预算财政拨款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29</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269.55</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61</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政府性基金预算财政拨款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30</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62</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国有资本经营预算财政拨款</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31</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63</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492"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74" w:type="dxa"/>
            <w:tcBorders>
              <w:top w:val="nil"/>
              <w:left w:val="nil"/>
              <w:bottom w:val="single" w:color="000000" w:sz="8"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32</w:t>
            </w:r>
          </w:p>
        </w:tc>
        <w:tc>
          <w:tcPr>
            <w:tcW w:w="1163"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1,394.69</w:t>
            </w:r>
          </w:p>
        </w:tc>
        <w:tc>
          <w:tcPr>
            <w:tcW w:w="3955" w:type="dxa"/>
            <w:gridSpan w:val="4"/>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b/>
                <w:bCs/>
                <w:color w:val="000000"/>
                <w:kern w:val="0"/>
                <w:sz w:val="22"/>
              </w:rPr>
            </w:pPr>
            <w:r>
              <w:rPr>
                <w:rFonts w:hint="eastAsia" w:ascii="宋体" w:hAnsi="宋体" w:cs="Arial"/>
                <w:b/>
                <w:bCs/>
                <w:color w:val="000000"/>
                <w:kern w:val="0"/>
                <w:sz w:val="22"/>
              </w:rPr>
              <w:t>总计</w:t>
            </w:r>
          </w:p>
        </w:tc>
        <w:tc>
          <w:tcPr>
            <w:tcW w:w="47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64</w:t>
            </w:r>
          </w:p>
        </w:tc>
        <w:tc>
          <w:tcPr>
            <w:tcW w:w="1096"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1,394.69</w:t>
            </w:r>
          </w:p>
        </w:tc>
        <w:tc>
          <w:tcPr>
            <w:tcW w:w="1287"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1,394.69</w:t>
            </w:r>
          </w:p>
        </w:tc>
        <w:tc>
          <w:tcPr>
            <w:tcW w:w="813"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625" w:type="dxa"/>
            <w:gridSpan w:val="2"/>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585" w:hRule="atLeast"/>
        </w:trPr>
        <w:tc>
          <w:tcPr>
            <w:tcW w:w="14379" w:type="dxa"/>
            <w:gridSpan w:val="19"/>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134" w:right="1440" w:bottom="0" w:left="1440" w:header="720" w:footer="720" w:gutter="0"/>
          <w:pgNumType w:fmt="numberInDash"/>
          <w:cols w:space="720" w:num="1"/>
          <w:docGrid w:type="lines" w:linePitch="312" w:charSpace="0"/>
        </w:sectPr>
      </w:pPr>
    </w:p>
    <w:tbl>
      <w:tblPr>
        <w:tblStyle w:val="5"/>
        <w:tblW w:w="12374" w:type="dxa"/>
        <w:tblInd w:w="89" w:type="dxa"/>
        <w:tblLayout w:type="autofit"/>
        <w:tblCellMar>
          <w:top w:w="0" w:type="dxa"/>
          <w:left w:w="108" w:type="dxa"/>
          <w:bottom w:w="0" w:type="dxa"/>
          <w:right w:w="108" w:type="dxa"/>
        </w:tblCellMar>
      </w:tblPr>
      <w:tblGrid>
        <w:gridCol w:w="400"/>
        <w:gridCol w:w="316"/>
        <w:gridCol w:w="270"/>
        <w:gridCol w:w="4959"/>
        <w:gridCol w:w="2090"/>
        <w:gridCol w:w="2090"/>
        <w:gridCol w:w="2427"/>
      </w:tblGrid>
      <w:tr>
        <w:tblPrEx>
          <w:tblCellMar>
            <w:top w:w="0" w:type="dxa"/>
            <w:left w:w="108" w:type="dxa"/>
            <w:bottom w:w="0" w:type="dxa"/>
            <w:right w:w="108" w:type="dxa"/>
          </w:tblCellMar>
        </w:tblPrEx>
        <w:trPr>
          <w:trHeight w:val="390" w:hRule="atLeast"/>
        </w:trPr>
        <w:tc>
          <w:tcPr>
            <w:tcW w:w="12374" w:type="dxa"/>
            <w:gridSpan w:val="7"/>
            <w:tcBorders>
              <w:top w:val="nil"/>
              <w:left w:val="nil"/>
              <w:bottom w:val="nil"/>
              <w:right w:val="nil"/>
            </w:tcBorders>
            <w:shd w:val="clear" w:color="000000" w:fill="FFFFFF"/>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329"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6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19"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959"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09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09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427" w:type="dxa"/>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公开05表</w:t>
            </w:r>
          </w:p>
        </w:tc>
      </w:tr>
      <w:tr>
        <w:tblPrEx>
          <w:tblCellMar>
            <w:top w:w="0" w:type="dxa"/>
            <w:left w:w="108" w:type="dxa"/>
            <w:bottom w:w="0" w:type="dxa"/>
            <w:right w:w="108" w:type="dxa"/>
          </w:tblCellMar>
        </w:tblPrEx>
        <w:trPr>
          <w:trHeight w:val="255" w:hRule="atLeast"/>
        </w:trPr>
        <w:tc>
          <w:tcPr>
            <w:tcW w:w="5767" w:type="dxa"/>
            <w:gridSpan w:val="4"/>
            <w:tcBorders>
              <w:top w:val="nil"/>
              <w:left w:val="nil"/>
              <w:bottom w:val="nil"/>
              <w:right w:val="nil"/>
            </w:tcBorders>
            <w:shd w:val="clear" w:color="000000" w:fill="FFFFFF"/>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部门：许昌市第九中学</w:t>
            </w:r>
          </w:p>
        </w:tc>
        <w:tc>
          <w:tcPr>
            <w:tcW w:w="209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09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427" w:type="dxa"/>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5767"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6607"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r>
      <w:tr>
        <w:tblPrEx>
          <w:tblCellMar>
            <w:top w:w="0" w:type="dxa"/>
            <w:left w:w="108" w:type="dxa"/>
            <w:bottom w:w="0" w:type="dxa"/>
            <w:right w:w="108" w:type="dxa"/>
          </w:tblCellMar>
        </w:tblPrEx>
        <w:trPr>
          <w:trHeight w:val="312" w:hRule="atLeast"/>
        </w:trPr>
        <w:tc>
          <w:tcPr>
            <w:tcW w:w="808" w:type="dxa"/>
            <w:gridSpan w:val="3"/>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4959"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209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209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2427"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959"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209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209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2427"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808"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959"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209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209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2427"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767"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209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209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242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r>
      <w:tr>
        <w:tblPrEx>
          <w:tblCellMar>
            <w:top w:w="0" w:type="dxa"/>
            <w:left w:w="108" w:type="dxa"/>
            <w:bottom w:w="0" w:type="dxa"/>
            <w:right w:w="108" w:type="dxa"/>
          </w:tblCellMar>
        </w:tblPrEx>
        <w:trPr>
          <w:trHeight w:val="308" w:hRule="atLeast"/>
        </w:trPr>
        <w:tc>
          <w:tcPr>
            <w:tcW w:w="5767"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1,394.69</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1,174.63</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220.06</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一般公共服务支出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群众团体事务</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2012906</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工会事务</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教育支出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1,188.15</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968.08</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220.06</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普通教育</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1,179.50</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968.08</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211.41</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2050203</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初中教育</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976.08</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968.08</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2050299</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其他普通教育支出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203.41</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203.41</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20507</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特殊教育</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0.60</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2050701</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特殊学校教育</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0.60</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0.60</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其他教育支出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2059999</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其他教育支出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8.05</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社会保障和就业支出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行政事业单位养老支出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175.87</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2080502</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事业单位离退休</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108.55</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108.55</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2080505</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67.32</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67.32</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卫生健康支出</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行政事业单位医疗</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808"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2101102</w:t>
            </w:r>
          </w:p>
        </w:tc>
        <w:tc>
          <w:tcPr>
            <w:tcW w:w="495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事业单位医疗</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209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24.81</w:t>
            </w:r>
          </w:p>
        </w:tc>
        <w:tc>
          <w:tcPr>
            <w:tcW w:w="242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2374" w:type="dxa"/>
            <w:gridSpan w:val="7"/>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418" w:right="1440" w:bottom="1134" w:left="1440" w:header="720" w:footer="720" w:gutter="0"/>
          <w:pgNumType w:fmt="numberInDash"/>
          <w:cols w:space="720" w:num="1"/>
          <w:docGrid w:type="lines" w:linePitch="312" w:charSpace="0"/>
        </w:sectPr>
      </w:pPr>
    </w:p>
    <w:tbl>
      <w:tblPr>
        <w:tblStyle w:val="5"/>
        <w:tblW w:w="13652" w:type="dxa"/>
        <w:tblInd w:w="89" w:type="dxa"/>
        <w:tblLayout w:type="autofit"/>
        <w:tblCellMar>
          <w:top w:w="0" w:type="dxa"/>
          <w:left w:w="108" w:type="dxa"/>
          <w:bottom w:w="0" w:type="dxa"/>
          <w:right w:w="108" w:type="dxa"/>
        </w:tblCellMar>
      </w:tblPr>
      <w:tblGrid>
        <w:gridCol w:w="766"/>
        <w:gridCol w:w="3338"/>
        <w:gridCol w:w="986"/>
        <w:gridCol w:w="766"/>
        <w:gridCol w:w="2238"/>
        <w:gridCol w:w="711"/>
        <w:gridCol w:w="766"/>
        <w:gridCol w:w="4218"/>
        <w:gridCol w:w="711"/>
      </w:tblGrid>
      <w:tr>
        <w:tblPrEx>
          <w:tblCellMar>
            <w:top w:w="0" w:type="dxa"/>
            <w:left w:w="108" w:type="dxa"/>
            <w:bottom w:w="0" w:type="dxa"/>
            <w:right w:w="108" w:type="dxa"/>
          </w:tblCellMar>
        </w:tblPrEx>
        <w:trPr>
          <w:trHeight w:val="390" w:hRule="atLeast"/>
        </w:trPr>
        <w:tc>
          <w:tcPr>
            <w:tcW w:w="13652" w:type="dxa"/>
            <w:gridSpan w:val="9"/>
            <w:tcBorders>
              <w:top w:val="nil"/>
              <w:left w:val="nil"/>
              <w:bottom w:val="nil"/>
              <w:right w:val="nil"/>
            </w:tcBorders>
            <w:shd w:val="clear" w:color="000000" w:fill="FFFFFF"/>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一般公共预算财政拨款基本支出决算表</w:t>
            </w:r>
          </w:p>
        </w:tc>
      </w:tr>
      <w:tr>
        <w:tblPrEx>
          <w:tblCellMar>
            <w:top w:w="0" w:type="dxa"/>
            <w:left w:w="108" w:type="dxa"/>
            <w:bottom w:w="0" w:type="dxa"/>
            <w:right w:w="108" w:type="dxa"/>
          </w:tblCellMar>
        </w:tblPrEx>
        <w:trPr>
          <w:trHeight w:val="255" w:hRule="atLeast"/>
        </w:trPr>
        <w:tc>
          <w:tcPr>
            <w:tcW w:w="58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33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1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23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806" w:type="dxa"/>
            <w:gridSpan w:val="2"/>
            <w:tcBorders>
              <w:top w:val="nil"/>
              <w:left w:val="nil"/>
              <w:bottom w:val="nil"/>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公开06表</w:t>
            </w:r>
          </w:p>
        </w:tc>
      </w:tr>
      <w:tr>
        <w:tblPrEx>
          <w:tblCellMar>
            <w:top w:w="0" w:type="dxa"/>
            <w:left w:w="108" w:type="dxa"/>
            <w:bottom w:w="0" w:type="dxa"/>
            <w:right w:w="108" w:type="dxa"/>
          </w:tblCellMar>
        </w:tblPrEx>
        <w:trPr>
          <w:trHeight w:val="255" w:hRule="atLeast"/>
        </w:trPr>
        <w:tc>
          <w:tcPr>
            <w:tcW w:w="3926" w:type="dxa"/>
            <w:gridSpan w:val="2"/>
            <w:tcBorders>
              <w:top w:val="nil"/>
              <w:left w:val="nil"/>
              <w:bottom w:val="nil"/>
              <w:right w:val="nil"/>
            </w:tcBorders>
            <w:shd w:val="clear" w:color="000000" w:fill="FFFFFF"/>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部门：许昌市第九中学</w:t>
            </w:r>
          </w:p>
        </w:tc>
        <w:tc>
          <w:tcPr>
            <w:tcW w:w="91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23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58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4806" w:type="dxa"/>
            <w:gridSpan w:val="2"/>
            <w:tcBorders>
              <w:top w:val="nil"/>
              <w:left w:val="nil"/>
              <w:bottom w:val="single" w:color="000000" w:sz="4" w:space="0"/>
              <w:right w:val="nil"/>
            </w:tcBorders>
            <w:shd w:val="clear" w:color="000000" w:fill="FFFFFF"/>
            <w:noWrap/>
            <w:vAlign w:val="bottom"/>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金额单位：万元</w:t>
            </w:r>
          </w:p>
        </w:tc>
      </w:tr>
      <w:tr>
        <w:tblPrEx>
          <w:tblCellMar>
            <w:top w:w="0" w:type="dxa"/>
            <w:left w:w="108" w:type="dxa"/>
            <w:bottom w:w="0" w:type="dxa"/>
            <w:right w:w="108" w:type="dxa"/>
          </w:tblCellMar>
        </w:tblPrEx>
        <w:trPr>
          <w:trHeight w:val="308" w:hRule="atLeast"/>
        </w:trPr>
        <w:tc>
          <w:tcPr>
            <w:tcW w:w="4844" w:type="dxa"/>
            <w:gridSpan w:val="3"/>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w:t>
            </w:r>
          </w:p>
        </w:tc>
        <w:tc>
          <w:tcPr>
            <w:tcW w:w="8808"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w:t>
            </w:r>
          </w:p>
        </w:tc>
      </w:tr>
      <w:tr>
        <w:tblPrEx>
          <w:tblCellMar>
            <w:top w:w="0" w:type="dxa"/>
            <w:left w:w="108" w:type="dxa"/>
            <w:bottom w:w="0" w:type="dxa"/>
            <w:right w:w="108" w:type="dxa"/>
          </w:tblCellMar>
        </w:tblPrEx>
        <w:trPr>
          <w:trHeight w:val="312" w:hRule="atLeast"/>
        </w:trPr>
        <w:tc>
          <w:tcPr>
            <w:tcW w:w="588" w:type="dxa"/>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333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91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58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223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8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c>
          <w:tcPr>
            <w:tcW w:w="58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科目编码</w:t>
            </w:r>
          </w:p>
        </w:tc>
        <w:tc>
          <w:tcPr>
            <w:tcW w:w="421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588"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12" w:hRule="atLeast"/>
        </w:trPr>
        <w:tc>
          <w:tcPr>
            <w:tcW w:w="588" w:type="dxa"/>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33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91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8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223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8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8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421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588"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工资福利支出</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964.48</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商品和服务支出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78.33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债务利息及费用支出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基本工资</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300.93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30201</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18.71</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30701</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国内债务付息</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30102</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津贴补贴</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270.09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30202</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印刷费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30702</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国外债务付息</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30103</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48.87</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30203</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咨询费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0.20</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资本性支出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18.26</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30106</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伙食补助费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30204</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手续费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31001</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房屋建筑物购建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30107</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绩效工资</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161.29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30205</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水费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1.51</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31002</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办公设备购置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18.26</w:t>
            </w:r>
          </w:p>
        </w:tc>
      </w:tr>
      <w:tr>
        <w:tblPrEx>
          <w:tblCellMar>
            <w:top w:w="0" w:type="dxa"/>
            <w:left w:w="108" w:type="dxa"/>
            <w:bottom w:w="0" w:type="dxa"/>
            <w:right w:w="108" w:type="dxa"/>
          </w:tblCellMar>
        </w:tblPrEx>
        <w:trPr>
          <w:trHeight w:val="330"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30108</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机关事业单位基本养老保险缴费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67.32</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30206</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电费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4.43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31003</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专用设备购置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30109</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职业年金缴费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30207</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邮电费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0.34</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31005</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基础设施建设</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30110</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职工基本医疗保险缴费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30.69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30208</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取暖费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31006</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大型修缮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公务员医疗补助缴费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30209</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物业管理费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31007</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信息网络及软件购置更新</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30112</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其他社会保障缴费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7.28</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30211</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差旅费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0.68</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31008</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物资储备</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30113</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住房公积金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59.79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30212</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因公出国（境）费用</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31009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土地补偿</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30114</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30213</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维修（护）费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8.63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31010</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安置补助</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30199</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其他工资福利支出</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18.24</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30214</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租赁费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31011</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地上附着物和青苗补偿</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对个人和家庭的补助</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113.56</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30215</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会议费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31012</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拆迁补偿</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离休费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30216</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培训费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2.69</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31013</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30302</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退休费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110.22</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30217</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公务接待费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31019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其他交通工具购置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30303</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退职（役）费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30218</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专用材料费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5.53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31021</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文物和陈列品购置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30304</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抚恤金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30224</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被装购置费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31022</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无形资产购置</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30305</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生活补助</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3.33</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30225</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专用燃料费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31099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其他资本性支出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30306</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救济费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30226</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劳务费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11.70</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其他支出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30307</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医疗费补助</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30227</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委托业务费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39906</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赠与</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30308</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助学金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30228</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工会经费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5.86</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39907</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国家赔偿费用支出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30309</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奖励金</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30229</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福利费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12.78</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39908</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对民间非营利组织和群众性自治组织补贴</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30310</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个人农业生产补贴</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30231</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公务用车运行维护费</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39999</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30311</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代缴社会保险费</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30239</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其他交通费用</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0.06</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30399</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其他对个人和家庭的补助</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30240</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税金及附加费用</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2.25</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588"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33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30299</w:t>
            </w:r>
          </w:p>
        </w:tc>
        <w:tc>
          <w:tcPr>
            <w:tcW w:w="223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xml:space="preserve">  其他商品和服务支出</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1.24</w:t>
            </w:r>
          </w:p>
        </w:tc>
        <w:tc>
          <w:tcPr>
            <w:tcW w:w="58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4218" w:type="dxa"/>
            <w:tcBorders>
              <w:top w:val="nil"/>
              <w:left w:val="nil"/>
              <w:bottom w:val="single" w:color="000000" w:sz="4" w:space="0"/>
              <w:right w:val="single" w:color="000000" w:sz="4" w:space="0"/>
            </w:tcBorders>
            <w:shd w:val="clear" w:color="FFFFFF"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3926" w:type="dxa"/>
            <w:gridSpan w:val="2"/>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人员经费合计</w:t>
            </w:r>
          </w:p>
        </w:tc>
        <w:tc>
          <w:tcPr>
            <w:tcW w:w="91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1,078.04</w:t>
            </w:r>
          </w:p>
        </w:tc>
        <w:tc>
          <w:tcPr>
            <w:tcW w:w="8220" w:type="dxa"/>
            <w:gridSpan w:val="5"/>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公用经费合计</w:t>
            </w:r>
          </w:p>
        </w:tc>
        <w:tc>
          <w:tcPr>
            <w:tcW w:w="58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96.59</w:t>
            </w:r>
          </w:p>
        </w:tc>
      </w:tr>
      <w:tr>
        <w:tblPrEx>
          <w:tblCellMar>
            <w:top w:w="0" w:type="dxa"/>
            <w:left w:w="108" w:type="dxa"/>
            <w:bottom w:w="0" w:type="dxa"/>
            <w:right w:w="108" w:type="dxa"/>
          </w:tblCellMar>
        </w:tblPrEx>
        <w:trPr>
          <w:trHeight w:val="308" w:hRule="atLeast"/>
        </w:trPr>
        <w:tc>
          <w:tcPr>
            <w:tcW w:w="13652" w:type="dxa"/>
            <w:gridSpan w:val="9"/>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注：本表反映部门本年度一般公共预算财政拨款基本支出明细情况。本表金额转换为万元时，因四舍五入可能存在尾差。</w:t>
            </w:r>
          </w:p>
        </w:tc>
      </w:tr>
    </w:tbl>
    <w:p>
      <w:pPr>
        <w:rPr>
          <w:rFonts w:ascii="仿宋_GB2312" w:hAnsi="仿宋_GB2312" w:eastAsia="仿宋_GB2312" w:cs="仿宋_GB2312"/>
          <w:sz w:val="32"/>
          <w:szCs w:val="32"/>
        </w:rPr>
      </w:pPr>
    </w:p>
    <w:p>
      <w:pPr>
        <w:rPr>
          <w:rFonts w:ascii="仿宋_GB2312" w:hAnsi="仿宋_GB2312" w:eastAsia="仿宋_GB2312" w:cs="仿宋_GB2312"/>
          <w:sz w:val="32"/>
          <w:szCs w:val="32"/>
        </w:rPr>
      </w:pPr>
    </w:p>
    <w:tbl>
      <w:tblPr>
        <w:tblStyle w:val="5"/>
        <w:tblW w:w="14660" w:type="dxa"/>
        <w:tblInd w:w="89" w:type="dxa"/>
        <w:tblLayout w:type="autofit"/>
        <w:tblCellMar>
          <w:top w:w="0" w:type="dxa"/>
          <w:left w:w="108" w:type="dxa"/>
          <w:bottom w:w="0" w:type="dxa"/>
          <w:right w:w="108" w:type="dxa"/>
        </w:tblCellMar>
      </w:tblPr>
      <w:tblGrid>
        <w:gridCol w:w="940"/>
        <w:gridCol w:w="1420"/>
        <w:gridCol w:w="940"/>
        <w:gridCol w:w="1420"/>
        <w:gridCol w:w="1420"/>
        <w:gridCol w:w="1200"/>
        <w:gridCol w:w="1080"/>
        <w:gridCol w:w="1160"/>
        <w:gridCol w:w="1420"/>
        <w:gridCol w:w="1200"/>
        <w:gridCol w:w="1420"/>
        <w:gridCol w:w="1040"/>
      </w:tblGrid>
      <w:tr>
        <w:tblPrEx>
          <w:tblCellMar>
            <w:top w:w="0" w:type="dxa"/>
            <w:left w:w="108" w:type="dxa"/>
            <w:bottom w:w="0" w:type="dxa"/>
            <w:right w:w="108" w:type="dxa"/>
          </w:tblCellMar>
        </w:tblPrEx>
        <w:trPr>
          <w:trHeight w:val="540" w:hRule="atLeast"/>
        </w:trPr>
        <w:tc>
          <w:tcPr>
            <w:tcW w:w="14660" w:type="dxa"/>
            <w:gridSpan w:val="12"/>
            <w:tcBorders>
              <w:top w:val="nil"/>
              <w:left w:val="nil"/>
              <w:bottom w:val="nil"/>
              <w:right w:val="nil"/>
            </w:tcBorders>
            <w:shd w:val="clear" w:color="000000" w:fill="FFFFFF"/>
            <w:noWrap/>
            <w:vAlign w:val="bottom"/>
          </w:tcPr>
          <w:p>
            <w:pPr>
              <w:widowControl/>
              <w:jc w:val="center"/>
              <w:rPr>
                <w:rFonts w:ascii="宋体" w:hAnsi="宋体" w:cs="Arial"/>
                <w:color w:val="000000"/>
                <w:kern w:val="0"/>
                <w:sz w:val="44"/>
                <w:szCs w:val="44"/>
              </w:rPr>
            </w:pPr>
          </w:p>
          <w:p>
            <w:pPr>
              <w:widowControl/>
              <w:jc w:val="both"/>
              <w:rPr>
                <w:rFonts w:ascii="宋体" w:hAnsi="宋体" w:cs="Arial"/>
                <w:color w:val="000000"/>
                <w:kern w:val="0"/>
                <w:sz w:val="44"/>
                <w:szCs w:val="44"/>
              </w:rPr>
            </w:pPr>
          </w:p>
          <w:p>
            <w:pPr>
              <w:widowControl/>
              <w:jc w:val="center"/>
              <w:rPr>
                <w:rFonts w:ascii="宋体" w:hAnsi="宋体" w:cs="Arial"/>
                <w:color w:val="000000"/>
                <w:kern w:val="0"/>
                <w:sz w:val="44"/>
                <w:szCs w:val="44"/>
              </w:rPr>
            </w:pPr>
            <w:r>
              <w:rPr>
                <w:rFonts w:hint="eastAsia" w:ascii="宋体" w:hAnsi="宋体" w:cs="Arial"/>
                <w:color w:val="000000"/>
                <w:kern w:val="0"/>
                <w:sz w:val="44"/>
                <w:szCs w:val="44"/>
              </w:rPr>
              <w:t>一般公共预算财政拨款“三公”经费支出决算表</w:t>
            </w:r>
          </w:p>
        </w:tc>
      </w:tr>
      <w:tr>
        <w:tblPrEx>
          <w:tblCellMar>
            <w:top w:w="0" w:type="dxa"/>
            <w:left w:w="108" w:type="dxa"/>
            <w:bottom w:w="0" w:type="dxa"/>
            <w:right w:w="108" w:type="dxa"/>
          </w:tblCellMar>
        </w:tblPrEx>
        <w:trPr>
          <w:trHeight w:val="255" w:hRule="atLeast"/>
        </w:trPr>
        <w:tc>
          <w:tcPr>
            <w:tcW w:w="94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94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0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8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6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0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460" w:type="dxa"/>
            <w:gridSpan w:val="2"/>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公开07表</w:t>
            </w:r>
          </w:p>
        </w:tc>
      </w:tr>
      <w:tr>
        <w:tblPrEx>
          <w:tblCellMar>
            <w:top w:w="0" w:type="dxa"/>
            <w:left w:w="108" w:type="dxa"/>
            <w:bottom w:w="0" w:type="dxa"/>
            <w:right w:w="108" w:type="dxa"/>
          </w:tblCellMar>
        </w:tblPrEx>
        <w:trPr>
          <w:trHeight w:val="255" w:hRule="atLeast"/>
        </w:trPr>
        <w:tc>
          <w:tcPr>
            <w:tcW w:w="2360" w:type="dxa"/>
            <w:gridSpan w:val="2"/>
            <w:tcBorders>
              <w:top w:val="nil"/>
              <w:left w:val="nil"/>
              <w:bottom w:val="nil"/>
              <w:right w:val="nil"/>
            </w:tcBorders>
            <w:shd w:val="clear" w:color="000000" w:fill="FFFFFF"/>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部门：许昌市第九中学</w:t>
            </w:r>
          </w:p>
        </w:tc>
        <w:tc>
          <w:tcPr>
            <w:tcW w:w="94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20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08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6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20"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660" w:type="dxa"/>
            <w:gridSpan w:val="3"/>
            <w:tcBorders>
              <w:top w:val="nil"/>
              <w:left w:val="nil"/>
              <w:bottom w:val="single" w:color="000000" w:sz="4" w:space="0"/>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7340" w:type="dxa"/>
            <w:gridSpan w:val="6"/>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预算数</w:t>
            </w:r>
          </w:p>
        </w:tc>
        <w:tc>
          <w:tcPr>
            <w:tcW w:w="7320" w:type="dxa"/>
            <w:gridSpan w:val="6"/>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决算数</w:t>
            </w:r>
          </w:p>
        </w:tc>
      </w:tr>
      <w:tr>
        <w:tblPrEx>
          <w:tblCellMar>
            <w:top w:w="0" w:type="dxa"/>
            <w:left w:w="108" w:type="dxa"/>
            <w:bottom w:w="0" w:type="dxa"/>
            <w:right w:w="108" w:type="dxa"/>
          </w:tblCellMar>
        </w:tblPrEx>
        <w:trPr>
          <w:trHeight w:val="308" w:hRule="atLeast"/>
        </w:trPr>
        <w:tc>
          <w:tcPr>
            <w:tcW w:w="940" w:type="dxa"/>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42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3780"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20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c>
          <w:tcPr>
            <w:tcW w:w="108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16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因公出国（境）费</w:t>
            </w:r>
          </w:p>
        </w:tc>
        <w:tc>
          <w:tcPr>
            <w:tcW w:w="4040" w:type="dxa"/>
            <w:gridSpan w:val="3"/>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公务用车购置及运行费</w:t>
            </w:r>
          </w:p>
        </w:tc>
        <w:tc>
          <w:tcPr>
            <w:tcW w:w="1040"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公务接待费</w:t>
            </w:r>
          </w:p>
        </w:tc>
      </w:tr>
      <w:tr>
        <w:tblPrEx>
          <w:tblCellMar>
            <w:top w:w="0" w:type="dxa"/>
            <w:left w:w="108" w:type="dxa"/>
            <w:bottom w:w="0" w:type="dxa"/>
            <w:right w:w="108" w:type="dxa"/>
          </w:tblCellMar>
        </w:tblPrEx>
        <w:trPr>
          <w:trHeight w:val="615" w:hRule="atLeast"/>
        </w:trPr>
        <w:tc>
          <w:tcPr>
            <w:tcW w:w="940" w:type="dxa"/>
            <w:vMerge w:val="continue"/>
            <w:tcBorders>
              <w:top w:val="nil"/>
              <w:left w:val="single" w:color="000000" w:sz="4" w:space="0"/>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p>
        </w:tc>
        <w:tc>
          <w:tcPr>
            <w:tcW w:w="1420" w:type="dxa"/>
            <w:vMerge w:val="continue"/>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p>
        </w:tc>
        <w:tc>
          <w:tcPr>
            <w:tcW w:w="9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200" w:type="dxa"/>
            <w:vMerge w:val="continue"/>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p>
        </w:tc>
        <w:tc>
          <w:tcPr>
            <w:tcW w:w="1080" w:type="dxa"/>
            <w:vMerge w:val="continue"/>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p>
        </w:tc>
        <w:tc>
          <w:tcPr>
            <w:tcW w:w="1160" w:type="dxa"/>
            <w:vMerge w:val="continue"/>
            <w:tcBorders>
              <w:top w:val="nil"/>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20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公务用车购置费</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公务用车运行费</w:t>
            </w:r>
          </w:p>
        </w:tc>
        <w:tc>
          <w:tcPr>
            <w:tcW w:w="1040"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940" w:type="dxa"/>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9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120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c>
          <w:tcPr>
            <w:tcW w:w="108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7</w:t>
            </w:r>
          </w:p>
        </w:tc>
        <w:tc>
          <w:tcPr>
            <w:tcW w:w="116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8</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9</w:t>
            </w:r>
          </w:p>
        </w:tc>
        <w:tc>
          <w:tcPr>
            <w:tcW w:w="120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10</w:t>
            </w:r>
          </w:p>
        </w:tc>
        <w:tc>
          <w:tcPr>
            <w:tcW w:w="142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11</w:t>
            </w:r>
          </w:p>
        </w:tc>
        <w:tc>
          <w:tcPr>
            <w:tcW w:w="1040"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12</w:t>
            </w:r>
          </w:p>
        </w:tc>
      </w:tr>
      <w:tr>
        <w:tblPrEx>
          <w:tblCellMar>
            <w:top w:w="0" w:type="dxa"/>
            <w:left w:w="108" w:type="dxa"/>
            <w:bottom w:w="0" w:type="dxa"/>
            <w:right w:w="108" w:type="dxa"/>
          </w:tblCellMar>
        </w:tblPrEx>
        <w:trPr>
          <w:trHeight w:val="308" w:hRule="atLeast"/>
        </w:trPr>
        <w:tc>
          <w:tcPr>
            <w:tcW w:w="940" w:type="dxa"/>
            <w:tcBorders>
              <w:top w:val="nil"/>
              <w:left w:val="single" w:color="000000" w:sz="4" w:space="0"/>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4.34</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9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w:t>
            </w:r>
          </w:p>
        </w:tc>
        <w:tc>
          <w:tcPr>
            <w:tcW w:w="12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2.64</w:t>
            </w:r>
          </w:p>
        </w:tc>
        <w:tc>
          <w:tcPr>
            <w:tcW w:w="108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w:t>
            </w:r>
          </w:p>
        </w:tc>
        <w:tc>
          <w:tcPr>
            <w:tcW w:w="116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w:t>
            </w:r>
          </w:p>
        </w:tc>
        <w:tc>
          <w:tcPr>
            <w:tcW w:w="120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2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1.70</w:t>
            </w:r>
          </w:p>
        </w:tc>
        <w:tc>
          <w:tcPr>
            <w:tcW w:w="1040"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615" w:hRule="atLeast"/>
        </w:trPr>
        <w:tc>
          <w:tcPr>
            <w:tcW w:w="14660" w:type="dxa"/>
            <w:gridSpan w:val="12"/>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ascii="仿宋_GB2312" w:hAnsi="仿宋_GB2312" w:eastAsia="仿宋_GB2312" w:cs="仿宋_GB2312"/>
          <w:sz w:val="32"/>
          <w:szCs w:val="32"/>
        </w:rPr>
        <w:sectPr>
          <w:pgSz w:w="16838" w:h="11906" w:orient="landscape"/>
          <w:pgMar w:top="1134" w:right="567" w:bottom="1134" w:left="851" w:header="720" w:footer="720" w:gutter="0"/>
          <w:pgNumType w:fmt="numberInDash"/>
          <w:cols w:space="720" w:num="1"/>
          <w:docGrid w:type="lines" w:linePitch="312" w:charSpace="0"/>
        </w:sectPr>
      </w:pPr>
    </w:p>
    <w:tbl>
      <w:tblPr>
        <w:tblStyle w:val="5"/>
        <w:tblW w:w="13018" w:type="dxa"/>
        <w:tblInd w:w="89" w:type="dxa"/>
        <w:tblLayout w:type="autofit"/>
        <w:tblCellMar>
          <w:top w:w="0" w:type="dxa"/>
          <w:left w:w="108" w:type="dxa"/>
          <w:bottom w:w="0" w:type="dxa"/>
          <w:right w:w="108" w:type="dxa"/>
        </w:tblCellMar>
      </w:tblPr>
      <w:tblGrid>
        <w:gridCol w:w="231"/>
        <w:gridCol w:w="228"/>
        <w:gridCol w:w="228"/>
        <w:gridCol w:w="1919"/>
        <w:gridCol w:w="1898"/>
        <w:gridCol w:w="1467"/>
        <w:gridCol w:w="1331"/>
        <w:gridCol w:w="1331"/>
        <w:gridCol w:w="1331"/>
        <w:gridCol w:w="3054"/>
      </w:tblGrid>
      <w:tr>
        <w:tblPrEx>
          <w:tblCellMar>
            <w:top w:w="0" w:type="dxa"/>
            <w:left w:w="108" w:type="dxa"/>
            <w:bottom w:w="0" w:type="dxa"/>
            <w:right w:w="108" w:type="dxa"/>
          </w:tblCellMar>
        </w:tblPrEx>
        <w:trPr>
          <w:trHeight w:val="390" w:hRule="atLeast"/>
        </w:trPr>
        <w:tc>
          <w:tcPr>
            <w:tcW w:w="13018" w:type="dxa"/>
            <w:gridSpan w:val="10"/>
            <w:tcBorders>
              <w:top w:val="nil"/>
              <w:left w:val="nil"/>
              <w:bottom w:val="nil"/>
              <w:right w:val="nil"/>
            </w:tcBorders>
            <w:shd w:val="clear" w:color="000000" w:fill="FFFFFF"/>
            <w:noWrap/>
            <w:vAlign w:val="bottom"/>
          </w:tcPr>
          <w:p>
            <w:pPr>
              <w:widowControl/>
              <w:jc w:val="center"/>
              <w:rPr>
                <w:rFonts w:ascii="宋体" w:hAnsi="宋体" w:cs="Arial"/>
                <w:color w:val="000000"/>
                <w:kern w:val="0"/>
                <w:sz w:val="30"/>
                <w:szCs w:val="30"/>
              </w:rPr>
            </w:pPr>
            <w:r>
              <w:rPr>
                <w:rFonts w:hint="eastAsia" w:ascii="宋体" w:hAnsi="宋体" w:cs="Arial"/>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55" w:hRule="atLeast"/>
        </w:trPr>
        <w:tc>
          <w:tcPr>
            <w:tcW w:w="23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2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22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919"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9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67"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054" w:type="dxa"/>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公开08表</w:t>
            </w:r>
          </w:p>
        </w:tc>
      </w:tr>
      <w:tr>
        <w:tblPrEx>
          <w:tblCellMar>
            <w:top w:w="0" w:type="dxa"/>
            <w:left w:w="108" w:type="dxa"/>
            <w:bottom w:w="0" w:type="dxa"/>
            <w:right w:w="108" w:type="dxa"/>
          </w:tblCellMar>
        </w:tblPrEx>
        <w:trPr>
          <w:trHeight w:val="255" w:hRule="atLeast"/>
        </w:trPr>
        <w:tc>
          <w:tcPr>
            <w:tcW w:w="2606" w:type="dxa"/>
            <w:gridSpan w:val="4"/>
            <w:tcBorders>
              <w:top w:val="nil"/>
              <w:left w:val="nil"/>
              <w:bottom w:val="nil"/>
              <w:right w:val="nil"/>
            </w:tcBorders>
            <w:shd w:val="clear" w:color="000000" w:fill="FFFFFF"/>
            <w:noWrap/>
            <w:vAlign w:val="bottom"/>
          </w:tcPr>
          <w:p>
            <w:pPr>
              <w:widowControl/>
              <w:jc w:val="left"/>
              <w:rPr>
                <w:rFonts w:ascii="宋体" w:hAnsi="宋体" w:cs="Arial"/>
                <w:color w:val="000000"/>
                <w:kern w:val="0"/>
                <w:sz w:val="20"/>
                <w:szCs w:val="20"/>
              </w:rPr>
            </w:pPr>
            <w:r>
              <w:rPr>
                <w:rFonts w:hint="eastAsia" w:ascii="宋体" w:hAnsi="宋体" w:cs="Arial"/>
                <w:color w:val="000000"/>
                <w:kern w:val="0"/>
                <w:sz w:val="20"/>
                <w:szCs w:val="20"/>
              </w:rPr>
              <w:t>部门：许昌市第九中学</w:t>
            </w:r>
          </w:p>
        </w:tc>
        <w:tc>
          <w:tcPr>
            <w:tcW w:w="1898"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467"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331" w:type="dxa"/>
            <w:tcBorders>
              <w:top w:val="nil"/>
              <w:left w:val="nil"/>
              <w:bottom w:val="nil"/>
              <w:right w:val="nil"/>
            </w:tcBorders>
            <w:shd w:val="clear" w:color="000000" w:fill="FFFFFF"/>
            <w:noWrap/>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3054" w:type="dxa"/>
            <w:tcBorders>
              <w:top w:val="nil"/>
              <w:left w:val="nil"/>
              <w:bottom w:val="nil"/>
              <w:right w:val="nil"/>
            </w:tcBorders>
            <w:shd w:val="clear" w:color="000000" w:fill="FFFFFF"/>
            <w:noWrap/>
            <w:vAlign w:val="bottom"/>
          </w:tcPr>
          <w:p>
            <w:pPr>
              <w:widowControl/>
              <w:jc w:val="right"/>
              <w:rPr>
                <w:rFonts w:ascii="宋体" w:hAnsi="宋体" w:cs="Arial"/>
                <w:color w:val="000000"/>
                <w:kern w:val="0"/>
                <w:sz w:val="20"/>
                <w:szCs w:val="20"/>
              </w:rPr>
            </w:pPr>
            <w:r>
              <w:rPr>
                <w:rFonts w:hint="eastAsia" w:ascii="宋体" w:hAnsi="宋体" w:cs="Arial"/>
                <w:color w:val="000000"/>
                <w:kern w:val="0"/>
                <w:sz w:val="20"/>
                <w:szCs w:val="20"/>
              </w:rPr>
              <w:t>金额单位：万元</w:t>
            </w:r>
          </w:p>
        </w:tc>
      </w:tr>
      <w:tr>
        <w:tblPrEx>
          <w:tblCellMar>
            <w:top w:w="0" w:type="dxa"/>
            <w:left w:w="108" w:type="dxa"/>
            <w:bottom w:w="0" w:type="dxa"/>
            <w:right w:w="108" w:type="dxa"/>
          </w:tblCellMar>
        </w:tblPrEx>
        <w:trPr>
          <w:trHeight w:val="308" w:hRule="atLeast"/>
        </w:trPr>
        <w:tc>
          <w:tcPr>
            <w:tcW w:w="2606" w:type="dxa"/>
            <w:gridSpan w:val="4"/>
            <w:tcBorders>
              <w:top w:val="single" w:color="000000" w:sz="4" w:space="0"/>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w:t>
            </w:r>
          </w:p>
        </w:tc>
        <w:tc>
          <w:tcPr>
            <w:tcW w:w="1898"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年初结转和结余</w:t>
            </w:r>
          </w:p>
        </w:tc>
        <w:tc>
          <w:tcPr>
            <w:tcW w:w="1467"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本年收入</w:t>
            </w:r>
          </w:p>
        </w:tc>
        <w:tc>
          <w:tcPr>
            <w:tcW w:w="3993" w:type="dxa"/>
            <w:gridSpan w:val="3"/>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本年支出</w:t>
            </w:r>
          </w:p>
        </w:tc>
        <w:tc>
          <w:tcPr>
            <w:tcW w:w="3054" w:type="dxa"/>
            <w:vMerge w:val="restart"/>
            <w:tcBorders>
              <w:top w:val="single" w:color="000000" w:sz="4" w:space="0"/>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年末结转和结余</w:t>
            </w:r>
          </w:p>
        </w:tc>
      </w:tr>
      <w:tr>
        <w:tblPrEx>
          <w:tblCellMar>
            <w:top w:w="0" w:type="dxa"/>
            <w:left w:w="108" w:type="dxa"/>
            <w:bottom w:w="0" w:type="dxa"/>
            <w:right w:w="108" w:type="dxa"/>
          </w:tblCellMar>
        </w:tblPrEx>
        <w:trPr>
          <w:trHeight w:val="312" w:hRule="atLeast"/>
        </w:trPr>
        <w:tc>
          <w:tcPr>
            <w:tcW w:w="687" w:type="dxa"/>
            <w:gridSpan w:val="3"/>
            <w:vMerge w:val="restart"/>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功能分类科目编码</w:t>
            </w:r>
          </w:p>
        </w:tc>
        <w:tc>
          <w:tcPr>
            <w:tcW w:w="1919"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科目名称</w:t>
            </w:r>
          </w:p>
        </w:tc>
        <w:tc>
          <w:tcPr>
            <w:tcW w:w="1898" w:type="dxa"/>
            <w:vMerge w:val="continue"/>
            <w:tcBorders>
              <w:top w:val="single" w:color="000000" w:sz="4" w:space="0"/>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p>
        </w:tc>
        <w:tc>
          <w:tcPr>
            <w:tcW w:w="1467" w:type="dxa"/>
            <w:vMerge w:val="continue"/>
            <w:tcBorders>
              <w:top w:val="single" w:color="000000" w:sz="4" w:space="0"/>
              <w:left w:val="nil"/>
              <w:bottom w:val="single" w:color="000000" w:sz="4" w:space="0"/>
              <w:right w:val="single" w:color="000000" w:sz="4" w:space="0"/>
            </w:tcBorders>
            <w:shd w:val="clear" w:color="auto" w:fill="auto"/>
            <w:noWrap/>
            <w:vAlign w:val="center"/>
          </w:tcPr>
          <w:p>
            <w:pPr>
              <w:widowControl/>
              <w:jc w:val="left"/>
              <w:rPr>
                <w:rFonts w:ascii="宋体" w:hAnsi="宋体" w:cs="Arial"/>
                <w:color w:val="000000"/>
                <w:kern w:val="0"/>
                <w:sz w:val="22"/>
              </w:rPr>
            </w:pPr>
          </w:p>
        </w:tc>
        <w:tc>
          <w:tcPr>
            <w:tcW w:w="133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小计</w:t>
            </w:r>
          </w:p>
        </w:tc>
        <w:tc>
          <w:tcPr>
            <w:tcW w:w="133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基本支出</w:t>
            </w:r>
          </w:p>
        </w:tc>
        <w:tc>
          <w:tcPr>
            <w:tcW w:w="1331" w:type="dxa"/>
            <w:vMerge w:val="restart"/>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项目支出</w:t>
            </w:r>
          </w:p>
        </w:tc>
        <w:tc>
          <w:tcPr>
            <w:tcW w:w="3054"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87"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919"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46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054"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12" w:hRule="atLeast"/>
        </w:trPr>
        <w:tc>
          <w:tcPr>
            <w:tcW w:w="687" w:type="dxa"/>
            <w:gridSpan w:val="3"/>
            <w:vMerge w:val="continue"/>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919"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898"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467"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1331" w:type="dxa"/>
            <w:vMerge w:val="continue"/>
            <w:tcBorders>
              <w:top w:val="nil"/>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c>
          <w:tcPr>
            <w:tcW w:w="3054" w:type="dxa"/>
            <w:vMerge w:val="continue"/>
            <w:tcBorders>
              <w:top w:val="single" w:color="000000" w:sz="4" w:space="0"/>
              <w:left w:val="nil"/>
              <w:bottom w:val="single" w:color="000000" w:sz="4" w:space="0"/>
              <w:right w:val="single" w:color="000000" w:sz="4" w:space="0"/>
            </w:tcBorders>
            <w:noWrap/>
            <w:vAlign w:val="center"/>
          </w:tcPr>
          <w:p>
            <w:pPr>
              <w:widowControl/>
              <w:jc w:val="left"/>
              <w:rPr>
                <w:rFonts w:ascii="宋体" w:hAnsi="宋体" w:cs="Arial"/>
                <w:color w:val="000000"/>
                <w:kern w:val="0"/>
                <w:sz w:val="22"/>
              </w:rPr>
            </w:pPr>
          </w:p>
        </w:tc>
      </w:tr>
      <w:tr>
        <w:tblPrEx>
          <w:tblCellMar>
            <w:top w:w="0" w:type="dxa"/>
            <w:left w:w="108" w:type="dxa"/>
            <w:bottom w:w="0" w:type="dxa"/>
            <w:right w:w="108" w:type="dxa"/>
          </w:tblCellMar>
        </w:tblPrEx>
        <w:trPr>
          <w:trHeight w:val="308" w:hRule="atLeast"/>
        </w:trPr>
        <w:tc>
          <w:tcPr>
            <w:tcW w:w="260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栏次</w:t>
            </w:r>
          </w:p>
        </w:tc>
        <w:tc>
          <w:tcPr>
            <w:tcW w:w="1898"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1</w:t>
            </w:r>
          </w:p>
        </w:tc>
        <w:tc>
          <w:tcPr>
            <w:tcW w:w="1467"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2</w:t>
            </w:r>
          </w:p>
        </w:tc>
        <w:tc>
          <w:tcPr>
            <w:tcW w:w="133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3</w:t>
            </w:r>
          </w:p>
        </w:tc>
        <w:tc>
          <w:tcPr>
            <w:tcW w:w="133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4</w:t>
            </w:r>
          </w:p>
        </w:tc>
        <w:tc>
          <w:tcPr>
            <w:tcW w:w="1331"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5</w:t>
            </w:r>
          </w:p>
        </w:tc>
        <w:tc>
          <w:tcPr>
            <w:tcW w:w="3054" w:type="dxa"/>
            <w:tcBorders>
              <w:top w:val="nil"/>
              <w:left w:val="nil"/>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6</w:t>
            </w:r>
          </w:p>
        </w:tc>
      </w:tr>
      <w:tr>
        <w:tblPrEx>
          <w:tblCellMar>
            <w:top w:w="0" w:type="dxa"/>
            <w:left w:w="108" w:type="dxa"/>
            <w:bottom w:w="0" w:type="dxa"/>
            <w:right w:w="108" w:type="dxa"/>
          </w:tblCellMar>
        </w:tblPrEx>
        <w:trPr>
          <w:trHeight w:val="308" w:hRule="atLeast"/>
        </w:trPr>
        <w:tc>
          <w:tcPr>
            <w:tcW w:w="2606" w:type="dxa"/>
            <w:gridSpan w:val="4"/>
            <w:tcBorders>
              <w:top w:val="nil"/>
              <w:left w:val="single" w:color="000000" w:sz="4" w:space="0"/>
              <w:bottom w:val="single" w:color="000000" w:sz="4" w:space="0"/>
              <w:right w:val="single" w:color="000000" w:sz="4" w:space="0"/>
            </w:tcBorders>
            <w:shd w:val="clear" w:color="FFFFFF" w:fill="FFFFFF"/>
            <w:noWrap/>
            <w:vAlign w:val="center"/>
          </w:tcPr>
          <w:p>
            <w:pPr>
              <w:widowControl/>
              <w:jc w:val="center"/>
              <w:rPr>
                <w:rFonts w:ascii="宋体" w:hAnsi="宋体" w:cs="Arial"/>
                <w:color w:val="000000"/>
                <w:kern w:val="0"/>
                <w:sz w:val="22"/>
              </w:rPr>
            </w:pPr>
            <w:r>
              <w:rPr>
                <w:rFonts w:hint="eastAsia" w:ascii="宋体" w:hAnsi="宋体" w:cs="Arial"/>
                <w:color w:val="000000"/>
                <w:kern w:val="0"/>
                <w:sz w:val="22"/>
              </w:rPr>
              <w:t>合计</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b/>
                <w:bCs/>
                <w:color w:val="000000"/>
                <w:kern w:val="0"/>
                <w:sz w:val="22"/>
              </w:rPr>
            </w:pPr>
            <w:r>
              <w:rPr>
                <w:rFonts w:hint="eastAsia" w:ascii="宋体" w:hAnsi="宋体" w:cs="Arial"/>
                <w:b/>
                <w:bCs/>
                <w:color w:val="000000"/>
                <w:kern w:val="0"/>
                <w:sz w:val="22"/>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687" w:type="dxa"/>
            <w:gridSpan w:val="3"/>
            <w:tcBorders>
              <w:top w:val="nil"/>
              <w:left w:val="single" w:color="000000" w:sz="4" w:space="0"/>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919" w:type="dxa"/>
            <w:tcBorders>
              <w:top w:val="nil"/>
              <w:left w:val="nil"/>
              <w:bottom w:val="single" w:color="000000" w:sz="4" w:space="0"/>
              <w:right w:val="single" w:color="000000" w:sz="4" w:space="0"/>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　</w:t>
            </w:r>
          </w:p>
        </w:tc>
        <w:tc>
          <w:tcPr>
            <w:tcW w:w="1898"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467"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1331"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c>
          <w:tcPr>
            <w:tcW w:w="3054" w:type="dxa"/>
            <w:tcBorders>
              <w:top w:val="nil"/>
              <w:left w:val="nil"/>
              <w:bottom w:val="single" w:color="000000" w:sz="4" w:space="0"/>
              <w:right w:val="single" w:color="000000" w:sz="4" w:space="0"/>
            </w:tcBorders>
            <w:shd w:val="clear" w:color="000000" w:fill="FFFFFF"/>
            <w:noWrap/>
            <w:vAlign w:val="center"/>
          </w:tcPr>
          <w:p>
            <w:pPr>
              <w:widowControl/>
              <w:jc w:val="right"/>
              <w:rPr>
                <w:rFonts w:ascii="宋体" w:hAnsi="宋体" w:cs="Arial"/>
                <w:color w:val="000000"/>
                <w:kern w:val="0"/>
                <w:sz w:val="22"/>
              </w:rPr>
            </w:pPr>
            <w:r>
              <w:rPr>
                <w:rFonts w:hint="eastAsia" w:ascii="宋体" w:hAnsi="宋体" w:cs="Arial"/>
                <w:color w:val="000000"/>
                <w:kern w:val="0"/>
                <w:sz w:val="22"/>
              </w:rPr>
              <w:t>　</w:t>
            </w:r>
          </w:p>
        </w:tc>
      </w:tr>
      <w:tr>
        <w:tblPrEx>
          <w:tblCellMar>
            <w:top w:w="0" w:type="dxa"/>
            <w:left w:w="108" w:type="dxa"/>
            <w:bottom w:w="0" w:type="dxa"/>
            <w:right w:w="108" w:type="dxa"/>
          </w:tblCellMar>
        </w:tblPrEx>
        <w:trPr>
          <w:trHeight w:val="308" w:hRule="atLeast"/>
        </w:trPr>
        <w:tc>
          <w:tcPr>
            <w:tcW w:w="13018" w:type="dxa"/>
            <w:gridSpan w:val="10"/>
            <w:tcBorders>
              <w:top w:val="nil"/>
              <w:left w:val="nil"/>
              <w:bottom w:val="nil"/>
              <w:right w:val="nil"/>
            </w:tcBorders>
            <w:shd w:val="clear" w:color="000000" w:fill="FFFFFF"/>
            <w:noWrap/>
            <w:vAlign w:val="center"/>
          </w:tcPr>
          <w:p>
            <w:pPr>
              <w:widowControl/>
              <w:jc w:val="left"/>
              <w:rPr>
                <w:rFonts w:ascii="宋体" w:hAnsi="宋体" w:cs="Arial"/>
                <w:color w:val="000000"/>
                <w:kern w:val="0"/>
                <w:sz w:val="22"/>
              </w:rPr>
            </w:pPr>
            <w:r>
              <w:rPr>
                <w:rFonts w:hint="eastAsia" w:ascii="宋体" w:hAnsi="宋体" w:cs="Arial"/>
                <w:color w:val="000000"/>
                <w:kern w:val="0"/>
                <w:sz w:val="22"/>
              </w:rPr>
              <w:t>注：本表反映部门本年度政府性基金预算财政拨款收入、支出及结转和结余情况。本表金额转换为万元时，因四舍五入可能存在尾差。</w:t>
            </w:r>
          </w:p>
        </w:tc>
      </w:tr>
    </w:tbl>
    <w:p>
      <w:pPr>
        <w:widowControl/>
        <w:spacing w:line="590" w:lineRule="exact"/>
        <w:jc w:val="left"/>
        <w:rPr>
          <w:rFonts w:ascii="仿宋_GB2312" w:hAnsi="仿宋_GB2312" w:eastAsia="仿宋_GB2312" w:cs="仿宋_GB2312"/>
          <w:sz w:val="32"/>
          <w:szCs w:val="32"/>
        </w:rPr>
      </w:pPr>
    </w:p>
    <w:p>
      <w:pPr>
        <w:rPr>
          <w:rFonts w:ascii="仿宋_GB2312" w:hAnsi="仿宋_GB2312" w:eastAsia="仿宋_GB2312" w:cs="仿宋_GB2312"/>
          <w:sz w:val="32"/>
          <w:szCs w:val="32"/>
        </w:rPr>
        <w:sectPr>
          <w:pgSz w:w="16838" w:h="11906" w:orient="landscape"/>
          <w:pgMar w:top="2098" w:right="1474" w:bottom="1984" w:left="1587" w:header="720" w:footer="720" w:gutter="0"/>
          <w:pgNumType w:fmt="numberInDash"/>
          <w:cols w:space="720" w:num="1"/>
          <w:docGrid w:type="lines" w:linePitch="312" w:charSpace="0"/>
        </w:sectPr>
      </w:pPr>
      <w:r>
        <w:rPr>
          <w:rFonts w:hint="eastAsia" w:ascii="仿宋_GB2312" w:hAnsi="仿宋_GB2312" w:eastAsia="仿宋_GB2312" w:cs="仿宋_GB2312"/>
          <w:sz w:val="32"/>
          <w:szCs w:val="32"/>
        </w:rPr>
        <w:t>说明：我</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没有政府性基金收入，也没有使用政府性基金安排的支出，故本表无数据</w:t>
      </w: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both"/>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年度收、支总计均为1394.69万元。与上年度相比，收、支总计各减少130.40万元，下降8.55%。主要原因是</w:t>
      </w:r>
      <w:r>
        <w:rPr>
          <w:rFonts w:hint="eastAsia" w:ascii="Arial Unicode MS" w:hAnsi="Arial Unicode MS" w:eastAsia="Arial Unicode MS" w:cs="Arial Unicode MS"/>
          <w:sz w:val="32"/>
          <w:szCs w:val="32"/>
        </w:rPr>
        <w:t>①在职转退休，在职人员经费减少②</w:t>
      </w:r>
      <w:r>
        <w:rPr>
          <w:rFonts w:hint="eastAsia" w:ascii="仿宋_GB2312" w:hAnsi="仿宋_GB2312" w:eastAsia="仿宋_GB2312" w:cs="仿宋_GB2312"/>
          <w:sz w:val="32"/>
          <w:szCs w:val="32"/>
        </w:rPr>
        <w:t>在校学生人数减少，生均拨款经费减少。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1125.14万元，其中：财政拨款收入1125.14万元，占100%；上级补助收入0.00万元，占0.00%；事业收入0.00万元，占0.00%；经营收入万元，占0.00%；附属单位上缴收入0.00万元，占0.00%；其他收入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年度支出合计1394.69万元，其中：基本支出1174.63万元，占84.22%；项目支出220.06万元，占15.78%；上缴上级支出0.00万元，占0.00%；经营支出0.00万元，占0.00%；对附属单位补助支出0.00万元，占0.00%。</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年度财政拨款收、支总计均为1394.69万元。与上年度相比，财政拨款收、支总计各增加减少128.95万元，下降8.46%。主要原因是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Arial Unicode MS" w:hAnsi="Arial Unicode MS" w:eastAsia="Arial Unicode MS" w:cs="Arial Unicode MS"/>
          <w:sz w:val="32"/>
          <w:szCs w:val="32"/>
        </w:rPr>
        <w:t>在职转退休，在职人员经费减少</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在校学生人数减少，生均拨款经费减少。</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ascii="仿宋_GB2312" w:hAnsi="仿宋_GB2312" w:eastAsia="仿宋_GB2312" w:cs="仿宋_GB2312"/>
          <w:color w:val="000000"/>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年度一般公共预算财政拨款支出1394.69万元，占支出合计的100%。与上年度相比，一般公共预算财政拨款支出增加146.09万元，增长11.70%。</w:t>
      </w:r>
      <w:r>
        <w:rPr>
          <w:rFonts w:hint="eastAsia" w:ascii="仿宋_GB2312" w:hAnsi="仿宋_GB2312" w:eastAsia="仿宋_GB2312" w:cs="仿宋_GB2312"/>
          <w:color w:val="000000"/>
          <w:sz w:val="32"/>
          <w:szCs w:val="32"/>
        </w:rPr>
        <w:t>主要原因是2021年使用上年结余资金支出，加快了资金支付进度，年末减少财政资金结余。</w:t>
      </w:r>
    </w:p>
    <w:p>
      <w:pPr>
        <w:widowControl/>
        <w:spacing w:line="590" w:lineRule="exact"/>
        <w:ind w:firstLine="640" w:firstLineChars="200"/>
        <w:rPr>
          <w:rFonts w:ascii="楷体_GB2312" w:hAnsi="楷体_GB2312" w:eastAsia="楷体_GB2312" w:cs="楷体_GB2312"/>
          <w:bCs/>
          <w:color w:val="000000"/>
          <w:sz w:val="32"/>
          <w:szCs w:val="32"/>
        </w:rPr>
      </w:pPr>
      <w:r>
        <w:rPr>
          <w:rFonts w:hint="eastAsia" w:ascii="楷体_GB2312" w:hAnsi="楷体_GB2312" w:eastAsia="楷体_GB2312" w:cs="楷体_GB2312"/>
          <w:bCs/>
          <w:color w:val="000000"/>
          <w:sz w:val="32"/>
          <w:szCs w:val="32"/>
        </w:rPr>
        <w:t>（二）结构情况。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年度一般公共预算财政拨款支出1394.69万元，主要用于以下方面：一般公共服务支出5.86万元，占0.42%；教育支出1188.15万元，占85.19%；社会保障和就业支出175.87万元，占12.61%；卫生健康支出24.81万元，占1.78%。</w:t>
      </w:r>
    </w:p>
    <w:p>
      <w:pPr>
        <w:widowControl/>
        <w:spacing w:line="590" w:lineRule="exact"/>
        <w:ind w:firstLine="642"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年度一般公共预算财政拨款支出年初预算为1094.21万元，支出决算为1394.69万元，完成年初预算的127.46%。其中：</w:t>
      </w:r>
    </w:p>
    <w:p>
      <w:pPr>
        <w:adjustRightInd w:val="0"/>
        <w:snapToGrid w:val="0"/>
        <w:spacing w:line="360" w:lineRule="auto"/>
        <w:ind w:firstLine="642" w:firstLineChars="200"/>
        <w:rPr>
          <w:rFonts w:ascii="仿宋_GB2312" w:hAnsi="宋体" w:eastAsia="仿宋_GB2312" w:cs="仿宋_GB2312"/>
          <w:b/>
          <w:bCs/>
          <w:sz w:val="32"/>
          <w:szCs w:val="32"/>
        </w:rPr>
      </w:pPr>
      <w:r>
        <w:rPr>
          <w:rFonts w:hint="eastAsia" w:ascii="仿宋_GB2312" w:hAnsi="仿宋_GB2312" w:eastAsia="仿宋_GB2312" w:cs="仿宋_GB2312"/>
          <w:b/>
          <w:bCs/>
          <w:sz w:val="32"/>
          <w:szCs w:val="32"/>
        </w:rPr>
        <w:t>1．</w:t>
      </w:r>
      <w:r>
        <w:rPr>
          <w:rFonts w:hint="eastAsia" w:ascii="仿宋_GB2312" w:hAnsi="宋体" w:eastAsia="仿宋_GB2312" w:cs="仿宋_GB2312"/>
          <w:b/>
          <w:bCs/>
          <w:sz w:val="32"/>
          <w:szCs w:val="32"/>
        </w:rPr>
        <w:t>一般公共服务支出（类）群众团体事务（款）工会事务（项）。</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年初预算为5.86万元，支出决算为5.86万元，完成年初预算的100%。决算数与年初预算数不存在差异。</w:t>
      </w:r>
    </w:p>
    <w:p>
      <w:pPr>
        <w:widowControl/>
        <w:spacing w:line="590" w:lineRule="exact"/>
        <w:ind w:firstLine="642" w:firstLineChars="200"/>
        <w:rPr>
          <w:rFonts w:ascii="仿宋_GB2312" w:hAnsi="宋体" w:eastAsia="仿宋_GB2312" w:cs="仿宋_GB2312"/>
          <w:b/>
          <w:bCs/>
          <w:sz w:val="32"/>
          <w:szCs w:val="32"/>
        </w:rPr>
      </w:pPr>
      <w:r>
        <w:rPr>
          <w:rFonts w:hint="eastAsia" w:ascii="仿宋_GB2312" w:hAnsi="仿宋_GB2312" w:eastAsia="仿宋_GB2312" w:cs="仿宋_GB2312"/>
          <w:b/>
          <w:bCs/>
          <w:sz w:val="32"/>
          <w:szCs w:val="32"/>
        </w:rPr>
        <w:t>2．</w:t>
      </w:r>
      <w:r>
        <w:rPr>
          <w:rFonts w:hint="eastAsia" w:ascii="仿宋_GB2312" w:hAnsi="宋体" w:eastAsia="仿宋_GB2312" w:cs="仿宋_GB2312"/>
          <w:b/>
          <w:bCs/>
          <w:sz w:val="32"/>
          <w:szCs w:val="32"/>
        </w:rPr>
        <w:t>教育支出（类）普通教育（款）初中教育（项）</w:t>
      </w:r>
    </w:p>
    <w:p>
      <w:pPr>
        <w:widowControl/>
        <w:spacing w:line="59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年初预算为884.86万元，支出决算为976.08万元，完成年初预算的110.31%。决算数与年初预算数存在差异的主要原因是薪级工资调资没有列入年初预算、2020年下半年奖励性绩效工资在2021年初发放。</w:t>
      </w:r>
    </w:p>
    <w:p>
      <w:pPr>
        <w:widowControl/>
        <w:spacing w:line="600" w:lineRule="exact"/>
        <w:ind w:firstLine="642" w:firstLineChars="200"/>
        <w:rPr>
          <w:rFonts w:ascii="仿宋_GB2312" w:hAnsi="宋体" w:eastAsia="仿宋_GB2312" w:cs="仿宋_GB2312"/>
          <w:b/>
          <w:bCs/>
          <w:sz w:val="32"/>
          <w:szCs w:val="32"/>
        </w:rPr>
      </w:pPr>
      <w:r>
        <w:rPr>
          <w:rFonts w:hint="eastAsia" w:ascii="仿宋_GB2312" w:hAnsi="仿宋_GB2312" w:eastAsia="仿宋_GB2312" w:cs="仿宋_GB2312"/>
          <w:b/>
          <w:bCs/>
          <w:sz w:val="32"/>
          <w:szCs w:val="32"/>
        </w:rPr>
        <w:t>3．</w:t>
      </w:r>
      <w:r>
        <w:rPr>
          <w:rFonts w:hint="eastAsia" w:ascii="仿宋_GB2312" w:hAnsi="宋体" w:eastAsia="仿宋_GB2312" w:cs="仿宋_GB2312"/>
          <w:b/>
          <w:bCs/>
          <w:sz w:val="32"/>
          <w:szCs w:val="32"/>
        </w:rPr>
        <w:t>教育支出（类）普通教育（款）其他普通教育支出（项）。</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年初预算为0万元，支出决算为203.41万元。决算数与年初预算数存在差异的主要原因是城乡义务教育经费保障改革中央、省级资金、市直学校保安经费、特岗教师工资支出没有纳入年初预算。</w:t>
      </w:r>
    </w:p>
    <w:p>
      <w:pPr>
        <w:widowControl/>
        <w:spacing w:line="600" w:lineRule="exact"/>
        <w:ind w:firstLine="642" w:firstLineChars="200"/>
        <w:rPr>
          <w:rFonts w:ascii="仿宋_GB2312" w:hAnsi="宋体" w:eastAsia="仿宋_GB2312" w:cs="仿宋_GB2312"/>
          <w:b/>
          <w:bCs/>
          <w:sz w:val="32"/>
          <w:szCs w:val="32"/>
        </w:rPr>
      </w:pPr>
      <w:r>
        <w:rPr>
          <w:rFonts w:hint="eastAsia" w:ascii="仿宋_GB2312" w:hAnsi="仿宋_GB2312" w:eastAsia="仿宋_GB2312" w:cs="仿宋_GB2312"/>
          <w:b/>
          <w:bCs/>
          <w:sz w:val="32"/>
          <w:szCs w:val="32"/>
        </w:rPr>
        <w:t>4．</w:t>
      </w:r>
      <w:r>
        <w:rPr>
          <w:rFonts w:hint="eastAsia" w:ascii="仿宋_GB2312" w:hAnsi="宋体" w:eastAsia="仿宋_GB2312" w:cs="仿宋_GB2312"/>
          <w:b/>
          <w:bCs/>
          <w:sz w:val="32"/>
          <w:szCs w:val="32"/>
        </w:rPr>
        <w:t>教育支出（类）特殊教育（款）特殊学校教育（项）。</w:t>
      </w:r>
    </w:p>
    <w:p>
      <w:pPr>
        <w:adjustRightInd w:val="0"/>
        <w:snapToGrid w:val="0"/>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年初预算为0万元，支出决算为0.60万元。决算数与年初预算数存在差异的主要原因是残疾学生公用经费支出没有纳入年初预算。</w:t>
      </w:r>
    </w:p>
    <w:p>
      <w:pPr>
        <w:adjustRightInd w:val="0"/>
        <w:snapToGrid w:val="0"/>
        <w:spacing w:line="60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5．</w:t>
      </w:r>
      <w:r>
        <w:rPr>
          <w:rFonts w:hint="eastAsia" w:ascii="仿宋_GB2312" w:hAnsi="宋体" w:eastAsia="仿宋_GB2312" w:cs="仿宋_GB2312"/>
          <w:b/>
          <w:bCs/>
          <w:sz w:val="32"/>
          <w:szCs w:val="32"/>
        </w:rPr>
        <w:t>教育支出（类）普通教育（款）其他教育支出（项）</w:t>
      </w:r>
      <w:r>
        <w:rPr>
          <w:rFonts w:hint="eastAsia" w:ascii="仿宋_GB2312" w:hAnsi="仿宋_GB2312" w:eastAsia="仿宋_GB2312" w:cs="仿宋_GB2312"/>
          <w:sz w:val="32"/>
          <w:szCs w:val="32"/>
        </w:rPr>
        <w:t>年初预算为0万元，支出决算为8.05万元。决算数与年初预算数存在差异的主要原因是校园安保经费未纳入年初预算。</w:t>
      </w:r>
    </w:p>
    <w:p>
      <w:pPr>
        <w:adjustRightInd w:val="0"/>
        <w:snapToGrid w:val="0"/>
        <w:spacing w:line="600" w:lineRule="exact"/>
        <w:ind w:firstLine="629" w:firstLineChars="196"/>
        <w:rPr>
          <w:rFonts w:ascii="仿宋_GB2312" w:hAnsi="宋体" w:eastAsia="仿宋_GB2312" w:cs="仿宋_GB2312"/>
          <w:b/>
          <w:bCs/>
          <w:sz w:val="32"/>
          <w:szCs w:val="32"/>
        </w:rPr>
      </w:pPr>
      <w:r>
        <w:rPr>
          <w:rFonts w:hint="eastAsia" w:ascii="仿宋_GB2312" w:hAnsi="仿宋_GB2312" w:eastAsia="仿宋_GB2312" w:cs="仿宋_GB2312"/>
          <w:b/>
          <w:bCs/>
          <w:sz w:val="32"/>
          <w:szCs w:val="32"/>
        </w:rPr>
        <w:t>6．</w:t>
      </w:r>
      <w:r>
        <w:rPr>
          <w:rFonts w:hint="eastAsia" w:ascii="仿宋_GB2312" w:hAnsi="宋体" w:eastAsia="仿宋_GB2312" w:cs="仿宋_GB2312"/>
          <w:b/>
          <w:bCs/>
          <w:sz w:val="32"/>
          <w:szCs w:val="32"/>
        </w:rPr>
        <w:t>社会保障和就业支出（类）行政事业单位养老支出（款）事业单位离退休（项）。</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年初预算为105.95万元，支出决算为108.55万元，完成年初预算的102.45%。决算数与年初预算数存在差异的主要原因是发放在职转退休人员单位文明奖等补贴。</w:t>
      </w:r>
    </w:p>
    <w:p>
      <w:pPr>
        <w:adjustRightInd w:val="0"/>
        <w:snapToGrid w:val="0"/>
        <w:spacing w:line="600" w:lineRule="exact"/>
        <w:ind w:firstLine="629" w:firstLineChars="196"/>
        <w:rPr>
          <w:rFonts w:ascii="仿宋_GB2312" w:hAnsi="宋体" w:eastAsia="仿宋_GB2312" w:cs="仿宋_GB2312"/>
          <w:b/>
          <w:bCs/>
          <w:sz w:val="32"/>
          <w:szCs w:val="32"/>
        </w:rPr>
      </w:pPr>
      <w:r>
        <w:rPr>
          <w:rFonts w:hint="eastAsia" w:ascii="仿宋_GB2312" w:hAnsi="仿宋_GB2312" w:eastAsia="仿宋_GB2312" w:cs="仿宋_GB2312"/>
          <w:b/>
          <w:bCs/>
          <w:sz w:val="32"/>
          <w:szCs w:val="32"/>
        </w:rPr>
        <w:t>7．</w:t>
      </w:r>
      <w:r>
        <w:rPr>
          <w:rFonts w:hint="eastAsia" w:ascii="仿宋_GB2312" w:hAnsi="宋体" w:eastAsia="仿宋_GB2312" w:cs="仿宋_GB2312"/>
          <w:b/>
          <w:bCs/>
          <w:sz w:val="32"/>
          <w:szCs w:val="32"/>
        </w:rPr>
        <w:t>社会保障和就业支出（类）行政事业单位养老支出（款）机关事业单位基本养老保险缴费支出（项）。</w:t>
      </w:r>
    </w:p>
    <w:p>
      <w:pPr>
        <w:widowControl/>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年初预算为66.43万元，支出决算为67.32万元，完成年初预算的101.34%。决算数与年初预算数存在差异的主要原因是见期期转正人员因工资审批晚，年初预算数按见习工资预算，实际按转正后工资支出。</w:t>
      </w:r>
    </w:p>
    <w:p>
      <w:pPr>
        <w:adjustRightInd w:val="0"/>
        <w:snapToGrid w:val="0"/>
        <w:spacing w:line="600" w:lineRule="exact"/>
        <w:ind w:firstLine="642" w:firstLineChars="200"/>
        <w:rPr>
          <w:rFonts w:ascii="仿宋_GB2312" w:hAnsi="宋体" w:eastAsia="仿宋_GB2312" w:cs="仿宋_GB2312"/>
          <w:color w:val="000000"/>
          <w:sz w:val="32"/>
          <w:szCs w:val="32"/>
        </w:rPr>
      </w:pPr>
      <w:r>
        <w:rPr>
          <w:rFonts w:hint="eastAsia" w:ascii="仿宋_GB2312" w:hAnsi="宋体" w:eastAsia="仿宋_GB2312" w:cs="仿宋_GB2312"/>
          <w:b/>
          <w:bCs/>
          <w:sz w:val="32"/>
          <w:szCs w:val="32"/>
        </w:rPr>
        <w:t>8.卫生健康支出（类）行政事业单位医疗（款）事业单位医疗（项）。</w:t>
      </w:r>
    </w:p>
    <w:p>
      <w:pPr>
        <w:widowControl/>
        <w:spacing w:line="500" w:lineRule="exact"/>
        <w:ind w:firstLine="640" w:firstLineChars="200"/>
        <w:rPr>
          <w:rFonts w:ascii="仿宋_GB2312" w:hAnsi="仿宋_GB2312" w:eastAsia="仿宋_GB2312" w:cs="仿宋_GB2312"/>
          <w:sz w:val="32"/>
          <w:szCs w:val="32"/>
        </w:rPr>
      </w:pPr>
      <w:r>
        <w:rPr>
          <w:rFonts w:hint="eastAsia" w:ascii="仿宋_GB2312" w:hAnsi="宋体" w:eastAsia="仿宋_GB2312" w:cs="仿宋_GB2312"/>
          <w:sz w:val="32"/>
          <w:szCs w:val="32"/>
        </w:rPr>
        <w:t>年初预算31.11万元，支出决算为24.81万元，</w:t>
      </w:r>
      <w:r>
        <w:rPr>
          <w:rFonts w:hint="eastAsia" w:ascii="仿宋_GB2312" w:hAnsi="仿宋_GB2312" w:eastAsia="仿宋_GB2312" w:cs="仿宋_GB2312"/>
          <w:sz w:val="32"/>
          <w:szCs w:val="32"/>
        </w:rPr>
        <w:t>完成年初预算的79.95 %。决算数与年初预算数存在差异的主要原因是</w:t>
      </w:r>
      <w:r>
        <w:rPr>
          <w:rFonts w:hint="eastAsia" w:ascii="仿宋_GB2312" w:hAnsi="宋体" w:eastAsia="仿宋_GB2312" w:cs="仿宋_GB2312"/>
          <w:sz w:val="32"/>
          <w:szCs w:val="32"/>
        </w:rPr>
        <w:t>使用以前年度节余资金支出</w:t>
      </w:r>
      <w:r>
        <w:rPr>
          <w:rFonts w:hint="eastAsia" w:ascii="仿宋_GB2312" w:hAnsi="仿宋_GB2312" w:eastAsia="仿宋_GB2312" w:cs="仿宋_GB2312"/>
          <w:sz w:val="32"/>
          <w:szCs w:val="32"/>
        </w:rPr>
        <w:t>。</w:t>
      </w:r>
    </w:p>
    <w:p>
      <w:pPr>
        <w:widowControl/>
        <w:spacing w:line="590" w:lineRule="exact"/>
        <w:outlineLvl w:val="1"/>
        <w:rPr>
          <w:rFonts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年度一般公共预算财政拨款基本支出1174.63万元。其中：人员经费</w:t>
      </w:r>
      <w:r>
        <w:rPr>
          <w:rFonts w:ascii="仿宋_GB2312" w:eastAsia="仿宋_GB2312" w:cs="仿宋_GB2312"/>
          <w:sz w:val="32"/>
          <w:szCs w:val="32"/>
        </w:rPr>
        <w:t>1078.04</w:t>
      </w:r>
      <w:r>
        <w:rPr>
          <w:rFonts w:hint="eastAsia" w:ascii="仿宋_GB2312" w:hAnsi="仿宋_GB2312" w:eastAsia="仿宋_GB2312" w:cs="仿宋_GB2312"/>
          <w:sz w:val="32"/>
          <w:szCs w:val="32"/>
        </w:rPr>
        <w:t>万元，主要包括：基本工资、津贴补贴、奖金、绩效工资、机关事业单位基本养老保险缴费、职工基本医疗保险缴费、其他社会保障缴费、住房公积金、其他工资福利支出、退休费、生活补助；公用经费</w:t>
      </w:r>
      <w:r>
        <w:rPr>
          <w:rFonts w:ascii="仿宋_GB2312" w:eastAsia="仿宋_GB2312" w:cs="仿宋_GB2312"/>
          <w:sz w:val="32"/>
          <w:szCs w:val="32"/>
        </w:rPr>
        <w:t>96.59</w:t>
      </w:r>
      <w:r>
        <w:rPr>
          <w:rFonts w:hint="eastAsia" w:ascii="仿宋_GB2312" w:hAnsi="仿宋_GB2312" w:eastAsia="仿宋_GB2312" w:cs="仿宋_GB2312"/>
          <w:sz w:val="32"/>
          <w:szCs w:val="32"/>
        </w:rPr>
        <w:t>万元，主要包括：办公费、咨询费、水费、电费、邮电费、差旅费、维修（护）费、培训费、专用材料费、劳务费、工会经费、福利费、公务用车运行维护费、其他交通费用、税金及附加费用、其他商品和服务支出、办公设备购置。</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w:t>
      </w:r>
      <w:r>
        <w:rPr>
          <w:rFonts w:ascii="仿宋_GB2312" w:eastAsia="仿宋_GB2312" w:cs="仿宋_GB2312"/>
          <w:sz w:val="32"/>
          <w:szCs w:val="32"/>
        </w:rPr>
        <w:t>4.34</w:t>
      </w:r>
      <w:r>
        <w:rPr>
          <w:rFonts w:hint="eastAsia" w:ascii="仿宋_GB2312" w:hAnsi="仿宋_GB2312" w:eastAsia="仿宋_GB2312" w:cs="仿宋_GB2312"/>
          <w:sz w:val="32"/>
          <w:szCs w:val="32"/>
        </w:rPr>
        <w:t>万元，支出决算为</w:t>
      </w:r>
      <w:r>
        <w:rPr>
          <w:rFonts w:ascii="仿宋_GB2312" w:eastAsia="仿宋_GB2312" w:cs="仿宋_GB2312"/>
          <w:sz w:val="32"/>
          <w:szCs w:val="32"/>
        </w:rPr>
        <w:t>1.7</w:t>
      </w:r>
      <w:r>
        <w:rPr>
          <w:rFonts w:hint="eastAsia" w:ascii="仿宋_GB2312" w:eastAsia="仿宋_GB2312" w:cs="仿宋_GB2312"/>
          <w:sz w:val="32"/>
          <w:szCs w:val="32"/>
        </w:rPr>
        <w:t>0</w:t>
      </w:r>
      <w:r>
        <w:rPr>
          <w:rFonts w:hint="eastAsia" w:ascii="仿宋_GB2312" w:hAnsi="仿宋_GB2312" w:eastAsia="仿宋_GB2312" w:cs="仿宋_GB2312"/>
          <w:sz w:val="32"/>
          <w:szCs w:val="32"/>
        </w:rPr>
        <w:t>万元，完成预算的39.2%。</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年度“三公”经费支出决算数与预算数存在差异的主要原因是</w:t>
      </w:r>
      <w:r>
        <w:rPr>
          <w:rFonts w:hint="eastAsia" w:ascii="仿宋_GB2312" w:hAnsi="宋体" w:eastAsia="仿宋_GB2312" w:cs="仿宋_GB2312"/>
          <w:sz w:val="32"/>
          <w:szCs w:val="32"/>
        </w:rPr>
        <w:t>加强了对公务接待的管理和控制公车出行。</w:t>
      </w:r>
    </w:p>
    <w:p>
      <w:pPr>
        <w:widowControl/>
        <w:spacing w:line="590" w:lineRule="exact"/>
        <w:ind w:firstLine="642" w:firstLineChars="2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年度“三公”经费财政拨款支出决算中，因公出国（境）费支出决算0.00万元；公务用车购置及运行费支出决算1.70万元，完成预算的100%，占100%；公务接待费支出决算0.00万元。具体情况如下：</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预算为0.00万元，支出决算为0.00万元。决算数与预算数不存在差异。全年因公出国（境）团组0个，累计0人次。</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预算为1.7万元，支出决算为1.7万元，完成预算的100%。决算数与预算数不存在差异。其中：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为0万元，购置车辆0台。</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1.70万元。主要用于主要用于燃油费、车辆维修费、过路过桥费、车辆保险费。</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年期末，单位开支财政拨款的公务用车保有量为1辆。</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预算为2.64万元，支出决算为0万元。决算数与预算数存在差异的主要原因是2021年未发生支出。其中：</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widowControl/>
        <w:spacing w:line="59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年度政府性基金预算财政拨款支出年初预算为0.00万元，支出决算为0.00万元，不存在项目年末结转和结余资金数额较大。主要原因：我单位2021年度没有政府性基金收入，也没有政府性基金支出。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rPr>
          <w:rFonts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1辆，其中：省级领导干部用车0辆、主要领导干部用车0辆、机要通信用车0辆、应急保障车0辆、执法执勤用车0辆、特种专业技术用车0辆、离退休干部用车0辆、其他用车1辆；单位价值50万元以上通用设备0台（套），单位价值100万元以上专用设备0台（套）。</w:t>
      </w:r>
    </w:p>
    <w:p>
      <w:pPr>
        <w:widowControl/>
        <w:spacing w:line="590" w:lineRule="exact"/>
        <w:ind w:firstLine="640" w:firstLineChars="200"/>
        <w:outlineLvl w:val="1"/>
        <w:rPr>
          <w:rFonts w:ascii="黑体" w:hAnsi="黑体" w:eastAsia="黑体" w:cs="黑体"/>
          <w:sz w:val="32"/>
          <w:szCs w:val="32"/>
        </w:rPr>
      </w:pPr>
      <w:r>
        <w:rPr>
          <w:rFonts w:hint="eastAsia" w:ascii="黑体" w:hAnsi="黑体" w:eastAsia="黑体" w:cs="黑体"/>
          <w:sz w:val="32"/>
          <w:szCs w:val="32"/>
        </w:rPr>
        <w:t>十二、预算绩效情况说明</w:t>
      </w:r>
    </w:p>
    <w:p>
      <w:pPr>
        <w:widowControl/>
        <w:spacing w:line="360" w:lineRule="auto"/>
        <w:ind w:firstLine="963" w:firstLineChars="300"/>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p>
    <w:p>
      <w:pPr>
        <w:spacing w:line="600" w:lineRule="exact"/>
        <w:ind w:firstLine="640" w:firstLineChars="200"/>
        <w:rPr>
          <w:rFonts w:ascii="仿宋_GB2312" w:hAnsi="仿宋" w:eastAsia="仿宋_GB2312" w:cs="仿宋_GB2312"/>
          <w:kern w:val="44"/>
          <w:sz w:val="32"/>
          <w:szCs w:val="32"/>
        </w:rPr>
      </w:pPr>
      <w:r>
        <w:rPr>
          <w:rFonts w:hint="eastAsia" w:ascii="仿宋_GB2312" w:hAnsi="仿宋_GB2312" w:eastAsia="仿宋_GB2312" w:cs="仿宋_GB2312"/>
          <w:sz w:val="32"/>
          <w:szCs w:val="32"/>
        </w:rPr>
        <w:t>按照要求，为加强我校部门整体和项目资金使用满意度，我校成立了绩效自评工作小组，制定了绩效管理的相关制度，并组织开展了绩效培训学习，对照“部门整体和项目自评表”的相相关指标体系，认真细致地开开展自评工作，充分发挥资金的使用效益。从履职效能、管理效率、运行成本、服务满意、可持续性五个方面进行绩效自评，绩效评价效果良好。</w:t>
      </w:r>
    </w:p>
    <w:p>
      <w:pPr>
        <w:widowControl/>
        <w:spacing w:line="360" w:lineRule="auto"/>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（二）部门（单位）整体和项目绩效自评结果。</w:t>
      </w:r>
    </w:p>
    <w:p>
      <w:pPr>
        <w:ind w:firstLine="640" w:firstLineChars="200"/>
        <w:rPr>
          <w:rFonts w:ascii="仿宋" w:hAnsi="仿宋" w:eastAsia="仿宋"/>
          <w:sz w:val="32"/>
          <w:szCs w:val="32"/>
        </w:rPr>
      </w:pPr>
      <w:r>
        <w:rPr>
          <w:rFonts w:hint="eastAsia" w:ascii="仿宋_GB2312" w:hAnsi="仿宋_GB2312" w:eastAsia="仿宋_GB2312" w:cs="仿宋_GB2312"/>
          <w:sz w:val="32"/>
          <w:szCs w:val="32"/>
        </w:rPr>
        <w:t>按照《许昌市财政局关于开展2021年度市级预算绩效自评工作的通知》（许财效）〔2022〕1号）等文件精神，我单位对本单位整体绩效目标和项目支出绩效目标进行了自评。一是单位整体绩效自评情况</w:t>
      </w:r>
      <w:r>
        <w:rPr>
          <w:rFonts w:hint="eastAsia" w:ascii="仿宋" w:hAnsi="仿宋" w:eastAsia="仿宋" w:cs="仿宋_GB2312"/>
          <w:b/>
          <w:sz w:val="32"/>
          <w:szCs w:val="32"/>
        </w:rPr>
        <w:t>：</w:t>
      </w:r>
      <w:r>
        <w:rPr>
          <w:rFonts w:hint="eastAsia" w:ascii="仿宋" w:hAnsi="仿宋" w:eastAsia="仿宋"/>
          <w:sz w:val="32"/>
          <w:szCs w:val="32"/>
        </w:rPr>
        <w:t>我单位整体</w:t>
      </w:r>
      <w:r>
        <w:rPr>
          <w:rFonts w:hint="eastAsia" w:ascii="仿宋" w:hAnsi="仿宋" w:eastAsia="仿宋"/>
          <w:color w:val="000000"/>
          <w:sz w:val="32"/>
          <w:szCs w:val="32"/>
        </w:rPr>
        <w:t>预算总额1094.21万元，其中基本支出1022.21万元，项目支出72万元</w:t>
      </w:r>
      <w:r>
        <w:rPr>
          <w:rFonts w:hint="eastAsia" w:ascii="仿宋" w:hAnsi="仿宋" w:eastAsia="仿宋"/>
          <w:sz w:val="32"/>
          <w:szCs w:val="32"/>
        </w:rPr>
        <w:t>；由于年底财政收回全部本年底结余资金，全年数和全年执行数一样为1125.14万元，其中基本支出1041.17万元，项目支出83.97万元。资金到位及时，资金执行率达到100%、资金管理情况良好。</w:t>
      </w:r>
      <w:r>
        <w:rPr>
          <w:rFonts w:hint="eastAsia" w:ascii="仿宋" w:hAnsi="仿宋" w:eastAsia="仿宋" w:cs="楷体"/>
          <w:sz w:val="32"/>
          <w:szCs w:val="32"/>
        </w:rPr>
        <w:t>部门整体自评得分95分。</w:t>
      </w:r>
      <w:r>
        <w:rPr>
          <w:rFonts w:hint="eastAsia" w:ascii="仿宋_GB2312" w:hAnsi="仿宋_GB2312" w:eastAsia="仿宋_GB2312" w:cs="仿宋_GB2312"/>
          <w:sz w:val="32"/>
          <w:szCs w:val="32"/>
        </w:rPr>
        <w:t>二是项目绩效自评情况：我单位共有1个项目批复了绩效目标，项目金额72万。其中：</w:t>
      </w:r>
    </w:p>
    <w:p>
      <w:pPr>
        <w:ind w:firstLine="640" w:firstLineChars="200"/>
        <w:rPr>
          <w:rFonts w:ascii="仿宋" w:hAnsi="仿宋" w:eastAsia="仿宋" w:cs="楷体"/>
          <w:sz w:val="32"/>
          <w:szCs w:val="32"/>
        </w:rPr>
      </w:pPr>
      <w:r>
        <w:rPr>
          <w:rFonts w:hint="eastAsia" w:ascii="仿宋_GB2312" w:hAnsi="仿宋_GB2312" w:eastAsia="仿宋_GB2312" w:cs="仿宋_GB2312"/>
          <w:sz w:val="32"/>
          <w:szCs w:val="32"/>
        </w:rPr>
        <w:t>许昌市第九中学1个，项目金额72万元。</w:t>
      </w:r>
    </w:p>
    <w:p>
      <w:pPr>
        <w:ind w:firstLine="640" w:firstLineChars="200"/>
        <w:rPr>
          <w:rFonts w:ascii="仿宋_GB2312" w:hAnsi="仿宋" w:eastAsia="仿宋_GB2312"/>
          <w:bCs/>
          <w:sz w:val="32"/>
          <w:szCs w:val="32"/>
        </w:rPr>
      </w:pPr>
      <w:r>
        <w:rPr>
          <w:rFonts w:hint="eastAsia" w:ascii="仿宋_GB2312" w:hAnsi="仿宋" w:eastAsia="仿宋_GB2312" w:cs="仿宋_GB2312"/>
          <w:sz w:val="32"/>
          <w:szCs w:val="32"/>
        </w:rPr>
        <w:t>基于项目预期目标的实现程度，对2021年度项目支出绩效进行自评。</w:t>
      </w:r>
      <w:r>
        <w:rPr>
          <w:rFonts w:hint="eastAsia" w:ascii="仿宋_GB2312" w:hAnsi="仿宋" w:eastAsia="仿宋_GB2312"/>
          <w:bCs/>
          <w:sz w:val="32"/>
          <w:szCs w:val="32"/>
        </w:rPr>
        <w:t>我单位项目支出是校园运行维护费：用于弥补学校办公经费，年初预算72万元，全年执行数31.98万元，执行率44.4%，主要原因是本年度实际非税收入比年初预算数少。</w:t>
      </w:r>
      <w:r>
        <w:rPr>
          <w:rFonts w:hint="eastAsia" w:ascii="仿宋_GB2312" w:hAnsi="仿宋" w:eastAsia="仿宋_GB2312" w:cs="仿宋_GB2312"/>
          <w:sz w:val="32"/>
          <w:szCs w:val="32"/>
        </w:rPr>
        <w:t>绩效自评平均得分为85分。其中：0个项目评价等级为“优”、1个项目评价等级为“良”、0个项目评价等级为“中”、0个项目评价等级</w:t>
      </w:r>
      <w:r>
        <w:rPr>
          <w:rFonts w:hint="eastAsia" w:ascii="仿宋_GB2312" w:hAnsi="仿宋_GB2312" w:eastAsia="仿宋_GB2312" w:cs="仿宋_GB2312"/>
          <w:sz w:val="32"/>
          <w:szCs w:val="32"/>
        </w:rPr>
        <w:t>为“差”。</w:t>
      </w:r>
    </w:p>
    <w:p>
      <w:pPr>
        <w:widowControl/>
        <w:spacing w:line="360" w:lineRule="auto"/>
        <w:outlineLvl w:val="2"/>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2021年度我单位没有开展重点绩效评价的</w:t>
      </w:r>
      <w:r>
        <w:rPr>
          <w:rFonts w:hint="eastAsia" w:ascii="宋体" w:hAnsi="宋体" w:cs="宋体"/>
          <w:sz w:val="32"/>
          <w:szCs w:val="32"/>
        </w:rPr>
        <w:t>项目</w:t>
      </w:r>
      <w:r>
        <w:rPr>
          <w:rFonts w:hint="eastAsia" w:ascii="仿宋_GB2312" w:hAnsi="仿宋_GB2312" w:eastAsia="仿宋_GB2312" w:cs="仿宋_GB2312"/>
          <w:sz w:val="32"/>
          <w:szCs w:val="32"/>
        </w:rPr>
        <w:t>。</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00000000" w:usb1="00000000" w:usb2="00000009" w:usb3="00000000" w:csb0="000001FF" w:csb1="00000000"/>
  </w:font>
  <w:font w:name="Arial Unicode MS">
    <w:altName w:val="DejaVu Sans"/>
    <w:panose1 w:val="020B0604020202020204"/>
    <w:charset w:val="86"/>
    <w:family w:val="swiss"/>
    <w:pitch w:val="default"/>
    <w:sig w:usb0="00000000" w:usb1="00000000" w:usb2="0000003F" w:usb3="00000000" w:csb0="003F01FF" w:csb1="00000000"/>
  </w:font>
  <w:font w:name="楷体_GB2312">
    <w:altName w:val="方正楷体_GBK"/>
    <w:panose1 w:val="00000000000000000000"/>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6" o:spid="_x0000_s1026" o:spt="202" type="#_x0000_t202" style="position:absolute;left:0pt;margin-top:0pt;height:20.7pt;width:19.5pt;mso-position-horizontal:center;mso-position-horizontal-relative:margin;mso-wrap-style:none;z-index:251660288;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BV2LlmzQEAAJcDAAAOAAAAZHJzL2Uyb0RvYy54bWytU82O0zAQviPx&#10;Dpbv1N0IyhI1XYGqRUgIkBYewHXsxpL/5HGb9AXgDThx4c5z9TkYO0kXlsseuKSTmek33/fNZH0z&#10;WEOOMoL2rqFXiyUl0gnfardv6JfPt8+uKYHEXcuNd7KhJwn0ZvP0yboPtax8500rI0EQB3UfGtql&#10;FGrGQHTSclj4IB0WlY+WJ3yNe9ZG3iO6NaxaLles97EN0QsJgNntWKQTYnwMoFdKC7n14mClSyNq&#10;lIYnlASdDkA3ha1SUqSPSoFMxDQUlabyxCEY7/KTbda83kceOi0mCvwxFB5oslw7HHqB2vLEySHq&#10;f6CsFtGDV2khvGWjkOIIqrhaPvDmruNBFi1oNYSL6fD/YMWH46dIdNvQihLHLS78/P3b+cev88+v&#10;ZJXt6QPU2HUXsC8Nb/yARzPnAZNZ9aCizb+oh2AdzT1dzJVDIgKT1fOXqxdYEViqVtX1q2I+u/9z&#10;iJDeSm9JDhoacXfFUn58DwmJYOvckmc5f6uNKfsz7q8ENuYMy8xHhjlKw26Y5Ox8e0I1Pa69oQ6v&#10;nBLzzqGr+ULmIM7Bbg4OIep9V04oz4Pw+pCQROGWJ4yw02DcV6E83VY+iD/fS9f997T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4JRNDRAAAAAwEAAA8AAAAAAAAAAQAgAAAAIgAAAGRycy9kb3du&#10;cmV2LnhtbFBLAQIUABQAAAAIAIdO4kBV2LlmzQEAAJcDAAAOAAAAAAAAAAEAIAAAACABAABkcnMv&#10;ZTJvRG9jLnhtbFBLBQYAAAAABgAGAFkBAABfBQ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- 5 -</w:t>
                </w:r>
                <w:r>
                  <w:rPr>
                    <w:rFonts w:hint="eastAsia"/>
                    <w:sz w:val="18"/>
                  </w:rPr>
                  <w:fldChar w:fldCharType="end"/>
                </w:r>
              </w:p>
            </w:txbxContent>
          </v:textbox>
        </v:shape>
      </w:pict>
    </w:r>
    <w:r>
      <w:pict>
        <v:shape id="文本框 1027" o:spid="_x0000_s1028" o:spt="202" type="#_x0000_t202" style="position:absolute;left:0pt;margin-top:0pt;height:12.05pt;width:9.05pt;mso-position-horizontal:center;mso-position-horizontal-relative:margin;mso-wrap-style:none;z-index:251659264;mso-width-relative:page;mso-height-relative:page;" filled="f" stroked="f" coordsize="21600,21600" o:gfxdata="UEsDBAoAAAAAAIdO4kAAAAAAAAAAAAAAAAAEAAAAZHJzL1BLAwQUAAAACACHTuJACQVPmtAAAAAD&#10;AQAADwAAAGRycy9kb3ducmV2LnhtbE2PwWrDMBBE74X8g9hCb43sUFrjWM4hkEtvTUuht421sUyl&#10;lZEUx/77Kr20l4Vhhpm3zW52VkwU4uBZQbkuQBB3Xg/cK/h4PzxWIGJC1mg9k4KFIuza1V2DtfZX&#10;fqPpmHqRSzjWqMCkNNZSxs6Qw7j2I3H2zj44TFmGXuqA11zurNwUxbN0OHBeMDjS3lD3fbw4BS/z&#10;p6cx0p6+zlMXzLBU9nVR6uG+LLYgEs3pLww3/IwObWY6+QvrKKyC/Ej6vTevKkGcFGyeSpBtI/+z&#10;tz9QSwMEFAAAAAgAh07iQKlNSNDQAQAAmgMAAA4AAABkcnMvZTJvRG9jLnhtbK1TS27bMBDdF+gd&#10;CO5rSk7SJoLloIGRokDRBkh7AJqiLAL8gUNb8gXaG3TVTfc9l8+RISU7abrJohtqODN8M+/NaHE9&#10;GE12MoBytqblrKBEWuEaZTc1/fb19s0lJRC5bbh2VtZ0L4FeL1+/WvS+knPXOd3IQBDEQtX7mnYx&#10;+ooxEJ00HGbOS4vB1gXDI17DhjWB94huNJsXxVvWu9D44IQEQO9qDNIJMbwE0LWtEnLlxNZIG0fU&#10;IDWPSAk65YEuc7dtK0X80rYgI9E1RaYxn1gE7XU62XLBq03gvlNiaoG/pIVnnAxXFoueoFY8crIN&#10;6h8oo0Rw4No4E86wkUhWBFmUxTNt7jvuZeaCUoM/iQ7/D1Z83t0FohrcBEosNzjww88fh19/Dr+/&#10;k7KYv0sK9R4qTLz3mBqHGzek7MkP6EzEhzaY9EVKBOOo7/6krxwiEelReX51dkGJwFB5cVagjSjs&#10;8bEPED9IZ0gyahpwfFlVvvsEcUw9pqRa1t0qrdHPK23/ciBm8rDU+dhhsuKwHqa2167ZI5seJ19T&#10;i4tOif5oUdi0JEcjHI310dj6oDZd3qJUD/z7bcQmcm+pwgg7FcaRZXbTeqWdeHrPWY+/1PI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QVPmtAAAAADAQAADwAAAAAAAAABACAAAAAiAAAAZHJzL2Rv&#10;d25yZXYueG1sUEsBAhQAFAAAAAgAh07iQKlNSNDQAQAAmgMAAA4AAAAAAAAAAQAgAAAAHwEAAGRy&#10;cy9lMm9Eb2MueG1sUEsFBgAAAAAGAAYAWQEAAGEFAAAAAA==&#10;">
          <v:path/>
          <v:fill on="f" focussize="0,0"/>
          <v:stroke on="f" joinstyle="miter"/>
          <v:imagedata o:title=""/>
          <o:lock v:ext="edit"/>
          <v:textbox inset="0mm,0mm,0mm,0mm" style="mso-fit-shape-to-text:t;">
            <w:txbxContent>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7" o:spid="_x0000_s1027" o:spt="202" type="#_x0000_t202" style="position:absolute;left:0pt;margin-top:0pt;height:20.7pt;width:19.5pt;mso-position-horizontal:center;mso-position-horizontal-relative:margin;mso-wrap-style:none;z-index:251661312;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CD0s6LzwEAAJcDAAAOAAAAZHJzL2Uyb0RvYy54bWytU0tu2zAQ3Rfo&#10;HQjuazlq6ySC5SCFkaJA0RZIcgCaIi0C/IFDW/IF2ht01U33PZfP0SElOWm6ySIbeTQzfvPem9Hy&#10;qjea7EUA5WxNz2ZzSoTlrlF2W9P7u5s3F5RAZLZh2llR04MAerV6/WrZ+UqUrnW6EYEgiIWq8zVt&#10;Y/RVUQBvhWEwc15YLEoXDIv4GrZFE1iH6EYX5Xy+KDoXGh8cFwCYXQ9FOiKG5wA6KRUXa8d3Rtg4&#10;oAahWURJ0CoPdJXZSil4/ColiEh0TVFpzE8cgvEmPYvVklXbwHyr+EiBPYfCE02GKYtDT1BrFhnZ&#10;BfUflFE8OHAyzrgzxSAkO4IqzuZPvLltmRdZC1oN/mQ6vBws/7L/FohqavqWEssMLvz488fx15/j&#10;7+/kPNnTeaiw69ZjX+w/uB6PZsoDJpPqXgaTflEPwTqaeziZK/pIOCbLd+eL91jhWCoX5cVlNr94&#10;+LMPED8KZ0gKahpwd9lStv8MEYlg69SSZll3o7TO+9P2nwQ2pkyRmA8MUxT7TT/K2bjmgGo6XHtN&#10;LV45JfqTRVfThUxBmILNFOx8UNs2n1CaB/56F5FE5pYmDLDjYNxXpjzeVjqIx++56+F7Wv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fglE0NEAAAADAQAADwAAAAAAAAABACAAAAAiAAAAZHJzL2Rv&#10;d25yZXYueG1sUEsBAhQAFAAAAAgAh07iQIPSzovPAQAAlwMAAA4AAAAAAAAAAQAgAAAAIAEAAGRy&#10;cy9lMm9Eb2MueG1sUEsFBgAAAAAGAAYAWQEAAGE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- 6 -</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2"/>
  </w:compat>
  <w:docVars>
    <w:docVar w:name="commondata" w:val="eyJoZGlkIjoiNzZjMmM3OTgxYmU4ZjQ2MTQwN2RjZGJiYjgyNWE5YzEifQ=="/>
  </w:docVars>
  <w:rsids>
    <w:rsidRoot w:val="000270E8"/>
    <w:rsid w:val="000270E8"/>
    <w:rsid w:val="0003282B"/>
    <w:rsid w:val="000335B5"/>
    <w:rsid w:val="00045ED9"/>
    <w:rsid w:val="00057AFD"/>
    <w:rsid w:val="00076410"/>
    <w:rsid w:val="00081835"/>
    <w:rsid w:val="000904B3"/>
    <w:rsid w:val="000C073B"/>
    <w:rsid w:val="000C1142"/>
    <w:rsid w:val="001003F8"/>
    <w:rsid w:val="0010049D"/>
    <w:rsid w:val="00110A45"/>
    <w:rsid w:val="00126001"/>
    <w:rsid w:val="00144159"/>
    <w:rsid w:val="001718A8"/>
    <w:rsid w:val="00172D1E"/>
    <w:rsid w:val="00182842"/>
    <w:rsid w:val="00184D53"/>
    <w:rsid w:val="00185535"/>
    <w:rsid w:val="00185758"/>
    <w:rsid w:val="001857E0"/>
    <w:rsid w:val="001905F2"/>
    <w:rsid w:val="00197592"/>
    <w:rsid w:val="001A5981"/>
    <w:rsid w:val="001C1C40"/>
    <w:rsid w:val="001C2856"/>
    <w:rsid w:val="001C32F0"/>
    <w:rsid w:val="001C426E"/>
    <w:rsid w:val="001D61B1"/>
    <w:rsid w:val="001F5040"/>
    <w:rsid w:val="002006EB"/>
    <w:rsid w:val="00214AE1"/>
    <w:rsid w:val="00234DE5"/>
    <w:rsid w:val="0024613B"/>
    <w:rsid w:val="00260692"/>
    <w:rsid w:val="00260D70"/>
    <w:rsid w:val="00281114"/>
    <w:rsid w:val="00282C7F"/>
    <w:rsid w:val="00286D2C"/>
    <w:rsid w:val="00287811"/>
    <w:rsid w:val="00292B4B"/>
    <w:rsid w:val="002A2DA3"/>
    <w:rsid w:val="002A6352"/>
    <w:rsid w:val="002B3F94"/>
    <w:rsid w:val="002C171D"/>
    <w:rsid w:val="002C75FF"/>
    <w:rsid w:val="002D32D0"/>
    <w:rsid w:val="002D4579"/>
    <w:rsid w:val="002D727B"/>
    <w:rsid w:val="002E44DD"/>
    <w:rsid w:val="002E6A86"/>
    <w:rsid w:val="00304D04"/>
    <w:rsid w:val="00305B88"/>
    <w:rsid w:val="00315FEB"/>
    <w:rsid w:val="00351C0B"/>
    <w:rsid w:val="00371DFC"/>
    <w:rsid w:val="003842DC"/>
    <w:rsid w:val="003A0D5B"/>
    <w:rsid w:val="003C5E6D"/>
    <w:rsid w:val="003F39AC"/>
    <w:rsid w:val="0041489C"/>
    <w:rsid w:val="00420E9F"/>
    <w:rsid w:val="004214EF"/>
    <w:rsid w:val="00425217"/>
    <w:rsid w:val="0042585F"/>
    <w:rsid w:val="00430F13"/>
    <w:rsid w:val="00435F3E"/>
    <w:rsid w:val="00442B5D"/>
    <w:rsid w:val="00445CAC"/>
    <w:rsid w:val="00472E19"/>
    <w:rsid w:val="00480A52"/>
    <w:rsid w:val="00487869"/>
    <w:rsid w:val="004B3B04"/>
    <w:rsid w:val="004B439E"/>
    <w:rsid w:val="004D5275"/>
    <w:rsid w:val="004D65D8"/>
    <w:rsid w:val="004F63DB"/>
    <w:rsid w:val="00505190"/>
    <w:rsid w:val="00507364"/>
    <w:rsid w:val="00512C6B"/>
    <w:rsid w:val="00546F7C"/>
    <w:rsid w:val="0056436E"/>
    <w:rsid w:val="005A0C2F"/>
    <w:rsid w:val="005B1AE2"/>
    <w:rsid w:val="005E3397"/>
    <w:rsid w:val="00607D67"/>
    <w:rsid w:val="006228C4"/>
    <w:rsid w:val="006233C3"/>
    <w:rsid w:val="006337B2"/>
    <w:rsid w:val="00636C37"/>
    <w:rsid w:val="006512DD"/>
    <w:rsid w:val="00651B8B"/>
    <w:rsid w:val="00656BEF"/>
    <w:rsid w:val="00656D75"/>
    <w:rsid w:val="00657E86"/>
    <w:rsid w:val="00673EF7"/>
    <w:rsid w:val="006841E9"/>
    <w:rsid w:val="0069449E"/>
    <w:rsid w:val="006C07F0"/>
    <w:rsid w:val="006C0ED3"/>
    <w:rsid w:val="006C2A13"/>
    <w:rsid w:val="006C5D4A"/>
    <w:rsid w:val="006C644A"/>
    <w:rsid w:val="006C7D84"/>
    <w:rsid w:val="00713F0C"/>
    <w:rsid w:val="007148E8"/>
    <w:rsid w:val="007218F7"/>
    <w:rsid w:val="00733DAA"/>
    <w:rsid w:val="00734345"/>
    <w:rsid w:val="00742BA0"/>
    <w:rsid w:val="00742E1B"/>
    <w:rsid w:val="00753545"/>
    <w:rsid w:val="00754430"/>
    <w:rsid w:val="00763ED1"/>
    <w:rsid w:val="00764156"/>
    <w:rsid w:val="007706D7"/>
    <w:rsid w:val="007866AC"/>
    <w:rsid w:val="007879ED"/>
    <w:rsid w:val="007A48A3"/>
    <w:rsid w:val="007C029F"/>
    <w:rsid w:val="007C7F49"/>
    <w:rsid w:val="007D2A21"/>
    <w:rsid w:val="007F0FA4"/>
    <w:rsid w:val="00801F67"/>
    <w:rsid w:val="00832320"/>
    <w:rsid w:val="00843461"/>
    <w:rsid w:val="00860459"/>
    <w:rsid w:val="008651E7"/>
    <w:rsid w:val="00872946"/>
    <w:rsid w:val="0088023A"/>
    <w:rsid w:val="008858FB"/>
    <w:rsid w:val="00894B41"/>
    <w:rsid w:val="008B5427"/>
    <w:rsid w:val="008C7CD0"/>
    <w:rsid w:val="008E1FCB"/>
    <w:rsid w:val="008E2C41"/>
    <w:rsid w:val="008F4B29"/>
    <w:rsid w:val="00903F6B"/>
    <w:rsid w:val="009173F9"/>
    <w:rsid w:val="009308CB"/>
    <w:rsid w:val="00945223"/>
    <w:rsid w:val="00950270"/>
    <w:rsid w:val="00962F58"/>
    <w:rsid w:val="00971EA1"/>
    <w:rsid w:val="00975A04"/>
    <w:rsid w:val="00987E71"/>
    <w:rsid w:val="009F0FBB"/>
    <w:rsid w:val="009F546E"/>
    <w:rsid w:val="00A079F0"/>
    <w:rsid w:val="00A31FBB"/>
    <w:rsid w:val="00A42F43"/>
    <w:rsid w:val="00A5153C"/>
    <w:rsid w:val="00A51982"/>
    <w:rsid w:val="00A57BF7"/>
    <w:rsid w:val="00A657A1"/>
    <w:rsid w:val="00A71DC1"/>
    <w:rsid w:val="00A83D8A"/>
    <w:rsid w:val="00A93E7D"/>
    <w:rsid w:val="00AA260E"/>
    <w:rsid w:val="00AA44CB"/>
    <w:rsid w:val="00AA67CD"/>
    <w:rsid w:val="00AC642E"/>
    <w:rsid w:val="00AD1C5C"/>
    <w:rsid w:val="00AD63E1"/>
    <w:rsid w:val="00AD6761"/>
    <w:rsid w:val="00AE2FEA"/>
    <w:rsid w:val="00AE600E"/>
    <w:rsid w:val="00B0083B"/>
    <w:rsid w:val="00B040BC"/>
    <w:rsid w:val="00B209B8"/>
    <w:rsid w:val="00B20BBC"/>
    <w:rsid w:val="00B249F3"/>
    <w:rsid w:val="00B31221"/>
    <w:rsid w:val="00B649BE"/>
    <w:rsid w:val="00B653A5"/>
    <w:rsid w:val="00B710DD"/>
    <w:rsid w:val="00B94195"/>
    <w:rsid w:val="00BE4E02"/>
    <w:rsid w:val="00BE5A85"/>
    <w:rsid w:val="00BF4E6A"/>
    <w:rsid w:val="00BF5718"/>
    <w:rsid w:val="00C03D03"/>
    <w:rsid w:val="00C13474"/>
    <w:rsid w:val="00C3106E"/>
    <w:rsid w:val="00C45A1A"/>
    <w:rsid w:val="00C60609"/>
    <w:rsid w:val="00C95CC1"/>
    <w:rsid w:val="00CA3F44"/>
    <w:rsid w:val="00CA4DD2"/>
    <w:rsid w:val="00CB03ED"/>
    <w:rsid w:val="00CD7360"/>
    <w:rsid w:val="00CE212D"/>
    <w:rsid w:val="00CE4B38"/>
    <w:rsid w:val="00CF3D76"/>
    <w:rsid w:val="00CF6B3A"/>
    <w:rsid w:val="00D1321A"/>
    <w:rsid w:val="00D30ADF"/>
    <w:rsid w:val="00D32E1A"/>
    <w:rsid w:val="00D33CF8"/>
    <w:rsid w:val="00D6315E"/>
    <w:rsid w:val="00D652C2"/>
    <w:rsid w:val="00D74EE2"/>
    <w:rsid w:val="00D83E19"/>
    <w:rsid w:val="00D86CAD"/>
    <w:rsid w:val="00D94961"/>
    <w:rsid w:val="00D96336"/>
    <w:rsid w:val="00DA00C9"/>
    <w:rsid w:val="00DB200E"/>
    <w:rsid w:val="00DB65F5"/>
    <w:rsid w:val="00DC3DFC"/>
    <w:rsid w:val="00DF6AE2"/>
    <w:rsid w:val="00E0066C"/>
    <w:rsid w:val="00E01C3E"/>
    <w:rsid w:val="00E13099"/>
    <w:rsid w:val="00E410AE"/>
    <w:rsid w:val="00E4339F"/>
    <w:rsid w:val="00E50DA5"/>
    <w:rsid w:val="00E60B05"/>
    <w:rsid w:val="00E629EA"/>
    <w:rsid w:val="00E63A1C"/>
    <w:rsid w:val="00E672E6"/>
    <w:rsid w:val="00E6777C"/>
    <w:rsid w:val="00E715D5"/>
    <w:rsid w:val="00EB05A3"/>
    <w:rsid w:val="00ED38B7"/>
    <w:rsid w:val="00ED6C61"/>
    <w:rsid w:val="00EE051D"/>
    <w:rsid w:val="00F0131A"/>
    <w:rsid w:val="00F04233"/>
    <w:rsid w:val="00F10392"/>
    <w:rsid w:val="00F14C17"/>
    <w:rsid w:val="00F17041"/>
    <w:rsid w:val="00F218CF"/>
    <w:rsid w:val="00F37651"/>
    <w:rsid w:val="00F44937"/>
    <w:rsid w:val="00F61A47"/>
    <w:rsid w:val="00F61CA6"/>
    <w:rsid w:val="00F84422"/>
    <w:rsid w:val="00F95455"/>
    <w:rsid w:val="00F96EAF"/>
    <w:rsid w:val="00FA574D"/>
    <w:rsid w:val="00FC2588"/>
    <w:rsid w:val="00FE7AD9"/>
    <w:rsid w:val="01322275"/>
    <w:rsid w:val="01DC6F05"/>
    <w:rsid w:val="02A3489A"/>
    <w:rsid w:val="02CA138D"/>
    <w:rsid w:val="033646FC"/>
    <w:rsid w:val="03C75F80"/>
    <w:rsid w:val="0478364D"/>
    <w:rsid w:val="053D4C0D"/>
    <w:rsid w:val="0557532E"/>
    <w:rsid w:val="0799329C"/>
    <w:rsid w:val="08397436"/>
    <w:rsid w:val="086F16A7"/>
    <w:rsid w:val="0A0F7225"/>
    <w:rsid w:val="0A2B7D82"/>
    <w:rsid w:val="0ADC40E9"/>
    <w:rsid w:val="0AE607F4"/>
    <w:rsid w:val="0B386127"/>
    <w:rsid w:val="0B451598"/>
    <w:rsid w:val="0BEC73F4"/>
    <w:rsid w:val="0C392698"/>
    <w:rsid w:val="10BD36F6"/>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CA92A5A"/>
    <w:rsid w:val="1E443B4B"/>
    <w:rsid w:val="1E994F4A"/>
    <w:rsid w:val="1EAF0224"/>
    <w:rsid w:val="1F2230A4"/>
    <w:rsid w:val="20210932"/>
    <w:rsid w:val="202448E0"/>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95D59E7"/>
    <w:rsid w:val="39A93932"/>
    <w:rsid w:val="3A915562"/>
    <w:rsid w:val="3B8D4765"/>
    <w:rsid w:val="3B9D0FFA"/>
    <w:rsid w:val="3C000DBA"/>
    <w:rsid w:val="3DC045D3"/>
    <w:rsid w:val="3E504FFB"/>
    <w:rsid w:val="3E615CD0"/>
    <w:rsid w:val="3E9C47F6"/>
    <w:rsid w:val="3F8B0112"/>
    <w:rsid w:val="3FAB3095"/>
    <w:rsid w:val="3FE45947"/>
    <w:rsid w:val="41242965"/>
    <w:rsid w:val="435671EA"/>
    <w:rsid w:val="440809E9"/>
    <w:rsid w:val="442407A6"/>
    <w:rsid w:val="44805EA1"/>
    <w:rsid w:val="45710696"/>
    <w:rsid w:val="46142B1B"/>
    <w:rsid w:val="46E5C631"/>
    <w:rsid w:val="47E60DD0"/>
    <w:rsid w:val="48735039"/>
    <w:rsid w:val="492C684B"/>
    <w:rsid w:val="49500594"/>
    <w:rsid w:val="49E7604E"/>
    <w:rsid w:val="4BF67CDD"/>
    <w:rsid w:val="4D173441"/>
    <w:rsid w:val="4D603DD6"/>
    <w:rsid w:val="4EBF010F"/>
    <w:rsid w:val="4F471EB0"/>
    <w:rsid w:val="51331326"/>
    <w:rsid w:val="51740A7F"/>
    <w:rsid w:val="51A5541E"/>
    <w:rsid w:val="51C96242"/>
    <w:rsid w:val="53906AE1"/>
    <w:rsid w:val="54F46F60"/>
    <w:rsid w:val="55A37BEA"/>
    <w:rsid w:val="56362CD2"/>
    <w:rsid w:val="5784687B"/>
    <w:rsid w:val="57846959"/>
    <w:rsid w:val="578E6A87"/>
    <w:rsid w:val="5AC2203A"/>
    <w:rsid w:val="5CBB3334"/>
    <w:rsid w:val="5D115FAF"/>
    <w:rsid w:val="5FF6F346"/>
    <w:rsid w:val="62811722"/>
    <w:rsid w:val="62E75A72"/>
    <w:rsid w:val="64571880"/>
    <w:rsid w:val="649125B6"/>
    <w:rsid w:val="652F4C1A"/>
    <w:rsid w:val="666D37F1"/>
    <w:rsid w:val="67087D8F"/>
    <w:rsid w:val="671F687E"/>
    <w:rsid w:val="67F415F8"/>
    <w:rsid w:val="682640D1"/>
    <w:rsid w:val="684B73E5"/>
    <w:rsid w:val="6A047A2A"/>
    <w:rsid w:val="6ABC7A59"/>
    <w:rsid w:val="6EFB7548"/>
    <w:rsid w:val="6F3831C3"/>
    <w:rsid w:val="6F8B71C1"/>
    <w:rsid w:val="70753482"/>
    <w:rsid w:val="707B522A"/>
    <w:rsid w:val="73194D05"/>
    <w:rsid w:val="73A83B0E"/>
    <w:rsid w:val="744D3EF9"/>
    <w:rsid w:val="74794411"/>
    <w:rsid w:val="75867C40"/>
    <w:rsid w:val="75B10B26"/>
    <w:rsid w:val="76432199"/>
    <w:rsid w:val="76F44829"/>
    <w:rsid w:val="77A267C0"/>
    <w:rsid w:val="78882278"/>
    <w:rsid w:val="78B118A6"/>
    <w:rsid w:val="79135044"/>
    <w:rsid w:val="79436E05"/>
    <w:rsid w:val="7A7D0F99"/>
    <w:rsid w:val="7BCC3905"/>
    <w:rsid w:val="7C180B02"/>
    <w:rsid w:val="7D533E65"/>
    <w:rsid w:val="7DAE8D09"/>
    <w:rsid w:val="7E4A0E7C"/>
    <w:rsid w:val="7EFD449D"/>
    <w:rsid w:val="A5E7DEE8"/>
    <w:rsid w:val="BAEFE796"/>
    <w:rsid w:val="BEF73C82"/>
    <w:rsid w:val="BEFF4E44"/>
    <w:rsid w:val="CFFBEBC6"/>
    <w:rsid w:val="D3EA3FD3"/>
    <w:rsid w:val="D65EFF69"/>
    <w:rsid w:val="EF2F0C73"/>
    <w:rsid w:val="EF3B533E"/>
    <w:rsid w:val="F61F89B7"/>
    <w:rsid w:val="FCEE9879"/>
    <w:rsid w:val="FF4EDF3D"/>
    <w:rsid w:val="FF99DD66"/>
    <w:rsid w:val="FFE289C3"/>
    <w:rsid w:val="FFEE0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1956</Words>
  <Characters>11150</Characters>
  <Lines>92</Lines>
  <Paragraphs>26</Paragraphs>
  <TotalTime>63</TotalTime>
  <ScaleCrop>false</ScaleCrop>
  <LinksUpToDate>false</LinksUpToDate>
  <CharactersWithSpaces>13080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2023-02-17T08:27:00Z</dcterms:created>
  <dc:creator>管理者</dc:creator>
  <cp:lastModifiedBy>huanghe</cp:lastModifiedBy>
  <cp:lastPrinted>2018-07-24T18:50:00Z</cp:lastPrinted>
  <dcterms:modified xsi:type="dcterms:W3CDTF">2023-05-09T10:24:25Z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C83BD2FE4CED4DD7BA6923FC7DD3CB08</vt:lpwstr>
  </property>
</Properties>
</file>