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许昌市科学技术协会</w:t>
      </w:r>
      <w:r>
        <w:rPr>
          <w:rFonts w:hint="eastAsia" w:ascii="黑体" w:hAnsi="黑体" w:eastAsia="黑体" w:cs="黑体"/>
          <w:color w:val="auto"/>
          <w:sz w:val="52"/>
          <w:szCs w:val="52"/>
          <w:highlight w:val="none"/>
        </w:rPr>
        <w:t>（</w:t>
      </w:r>
      <w:r>
        <w:rPr>
          <w:rFonts w:hint="eastAsia" w:ascii="黑体" w:hAnsi="黑体" w:eastAsia="黑体" w:cs="黑体"/>
          <w:color w:val="auto"/>
          <w:sz w:val="52"/>
          <w:szCs w:val="52"/>
          <w:highlight w:val="none"/>
          <w:lang w:eastAsia="zh-CN"/>
        </w:rPr>
        <w:t>本级</w:t>
      </w:r>
      <w:r>
        <w:rPr>
          <w:rFonts w:hint="eastAsia" w:ascii="黑体" w:hAnsi="黑体" w:eastAsia="黑体" w:cs="黑体"/>
          <w:color w:val="auto"/>
          <w:sz w:val="52"/>
          <w:szCs w:val="52"/>
          <w:highlight w:val="none"/>
        </w:rPr>
        <w:t>）</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许昌市科学技术协会概况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许昌市科学技术协会</w:t>
      </w:r>
      <w:r>
        <w:rPr>
          <w:rFonts w:hint="eastAsia" w:ascii="黑体" w:hAnsi="黑体" w:eastAsia="黑体" w:cs="黑体"/>
          <w:color w:val="auto"/>
          <w:sz w:val="48"/>
          <w:szCs w:val="48"/>
          <w:highlight w:val="none"/>
        </w:rPr>
        <w:t>（</w:t>
      </w:r>
      <w:r>
        <w:rPr>
          <w:rFonts w:hint="eastAsia" w:ascii="黑体" w:hAnsi="黑体" w:eastAsia="黑体" w:cs="黑体"/>
          <w:color w:val="auto"/>
          <w:sz w:val="48"/>
          <w:szCs w:val="48"/>
          <w:highlight w:val="none"/>
          <w:lang w:eastAsia="zh-CN"/>
        </w:rPr>
        <w:t>本级</w:t>
      </w:r>
      <w:r>
        <w:rPr>
          <w:rFonts w:hint="eastAsia" w:ascii="黑体" w:hAnsi="黑体" w:eastAsia="黑体" w:cs="黑体"/>
          <w:color w:val="auto"/>
          <w:sz w:val="48"/>
          <w:szCs w:val="48"/>
          <w:highlight w:val="none"/>
        </w:rPr>
        <w:t>）</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bookmarkStart w:id="0" w:name="_GoBack"/>
      <w:bookmarkEnd w:id="0"/>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科学技术协会是中共许昌市委领导下的人民团体，是党和政府联系科学技术工作者的桥梁和纽带，推动科技事业发展的重要力量。主要工作任务是开展学术交流，活跃学术思想，促进学科发展；普及科学知识，倡导科学方法，传播科学思想，弘扬科学精神，捍卫科学尊严，推广先进技术，开展青少年科学技术教育活动，提高全民的科学文化素质；反映科学技术工作者的意见和要求，维护科学技术工作者的合法权益，表彰奖励优秀科学技术工作者及优秀成果；兴办科普和科技活动场所；对所属全市性学会履行业务主管单位的管理和监督职责。</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许昌市科学技术协会内设机构3个，包括：办公室、学会部、普及部。</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许昌市科学技术协会（本级）</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许昌市科学技术协会（</w:t>
      </w:r>
      <w:r>
        <w:rPr>
          <w:rFonts w:hint="eastAsia" w:ascii="仿宋_GB2312" w:hAnsi="仿宋_GB2312" w:eastAsia="仿宋_GB2312" w:cs="仿宋_GB2312"/>
          <w:kern w:val="0"/>
          <w:sz w:val="32"/>
          <w:szCs w:val="32"/>
          <w:highlight w:val="none"/>
        </w:rPr>
        <w:t>本级</w:t>
      </w:r>
      <w:r>
        <w:rPr>
          <w:rFonts w:hint="eastAsia" w:ascii="仿宋_GB2312" w:hAnsi="仿宋_GB2312" w:eastAsia="仿宋_GB2312" w:cs="仿宋_GB2312"/>
          <w:color w:val="auto"/>
          <w:kern w:val="0"/>
          <w:sz w:val="32"/>
          <w:szCs w:val="32"/>
          <w:highlight w:val="none"/>
          <w:lang w:val="en-US" w:eastAsia="zh-CN"/>
        </w:rPr>
        <w:t>）</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1"/>
        <w:gridCol w:w="804"/>
        <w:gridCol w:w="1074"/>
        <w:gridCol w:w="4311"/>
        <w:gridCol w:w="804"/>
        <w:gridCol w:w="2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81"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80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1"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0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3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81"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80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7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11"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0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3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5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724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8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548.35</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548.35</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167.21</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1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9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0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715.56</w:t>
            </w:r>
          </w:p>
        </w:tc>
        <w:tc>
          <w:tcPr>
            <w:tcW w:w="43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9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3"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605"/>
        <w:gridCol w:w="1605"/>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0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2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548.35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548.35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45"/>
        <w:gridCol w:w="1520"/>
        <w:gridCol w:w="1520"/>
        <w:gridCol w:w="1520"/>
        <w:gridCol w:w="1089"/>
        <w:gridCol w:w="1089"/>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0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682.19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339.49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296.86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1"/>
        <w:gridCol w:w="575"/>
        <w:gridCol w:w="1165"/>
        <w:gridCol w:w="4022"/>
        <w:gridCol w:w="575"/>
        <w:gridCol w:w="939"/>
        <w:gridCol w:w="1208"/>
        <w:gridCol w:w="911"/>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6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132.03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8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6"/>
        <w:tblW w:w="13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4276"/>
        <w:gridCol w:w="1850"/>
        <w:gridCol w:w="1833"/>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9"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5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3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2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5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833"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95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63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427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8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9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2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2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8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3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3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680.38</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342.70</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科学技术普及</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577.57</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机构运行</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239.89</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2060702</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科普活动</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c>
          <w:tcPr>
            <w:tcW w:w="18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2060705</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科技馆站</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296.86</w:t>
            </w:r>
          </w:p>
        </w:tc>
        <w:tc>
          <w:tcPr>
            <w:tcW w:w="18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2060799</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其他科学技术普及支出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c>
          <w:tcPr>
            <w:tcW w:w="18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91.14</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68.78</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行政单位离退休</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56.17</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10.46</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死亡抚恤</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22.36</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2101101</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行政单位医疗</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0.98</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2101103</w:t>
            </w:r>
          </w:p>
        </w:tc>
        <w:tc>
          <w:tcPr>
            <w:tcW w:w="42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w:t>
            </w:r>
          </w:p>
        </w:tc>
        <w:tc>
          <w:tcPr>
            <w:tcW w:w="18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18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69"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3081"/>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3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3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884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30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0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224.37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52.37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43.53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76.29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83.48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308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11.17</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8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8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08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307.86</w:t>
            </w:r>
          </w:p>
        </w:tc>
        <w:tc>
          <w:tcPr>
            <w:tcW w:w="779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3"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0"/>
        <w:gridCol w:w="1230"/>
        <w:gridCol w:w="945"/>
        <w:gridCol w:w="1410"/>
        <w:gridCol w:w="1335"/>
        <w:gridCol w:w="1020"/>
        <w:gridCol w:w="990"/>
        <w:gridCol w:w="1125"/>
        <w:gridCol w:w="1020"/>
        <w:gridCol w:w="1410"/>
        <w:gridCol w:w="141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0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i w:val="0"/>
                <w:iCs w:val="0"/>
                <w:color w:val="000000"/>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709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69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8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0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6"/>
        <w:gridCol w:w="222"/>
        <w:gridCol w:w="222"/>
        <w:gridCol w:w="1096"/>
        <w:gridCol w:w="1477"/>
        <w:gridCol w:w="1432"/>
        <w:gridCol w:w="1343"/>
        <w:gridCol w:w="1336"/>
        <w:gridCol w:w="133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单位</w:t>
            </w:r>
            <w:r>
              <w:rPr>
                <w:rFonts w:hint="eastAsia" w:ascii="宋体" w:hAnsi="宋体" w:eastAsia="宋体" w:cs="宋体"/>
                <w:i w:val="0"/>
                <w:iCs w:val="0"/>
                <w:color w:val="000000"/>
                <w:kern w:val="0"/>
                <w:sz w:val="20"/>
                <w:szCs w:val="20"/>
                <w:highlight w:val="none"/>
                <w:u w:val="none"/>
                <w:lang w:val="en-US" w:eastAsia="zh-CN" w:bidi="ar"/>
              </w:rPr>
              <w:t>：许昌市科学技术协会（本级）</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2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w:t>
            </w:r>
            <w:r>
              <w:rPr>
                <w:rFonts w:hint="eastAsia" w:ascii="宋体" w:hAnsi="宋体" w:cs="宋体"/>
                <w:i w:val="0"/>
                <w:iCs w:val="0"/>
                <w:color w:val="000000"/>
                <w:kern w:val="0"/>
                <w:sz w:val="22"/>
                <w:szCs w:val="22"/>
                <w:highlight w:val="none"/>
                <w:u w:val="none"/>
                <w:lang w:val="en-US" w:eastAsia="zh-CN" w:bidi="ar"/>
              </w:rPr>
              <w:t>单位</w:t>
            </w:r>
            <w:r>
              <w:rPr>
                <w:rFonts w:hint="eastAsia" w:ascii="宋体" w:hAnsi="宋体" w:eastAsia="宋体" w:cs="宋体"/>
                <w:i w:val="0"/>
                <w:iCs w:val="0"/>
                <w:color w:val="000000"/>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w:t>
      </w:r>
      <w:r>
        <w:rPr>
          <w:rFonts w:hint="eastAsia" w:ascii="宋体" w:hAnsi="宋体" w:cs="宋体"/>
          <w:color w:val="auto"/>
          <w:sz w:val="20"/>
          <w:szCs w:val="20"/>
          <w:highlight w:val="none"/>
          <w:lang w:val="en-US" w:eastAsia="zh-CN"/>
        </w:rPr>
        <w:t>单位</w:t>
      </w:r>
      <w:r>
        <w:rPr>
          <w:rFonts w:hint="eastAsia" w:ascii="宋体" w:hAnsi="宋体" w:eastAsia="宋体" w:cs="宋体"/>
          <w:color w:val="auto"/>
          <w:sz w:val="20"/>
          <w:szCs w:val="20"/>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2021年度收、支总计均为715.56万元。与上年度相比，收、支总计各减少897.19万元，下降55.63%。主要原因是</w:t>
      </w:r>
      <w:r>
        <w:rPr>
          <w:rFonts w:hint="eastAsia" w:ascii="仿宋_GB2312" w:hAnsi="仿宋_GB2312" w:eastAsia="仿宋_GB2312" w:cs="仿宋_GB2312"/>
          <w:color w:val="auto"/>
          <w:sz w:val="32"/>
          <w:szCs w:val="32"/>
          <w:highlight w:val="none"/>
          <w:lang w:val="en-US" w:eastAsia="zh-CN"/>
        </w:rPr>
        <w:t>科技馆布展经费减少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2021年度收入合计548.35万元，其中：财政拨款收入548.35万元，占100%；上级补助收入0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2021年度支出合计682.19万元，其中：基本支出342.7万元，占50.24%；项目支出339.49万元，占49.76%；上缴上级支出0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%；对附属单位补助支出0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2021年度财政拨款收、支总计均为680.38万元。与上年度相比，财政拨款收、支总计各减少49.85万元，下降6.83%。主要原因是年末财政拨款</w:t>
      </w:r>
      <w:r>
        <w:rPr>
          <w:rFonts w:hint="eastAsia" w:ascii="仿宋_GB2312" w:hAnsi="仿宋_GB2312" w:eastAsia="仿宋_GB2312"/>
          <w:sz w:val="32"/>
          <w:szCs w:val="24"/>
          <w:highlight w:val="none"/>
          <w:lang w:val="en-US" w:eastAsia="zh-CN"/>
        </w:rPr>
        <w:t>结转经费收回</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spacing w:beforeLines="0" w:afterLines="0" w:line="590" w:lineRule="exact"/>
        <w:ind w:firstLine="640"/>
        <w:rPr>
          <w:rFonts w:hint="eastAsia" w:ascii="仿宋_GB2312" w:hAnsi="仿宋_GB2312" w:eastAsia="仿宋_GB2312" w:cs="Times New Roman"/>
          <w:sz w:val="32"/>
          <w:szCs w:val="24"/>
          <w:highlight w:val="none"/>
          <w:lang w:val="en-US"/>
        </w:rPr>
      </w:pPr>
      <w:r>
        <w:rPr>
          <w:rFonts w:hint="eastAsia" w:ascii="仿宋_GB2312" w:hAnsi="仿宋_GB2312" w:eastAsia="仿宋_GB2312" w:cs="Times New Roman"/>
          <w:sz w:val="32"/>
          <w:szCs w:val="24"/>
          <w:highlight w:val="none"/>
          <w:lang w:val="en-US"/>
        </w:rPr>
        <w:t>2021年度一般公共预算财政拨款支出680.38万元，占支出合计的99.7</w:t>
      </w:r>
      <w:r>
        <w:rPr>
          <w:rFonts w:hint="eastAsia" w:ascii="仿宋_GB2312" w:hAnsi="仿宋_GB2312" w:eastAsia="仿宋_GB2312" w:cs="Times New Roman"/>
          <w:sz w:val="32"/>
          <w:szCs w:val="24"/>
          <w:highlight w:val="none"/>
          <w:lang w:val="en-US" w:eastAsia="zh-CN"/>
        </w:rPr>
        <w:t>3</w:t>
      </w:r>
      <w:r>
        <w:rPr>
          <w:rFonts w:hint="eastAsia" w:ascii="仿宋_GB2312" w:hAnsi="仿宋_GB2312" w:eastAsia="仿宋_GB2312" w:cs="Times New Roman"/>
          <w:sz w:val="32"/>
          <w:szCs w:val="24"/>
          <w:highlight w:val="none"/>
          <w:lang w:val="en-US"/>
        </w:rPr>
        <w:t>%。与上年度相比，一般公共预算财政拨款支出增加86.57万元，增长14.58%。主要原因是</w:t>
      </w:r>
      <w:r>
        <w:rPr>
          <w:rFonts w:hint="eastAsia" w:ascii="仿宋_GB2312" w:hAnsi="仿宋_GB2312" w:eastAsia="仿宋_GB2312" w:cs="Times New Roman"/>
          <w:sz w:val="32"/>
          <w:szCs w:val="24"/>
          <w:highlight w:val="none"/>
          <w:lang w:val="en-US" w:eastAsia="zh-CN"/>
        </w:rPr>
        <w:t>上级拨付科技馆免费开放资金增加</w:t>
      </w:r>
      <w:r>
        <w:rPr>
          <w:rFonts w:hint="eastAsia" w:ascii="仿宋_GB2312" w:hAnsi="仿宋_GB2312" w:eastAsia="仿宋_GB2312" w:cs="Times New Roman"/>
          <w:sz w:val="32"/>
          <w:szCs w:val="24"/>
          <w:highlight w:val="none"/>
          <w:lang w:val="en-US"/>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spacing w:beforeLines="0" w:afterLines="0" w:line="59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sz w:val="32"/>
          <w:szCs w:val="24"/>
          <w:highlight w:val="none"/>
          <w:lang w:val="en-US"/>
        </w:rPr>
        <w:t>2021年度一般公共预算财政拨款支出680.38万元，主要用于以下方面：一般公共服务（类）支出</w:t>
      </w:r>
      <w:r>
        <w:rPr>
          <w:rFonts w:hint="eastAsia" w:ascii="仿宋_GB2312" w:hAnsi="仿宋_GB2312" w:eastAsia="仿宋_GB2312"/>
          <w:sz w:val="32"/>
          <w:szCs w:val="24"/>
          <w:highlight w:val="none"/>
          <w:lang w:val="en-US" w:eastAsia="zh-CN"/>
        </w:rPr>
        <w:t>1.12</w:t>
      </w:r>
      <w:r>
        <w:rPr>
          <w:rFonts w:hint="eastAsia" w:ascii="仿宋_GB2312" w:hAnsi="仿宋_GB2312" w:eastAsia="仿宋_GB2312"/>
          <w:sz w:val="32"/>
          <w:szCs w:val="24"/>
          <w:highlight w:val="none"/>
          <w:lang w:val="en-US"/>
        </w:rPr>
        <w:t>万元，占</w:t>
      </w:r>
      <w:r>
        <w:rPr>
          <w:rFonts w:hint="eastAsia" w:ascii="仿宋_GB2312" w:hAnsi="仿宋_GB2312" w:eastAsia="仿宋_GB2312"/>
          <w:sz w:val="32"/>
          <w:szCs w:val="24"/>
          <w:highlight w:val="none"/>
          <w:lang w:val="en-US" w:eastAsia="zh-CN"/>
        </w:rPr>
        <w:t>0.16</w:t>
      </w:r>
      <w:r>
        <w:rPr>
          <w:rFonts w:hint="eastAsia" w:ascii="仿宋_GB2312" w:hAnsi="仿宋_GB2312" w:eastAsia="仿宋_GB2312"/>
          <w:sz w:val="32"/>
          <w:szCs w:val="24"/>
          <w:highlight w:val="none"/>
          <w:lang w:val="en-US"/>
        </w:rPr>
        <w:t>%；</w:t>
      </w:r>
      <w:r>
        <w:rPr>
          <w:rFonts w:hint="eastAsia" w:ascii="仿宋_GB2312" w:hAnsi="仿宋_GB2312" w:eastAsia="仿宋_GB2312" w:cs="仿宋_GB2312"/>
          <w:color w:val="auto"/>
          <w:sz w:val="32"/>
          <w:szCs w:val="32"/>
          <w:highlight w:val="none"/>
          <w:lang w:val="en-US" w:eastAsia="zh-CN"/>
        </w:rPr>
        <w:t>科学技术（类）支出577.57万元，占84.89%；社会保障和就业（类）支出91.14万元，占13.40%；卫生健康（类）支出10.56万元，占1.55%。</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sz w:val="32"/>
          <w:szCs w:val="24"/>
          <w:highlight w:val="none"/>
          <w:lang w:val="en-US"/>
        </w:rPr>
        <w:t>2021年度一般公共预算财政拨款支出年初预算为294.06万元，支出决算为680.38万元，完成年初预算的231.37%。其中：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1．一般公共服务（类）群众团体事务（款）工会事务（项）。</w:t>
      </w:r>
      <w:r>
        <w:rPr>
          <w:rFonts w:hint="eastAsia" w:ascii="仿宋_GB2312" w:hAnsi="仿宋_GB2312" w:eastAsia="仿宋_GB2312" w:cs="仿宋_GB2312"/>
          <w:color w:val="auto"/>
          <w:sz w:val="32"/>
          <w:szCs w:val="32"/>
          <w:highlight w:val="none"/>
          <w:lang w:val="en-US" w:eastAsia="zh-CN"/>
        </w:rPr>
        <w:t>年初预算为1.12万元，支出决算为1.12万元，完成年初预算的100.00%。决算数与年初预算数不存在差异。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2．科学技术（类）科学技术普及（款）机构运行（项）。</w:t>
      </w:r>
      <w:r>
        <w:rPr>
          <w:rFonts w:hint="eastAsia" w:ascii="仿宋_GB2312" w:hAnsi="仿宋_GB2312" w:eastAsia="仿宋_GB2312" w:cs="仿宋_GB2312"/>
          <w:color w:val="auto"/>
          <w:sz w:val="32"/>
          <w:szCs w:val="32"/>
          <w:highlight w:val="none"/>
          <w:lang w:val="en-US" w:eastAsia="zh-CN"/>
        </w:rPr>
        <w:t>年初预算为209.93万元，支出决算为239.89万元，完成年初预算的114.27%。决算数与年初预算数存在差异的主要原因是人员晋级及新增人员增加工资支出。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3．科学技术（类）科学技术普及（款）科普活动（项）。</w:t>
      </w:r>
      <w:r>
        <w:rPr>
          <w:rFonts w:hint="eastAsia" w:ascii="仿宋_GB2312" w:hAnsi="仿宋_GB2312" w:eastAsia="仿宋_GB2312" w:cs="仿宋_GB2312"/>
          <w:color w:val="auto"/>
          <w:sz w:val="32"/>
          <w:szCs w:val="32"/>
          <w:highlight w:val="none"/>
          <w:lang w:val="en-US" w:eastAsia="zh-CN"/>
        </w:rPr>
        <w:t>年初预算为0.00万元，支出决算为19.21万元。决算数与年初预算数存在差异的主要原因是组织科普活动及竞赛支出。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4．科学技术（类）科学技术普及（款）科技馆站（项）。</w:t>
      </w:r>
      <w:r>
        <w:rPr>
          <w:rFonts w:hint="eastAsia" w:ascii="仿宋_GB2312" w:hAnsi="仿宋_GB2312" w:eastAsia="仿宋_GB2312" w:cs="仿宋_GB2312"/>
          <w:color w:val="auto"/>
          <w:sz w:val="32"/>
          <w:szCs w:val="32"/>
          <w:highlight w:val="none"/>
          <w:lang w:val="en-US" w:eastAsia="zh-CN"/>
        </w:rPr>
        <w:t>年初预算为0.00万元，支出决算为296.86万元。决算数与年初预算数存在差异的主要原因是省级下达的科技馆免费开放补助资金，不属于年初预算范围。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5．科学技术（类）科学技术普及（款）其他科学技术普及（项）。</w:t>
      </w:r>
      <w:r>
        <w:rPr>
          <w:rFonts w:hint="eastAsia" w:ascii="仿宋_GB2312" w:hAnsi="仿宋_GB2312" w:eastAsia="仿宋_GB2312" w:cs="仿宋_GB2312"/>
          <w:color w:val="auto"/>
          <w:sz w:val="32"/>
          <w:szCs w:val="32"/>
          <w:highlight w:val="none"/>
          <w:lang w:val="en-US" w:eastAsia="zh-CN"/>
        </w:rPr>
        <w:t>年初预算为0.00万元，支出决算为21.61万元。决算数与年初预算数存在差异的主要原因是学会学术交流及召开换届会等支出。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年初预算为57.29万元，支出决算为56.17万元，完成年初预算的98.05%。决算数与年初预算数存在差异的主要原因是</w:t>
      </w:r>
      <w:r>
        <w:rPr>
          <w:rFonts w:hint="eastAsia" w:ascii="仿宋_GB2312" w:hAnsi="仿宋_GB2312" w:eastAsia="仿宋_GB2312" w:cs="仿宋_GB2312"/>
          <w:color w:val="auto"/>
          <w:sz w:val="32"/>
          <w:szCs w:val="32"/>
          <w:highlight w:val="none"/>
        </w:rPr>
        <w:t>上年度结转资金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年初预算为0.00万元，支出决算为2.15万元。决算数与年初预算数存在差异的主要原因是退休人员数量增加。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8．社会保障和就业（类）行政事业单位离退休（款）机关事业单位基本养老保险缴费（项）。</w:t>
      </w:r>
      <w:r>
        <w:rPr>
          <w:rFonts w:hint="eastAsia" w:ascii="仿宋_GB2312" w:hAnsi="仿宋_GB2312" w:eastAsia="仿宋_GB2312" w:cs="仿宋_GB2312"/>
          <w:color w:val="auto"/>
          <w:sz w:val="32"/>
          <w:szCs w:val="32"/>
          <w:highlight w:val="none"/>
          <w:lang w:val="en-US" w:eastAsia="zh-CN"/>
        </w:rPr>
        <w:t>年初预算为13.66万元，支出决算为10.46万元，完成年初预算的76.57%。决算数与年初预算数存在差异的主要原因是在职人员数量减少。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22.36</w:t>
      </w:r>
      <w:r>
        <w:rPr>
          <w:rFonts w:hint="eastAsia" w:ascii="仿宋_GB2312" w:hAnsi="仿宋_GB2312" w:eastAsia="仿宋_GB2312" w:cs="仿宋_GB2312"/>
          <w:sz w:val="32"/>
          <w:szCs w:val="32"/>
          <w:highlight w:val="none"/>
        </w:rPr>
        <w:t>万元。决算数与年初预算数存在差异的主要原因是离退休去世人员增加。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年初预算为5.51万元，支出决算为4.77万元，完成年初预算的86.57%。决算数与年初预算数存在差异的主要原因是在职人员数量减少。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年初预算为1.31万元，支出决算为0.98万元，完成年初预算的74.81%。决算数与年初预算数存在差异的主要原因是在职人员数量减少。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12．卫生健康支出（类）行政事业单位医疗（款）公务员医疗补助（项）。</w:t>
      </w:r>
      <w:r>
        <w:rPr>
          <w:rFonts w:hint="eastAsia" w:ascii="仿宋_GB2312" w:hAnsi="仿宋_GB2312" w:eastAsia="仿宋_GB2312" w:cs="仿宋_GB2312"/>
          <w:sz w:val="32"/>
          <w:szCs w:val="32"/>
          <w:highlight w:val="none"/>
          <w:lang w:val="en-US" w:eastAsia="zh-CN"/>
        </w:rPr>
        <w:t>年初预算为5.24万元，支出决算为4.80万元，完成年初预算的91.60%。决算数与年初预算数存在差异的主要原因是</w:t>
      </w:r>
      <w:r>
        <w:rPr>
          <w:rFonts w:hint="eastAsia" w:ascii="仿宋_GB2312" w:hAnsi="仿宋_GB2312" w:eastAsia="仿宋_GB2312" w:cs="仿宋_GB2312"/>
          <w:color w:val="auto"/>
          <w:sz w:val="32"/>
          <w:szCs w:val="32"/>
          <w:highlight w:val="none"/>
          <w:lang w:val="en-US" w:eastAsia="zh-CN"/>
        </w:rPr>
        <w:t>在职人员数量减少</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sz w:val="32"/>
          <w:szCs w:val="24"/>
          <w:highlight w:val="none"/>
          <w:lang w:val="en-US"/>
        </w:rPr>
        <w:t>2021年度一般公共预算财政拨款基本支出342.7万元。其中：人员经费307.86万元，</w:t>
      </w:r>
      <w:r>
        <w:rPr>
          <w:rFonts w:hint="eastAsia" w:ascii="仿宋_GB2312" w:hAnsi="仿宋_GB2312" w:eastAsia="仿宋_GB2312" w:cs="仿宋_GB2312"/>
          <w:sz w:val="32"/>
          <w:szCs w:val="32"/>
          <w:highlight w:val="none"/>
          <w:lang w:val="en-US"/>
        </w:rPr>
        <w:t>主要包括：基本工资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津贴补贴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奖金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绩效工资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机关事业单位基本养老保险缴费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职工基本医疗保险缴费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公务员医疗补助缴费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其他社会保障缴费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住房公积金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其他工资福利支出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离休费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退休费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抚恤金；公用经费</w:t>
      </w:r>
      <w:r>
        <w:rPr>
          <w:rFonts w:hint="eastAsia" w:ascii="仿宋_GB2312" w:hAnsi="仿宋_GB2312" w:eastAsia="仿宋_GB2312"/>
          <w:sz w:val="32"/>
          <w:szCs w:val="24"/>
          <w:highlight w:val="none"/>
          <w:lang w:val="en-US"/>
        </w:rPr>
        <w:t>34.85</w:t>
      </w:r>
      <w:r>
        <w:rPr>
          <w:rFonts w:hint="eastAsia" w:ascii="仿宋_GB2312" w:hAnsi="仿宋_GB2312" w:eastAsia="仿宋_GB2312" w:cs="仿宋_GB2312"/>
          <w:sz w:val="32"/>
          <w:szCs w:val="32"/>
          <w:highlight w:val="none"/>
          <w:lang w:val="en-US"/>
        </w:rPr>
        <w:t>万元，主要包括：办公费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邮电费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差旅费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维修（护）费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培训费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公务接待费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劳务费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工会经费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福利费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公务用车运行维护费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其他交通费用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其他商品和服务支出</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三公</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经费财政拨款支出预算为6.76万元，支出决算为6.69万元，完成预算的98.96%。2021年度</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三公</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经费支出决算数与预算数存在差异的主要原因是</w:t>
      </w:r>
      <w:r>
        <w:rPr>
          <w:rFonts w:hint="eastAsia" w:ascii="仿宋_GB2312" w:hAnsi="仿宋_GB2312" w:eastAsia="仿宋_GB2312" w:cs="仿宋_GB2312"/>
          <w:sz w:val="32"/>
          <w:szCs w:val="32"/>
          <w:highlight w:val="none"/>
        </w:rPr>
        <w:t>严格执行中央八项规定精神，厉行节约压缩三公经费支出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三公</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经费财政拨款支出决算中，因公出国（境）费支出决算0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万元；公务用车购置及运行费支出决算4.76万元，完成预算的100%，占71.1</w:t>
      </w:r>
      <w:r>
        <w:rPr>
          <w:rFonts w:hint="eastAsia" w:ascii="仿宋_GB2312" w:hAnsi="仿宋_GB2312" w:eastAsia="仿宋_GB2312"/>
          <w:sz w:val="32"/>
          <w:szCs w:val="24"/>
          <w:highlight w:val="none"/>
          <w:lang w:val="en-US" w:eastAsia="zh-CN"/>
        </w:rPr>
        <w:t>5</w:t>
      </w:r>
      <w:r>
        <w:rPr>
          <w:rFonts w:hint="eastAsia" w:ascii="仿宋_GB2312" w:hAnsi="仿宋_GB2312" w:eastAsia="仿宋_GB2312"/>
          <w:sz w:val="32"/>
          <w:szCs w:val="24"/>
          <w:highlight w:val="none"/>
          <w:lang w:val="en-US"/>
        </w:rPr>
        <w:t>%；公务接待费支出决算1.93万元，完成预算的96.48%，占28.8</w:t>
      </w:r>
      <w:r>
        <w:rPr>
          <w:rFonts w:hint="eastAsia" w:ascii="仿宋_GB2312" w:hAnsi="仿宋_GB2312" w:eastAsia="仿宋_GB2312"/>
          <w:sz w:val="32"/>
          <w:szCs w:val="24"/>
          <w:highlight w:val="none"/>
          <w:lang w:val="en-US" w:eastAsia="zh-CN"/>
        </w:rPr>
        <w:t>5</w:t>
      </w:r>
      <w:r>
        <w:rPr>
          <w:rFonts w:hint="eastAsia" w:ascii="仿宋_GB2312" w:hAnsi="仿宋_GB2312" w:eastAsia="仿宋_GB2312"/>
          <w:sz w:val="32"/>
          <w:szCs w:val="24"/>
          <w:highlight w:val="none"/>
          <w:lang w:val="en-US"/>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0.00万元，支出决算为0.00万元。决算数与预算数不存在差异。全年因公出国（境）团组0个，累计0人次。</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highlight w:val="none"/>
          <w:lang w:val="en-US"/>
        </w:rPr>
        <w:t>预算为4.76万元，支出决算为4.76万元，完成年初预算的100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sz w:val="32"/>
          <w:szCs w:val="24"/>
          <w:highlight w:val="none"/>
          <w:lang w:val="en-US"/>
        </w:rPr>
        <w:t>其中：</w:t>
      </w:r>
    </w:p>
    <w:p>
      <w:pPr>
        <w:spacing w:beforeLines="0" w:afterLines="0" w:line="590" w:lineRule="exact"/>
        <w:ind w:firstLine="640"/>
        <w:rPr>
          <w:rFonts w:hint="default" w:ascii="Times New Roman" w:hAnsi="Times New Roman" w:eastAsia="Times New Roman"/>
          <w:sz w:val="32"/>
          <w:szCs w:val="24"/>
          <w:highlight w:val="none"/>
          <w:lang w:val="en-US"/>
        </w:rPr>
      </w:pPr>
      <w:r>
        <w:rPr>
          <w:rFonts w:hint="eastAsia" w:ascii="仿宋_GB2312" w:hAnsi="仿宋_GB2312" w:eastAsia="仿宋_GB2312"/>
          <w:b/>
          <w:sz w:val="32"/>
          <w:szCs w:val="24"/>
          <w:highlight w:val="none"/>
          <w:lang w:val="en-US"/>
        </w:rPr>
        <w:t>公务用车购置支出</w:t>
      </w:r>
      <w:r>
        <w:rPr>
          <w:rFonts w:hint="eastAsia" w:ascii="仿宋_GB2312" w:hAnsi="仿宋_GB2312" w:eastAsia="仿宋_GB2312"/>
          <w:sz w:val="32"/>
          <w:szCs w:val="24"/>
          <w:highlight w:val="none"/>
          <w:lang w:val="en-US"/>
        </w:rPr>
        <w:t>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万元，购置车辆</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台。</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b/>
          <w:sz w:val="32"/>
          <w:szCs w:val="24"/>
          <w:highlight w:val="none"/>
          <w:lang w:val="en-US"/>
        </w:rPr>
        <w:t>公务用车运行支出</w:t>
      </w:r>
      <w:r>
        <w:rPr>
          <w:rFonts w:hint="eastAsia" w:ascii="仿宋_GB2312" w:hAnsi="仿宋_GB2312" w:eastAsia="仿宋_GB2312"/>
          <w:sz w:val="32"/>
          <w:szCs w:val="24"/>
          <w:highlight w:val="none"/>
          <w:lang w:val="en-US"/>
        </w:rPr>
        <w:t>4.76万元。</w:t>
      </w:r>
      <w:r>
        <w:rPr>
          <w:rFonts w:hint="eastAsia" w:ascii="仿宋_GB2312" w:hAnsi="仿宋_GB2312" w:eastAsia="仿宋_GB2312" w:cs="仿宋_GB2312"/>
          <w:color w:val="auto"/>
          <w:sz w:val="32"/>
          <w:szCs w:val="32"/>
          <w:highlight w:val="none"/>
          <w:lang w:val="en-US" w:eastAsia="zh-CN"/>
        </w:rPr>
        <w:t>主要用于</w:t>
      </w:r>
      <w:r>
        <w:rPr>
          <w:rFonts w:hint="eastAsia" w:ascii="仿宋_GB2312" w:hAnsi="仿宋_GB2312" w:eastAsia="仿宋_GB2312" w:cs="仿宋_GB2312"/>
          <w:sz w:val="32"/>
          <w:szCs w:val="32"/>
          <w:highlight w:val="none"/>
        </w:rPr>
        <w:t>车辆保险及油修费用</w:t>
      </w:r>
      <w:r>
        <w:rPr>
          <w:rFonts w:hint="eastAsia" w:ascii="仿宋_GB2312" w:hAnsi="仿宋_GB2312" w:eastAsia="仿宋_GB2312" w:cs="仿宋_GB2312"/>
          <w:color w:val="auto"/>
          <w:sz w:val="32"/>
          <w:szCs w:val="32"/>
          <w:highlight w:val="none"/>
          <w:lang w:val="en-US" w:eastAsia="zh-CN"/>
        </w:rPr>
        <w:t>。2021年期末，单位开支财政拨款的公务用车保有量为2辆。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highlight w:val="none"/>
          <w:lang w:val="en-US"/>
        </w:rPr>
        <w:t>2.</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96.50</w:t>
      </w:r>
      <w:r>
        <w:rPr>
          <w:rFonts w:hint="eastAsia" w:ascii="仿宋_GB2312" w:hAnsi="仿宋_GB2312" w:eastAsia="仿宋_GB2312" w:cs="仿宋_GB2312"/>
          <w:sz w:val="32"/>
          <w:szCs w:val="32"/>
          <w:highlight w:val="none"/>
        </w:rPr>
        <w:t>%。决算数与预算数存在差异的主要原因是严格执行中央八项规定精神，厉行节约压缩</w:t>
      </w:r>
      <w:r>
        <w:rPr>
          <w:rFonts w:hint="eastAsia" w:ascii="仿宋_GB2312" w:hAnsi="仿宋_GB2312" w:eastAsia="仿宋_GB2312" w:cs="仿宋_GB2312"/>
          <w:sz w:val="32"/>
          <w:szCs w:val="32"/>
          <w:highlight w:val="none"/>
          <w:lang w:eastAsia="zh-CN"/>
        </w:rPr>
        <w:t>公务接待</w:t>
      </w:r>
      <w:r>
        <w:rPr>
          <w:rFonts w:hint="eastAsia" w:ascii="仿宋_GB2312" w:hAnsi="仿宋_GB2312" w:eastAsia="仿宋_GB2312" w:cs="仿宋_GB2312"/>
          <w:sz w:val="32"/>
          <w:szCs w:val="32"/>
          <w:highlight w:val="none"/>
        </w:rPr>
        <w:t>经费支出。其中：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rPr>
        <w:t>万元。主要用于接待对象用餐费</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429</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highlight w:val="none"/>
          <w:lang w:val="en-US"/>
        </w:rPr>
        <w:t>34.85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91.04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预算数存在差异的主要原因是严格执行中央八项规定精神，厉行节约压缩</w:t>
      </w:r>
      <w:r>
        <w:rPr>
          <w:rFonts w:hint="eastAsia" w:ascii="仿宋_GB2312" w:hAnsi="仿宋_GB2312" w:eastAsia="仿宋_GB2312" w:cs="仿宋_GB2312"/>
          <w:sz w:val="32"/>
          <w:szCs w:val="32"/>
          <w:highlight w:val="none"/>
          <w:lang w:eastAsia="zh-CN"/>
        </w:rPr>
        <w:t>公务</w:t>
      </w:r>
      <w:r>
        <w:rPr>
          <w:rFonts w:hint="eastAsia" w:ascii="仿宋_GB2312" w:hAnsi="仿宋_GB2312" w:eastAsia="仿宋_GB2312" w:cs="仿宋_GB2312"/>
          <w:sz w:val="32"/>
          <w:szCs w:val="32"/>
          <w:highlight w:val="none"/>
        </w:rPr>
        <w:t>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val="en-US"/>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期末，我单位共有车辆2辆，其中：省级领导干部用车0辆、主要领导干部用车0辆、机要通信用车1辆、应急保障车0辆、执法执勤用车0辆、特种专业技术用车1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认真制定预算绩效管理日常工作计划和安排，积极开展预算绩效管理制度建设，加强绩效管理政策业务学习与培训。合理编制预算，科学设定预算绩效目标，提高资金使用效益，建立跟踪监管机制，进一步推动工作实效。完善绩效评价指标体系，规范评价工作流程，提高绩效评价工作质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highlight w:val="none"/>
        </w:rPr>
        <w:t>不断健全绩效管理工作机制，积极开展预算绩效评价，科学设置评价体系，既有总体目标又有三级考核指标，还有考核指标值。并按照绩效目标进行定期和不定期检查，通过对有关信息分析加以督促，按要求对纳入绩效目标管理的项目，实施了绩效监控和自评，全年资金使用做到了权限明确、责任明晰、程序规范。</w:t>
      </w:r>
      <w:r>
        <w:rPr>
          <w:rFonts w:hint="eastAsia" w:ascii="仿宋_GB2312" w:hAnsi="仿宋_GB2312" w:eastAsia="仿宋_GB2312" w:cs="仿宋_GB2312"/>
          <w:color w:val="auto"/>
          <w:sz w:val="32"/>
          <w:szCs w:val="32"/>
          <w:highlight w:val="none"/>
          <w:lang w:val="en-US" w:eastAsia="zh-CN"/>
        </w:rPr>
        <w:t>二是项目绩效自评情况。我单位共有3个项目批复了绩效目标，项目金额339.49万元。其中：许昌市科学技术协会本级3个，项目金额339.49万元。基于项目预期目标的实现程度，对2021年度项目支出绩效进行自评，绩效自评平均得分为98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hhMDQ1YTNjZmFmZGRlMjEyMTAyZWU3YjZmMW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944F36"/>
    <w:rsid w:val="02A3489A"/>
    <w:rsid w:val="02CA138D"/>
    <w:rsid w:val="02D84414"/>
    <w:rsid w:val="033646FC"/>
    <w:rsid w:val="03C75F80"/>
    <w:rsid w:val="043976A1"/>
    <w:rsid w:val="046F590C"/>
    <w:rsid w:val="0478364D"/>
    <w:rsid w:val="04B960F3"/>
    <w:rsid w:val="053D4C0D"/>
    <w:rsid w:val="0545182B"/>
    <w:rsid w:val="0557532E"/>
    <w:rsid w:val="074C54FC"/>
    <w:rsid w:val="0799329C"/>
    <w:rsid w:val="08397436"/>
    <w:rsid w:val="085457A4"/>
    <w:rsid w:val="086F16A7"/>
    <w:rsid w:val="09656CA2"/>
    <w:rsid w:val="0A0F7225"/>
    <w:rsid w:val="0A2B7D82"/>
    <w:rsid w:val="0ADC40E9"/>
    <w:rsid w:val="0AE607F4"/>
    <w:rsid w:val="0B386127"/>
    <w:rsid w:val="0B451598"/>
    <w:rsid w:val="0BEB4247"/>
    <w:rsid w:val="0BEC73F4"/>
    <w:rsid w:val="0C392698"/>
    <w:rsid w:val="0C9D17A6"/>
    <w:rsid w:val="0D6945E7"/>
    <w:rsid w:val="0EEF3211"/>
    <w:rsid w:val="10BD36F6"/>
    <w:rsid w:val="10FA08D1"/>
    <w:rsid w:val="11BF0649"/>
    <w:rsid w:val="123E3E08"/>
    <w:rsid w:val="133212F4"/>
    <w:rsid w:val="13D22E22"/>
    <w:rsid w:val="153E2C9C"/>
    <w:rsid w:val="161C2DFF"/>
    <w:rsid w:val="16227A29"/>
    <w:rsid w:val="162336E7"/>
    <w:rsid w:val="16373578"/>
    <w:rsid w:val="168129A1"/>
    <w:rsid w:val="16D3336B"/>
    <w:rsid w:val="17200028"/>
    <w:rsid w:val="17623C44"/>
    <w:rsid w:val="17806C36"/>
    <w:rsid w:val="17A74F62"/>
    <w:rsid w:val="18A47774"/>
    <w:rsid w:val="18D87AAE"/>
    <w:rsid w:val="1925593B"/>
    <w:rsid w:val="1A78664A"/>
    <w:rsid w:val="1A8D28EB"/>
    <w:rsid w:val="1A9F2D78"/>
    <w:rsid w:val="1B2E6FD8"/>
    <w:rsid w:val="1B877D21"/>
    <w:rsid w:val="1C4319A9"/>
    <w:rsid w:val="1D1F2F14"/>
    <w:rsid w:val="1D4B3AEC"/>
    <w:rsid w:val="1E443B4B"/>
    <w:rsid w:val="1E994F4A"/>
    <w:rsid w:val="1EAF0224"/>
    <w:rsid w:val="1F2230A4"/>
    <w:rsid w:val="1F843502"/>
    <w:rsid w:val="20210932"/>
    <w:rsid w:val="202448E0"/>
    <w:rsid w:val="20572EB2"/>
    <w:rsid w:val="20F614FE"/>
    <w:rsid w:val="21302EEA"/>
    <w:rsid w:val="21BA320B"/>
    <w:rsid w:val="21F5492A"/>
    <w:rsid w:val="22376FB5"/>
    <w:rsid w:val="23E152D7"/>
    <w:rsid w:val="23EE2489"/>
    <w:rsid w:val="24612064"/>
    <w:rsid w:val="252D4D9F"/>
    <w:rsid w:val="25477E6F"/>
    <w:rsid w:val="25562221"/>
    <w:rsid w:val="255D43C8"/>
    <w:rsid w:val="26714EF8"/>
    <w:rsid w:val="26876BDD"/>
    <w:rsid w:val="2714632A"/>
    <w:rsid w:val="27541E73"/>
    <w:rsid w:val="27B0539E"/>
    <w:rsid w:val="27F71F33"/>
    <w:rsid w:val="29365CF8"/>
    <w:rsid w:val="299469B3"/>
    <w:rsid w:val="2A021BF3"/>
    <w:rsid w:val="2A0239A1"/>
    <w:rsid w:val="2A800A56"/>
    <w:rsid w:val="2A805789"/>
    <w:rsid w:val="2ADC0D75"/>
    <w:rsid w:val="2B4A0E52"/>
    <w:rsid w:val="2C975890"/>
    <w:rsid w:val="2DEF21BB"/>
    <w:rsid w:val="2E4A2F05"/>
    <w:rsid w:val="2ECC1061"/>
    <w:rsid w:val="2ED00512"/>
    <w:rsid w:val="2FA476AD"/>
    <w:rsid w:val="303F7540"/>
    <w:rsid w:val="305149D3"/>
    <w:rsid w:val="30C47C02"/>
    <w:rsid w:val="310A7C4A"/>
    <w:rsid w:val="31DD00BF"/>
    <w:rsid w:val="3293174C"/>
    <w:rsid w:val="32BB38D4"/>
    <w:rsid w:val="32C9376D"/>
    <w:rsid w:val="3369682E"/>
    <w:rsid w:val="33780472"/>
    <w:rsid w:val="33AF0905"/>
    <w:rsid w:val="355932F4"/>
    <w:rsid w:val="35611882"/>
    <w:rsid w:val="35DB7EC8"/>
    <w:rsid w:val="36746FC3"/>
    <w:rsid w:val="368763AE"/>
    <w:rsid w:val="369342FF"/>
    <w:rsid w:val="374B6987"/>
    <w:rsid w:val="3790548B"/>
    <w:rsid w:val="37F23FDD"/>
    <w:rsid w:val="395D59E7"/>
    <w:rsid w:val="39A93932"/>
    <w:rsid w:val="3A915562"/>
    <w:rsid w:val="3B8D4765"/>
    <w:rsid w:val="3C000DBA"/>
    <w:rsid w:val="3C925059"/>
    <w:rsid w:val="3DC045D3"/>
    <w:rsid w:val="3E504FFB"/>
    <w:rsid w:val="3E615CD0"/>
    <w:rsid w:val="3E8B7D38"/>
    <w:rsid w:val="3E9C47F6"/>
    <w:rsid w:val="3F8B0112"/>
    <w:rsid w:val="3FAB3095"/>
    <w:rsid w:val="3FE45947"/>
    <w:rsid w:val="3FF7386D"/>
    <w:rsid w:val="40B3559D"/>
    <w:rsid w:val="41171FD0"/>
    <w:rsid w:val="41242965"/>
    <w:rsid w:val="42F36B73"/>
    <w:rsid w:val="435671EA"/>
    <w:rsid w:val="440809E9"/>
    <w:rsid w:val="442407A6"/>
    <w:rsid w:val="44805EA1"/>
    <w:rsid w:val="455A06DD"/>
    <w:rsid w:val="45710696"/>
    <w:rsid w:val="45D47501"/>
    <w:rsid w:val="46142B1B"/>
    <w:rsid w:val="46C87FF5"/>
    <w:rsid w:val="471A3BA2"/>
    <w:rsid w:val="47E60DD0"/>
    <w:rsid w:val="48735039"/>
    <w:rsid w:val="48E654A4"/>
    <w:rsid w:val="492C684B"/>
    <w:rsid w:val="49500594"/>
    <w:rsid w:val="49E7604E"/>
    <w:rsid w:val="4A3239D7"/>
    <w:rsid w:val="4BF67CDD"/>
    <w:rsid w:val="4C1C0FA5"/>
    <w:rsid w:val="4C2C109F"/>
    <w:rsid w:val="4CF3569F"/>
    <w:rsid w:val="4D0B2C70"/>
    <w:rsid w:val="4D173441"/>
    <w:rsid w:val="4D603DD6"/>
    <w:rsid w:val="4EAD187E"/>
    <w:rsid w:val="4EBF010F"/>
    <w:rsid w:val="4F471EB0"/>
    <w:rsid w:val="4FF23545"/>
    <w:rsid w:val="51331326"/>
    <w:rsid w:val="51740A7F"/>
    <w:rsid w:val="51A5541E"/>
    <w:rsid w:val="51AB0308"/>
    <w:rsid w:val="51C96242"/>
    <w:rsid w:val="53906AE1"/>
    <w:rsid w:val="53D14261"/>
    <w:rsid w:val="53EB4BA7"/>
    <w:rsid w:val="548D7529"/>
    <w:rsid w:val="54F46F60"/>
    <w:rsid w:val="55A37BEA"/>
    <w:rsid w:val="56362CD2"/>
    <w:rsid w:val="5784687B"/>
    <w:rsid w:val="57846959"/>
    <w:rsid w:val="578E6A87"/>
    <w:rsid w:val="57AD410A"/>
    <w:rsid w:val="57EE53E1"/>
    <w:rsid w:val="58164938"/>
    <w:rsid w:val="5A1B3807"/>
    <w:rsid w:val="5AC2203A"/>
    <w:rsid w:val="5CBB3334"/>
    <w:rsid w:val="5D115FAF"/>
    <w:rsid w:val="5F8F6006"/>
    <w:rsid w:val="613D2F35"/>
    <w:rsid w:val="621B1E0A"/>
    <w:rsid w:val="62811722"/>
    <w:rsid w:val="62E75A72"/>
    <w:rsid w:val="636C407B"/>
    <w:rsid w:val="64571880"/>
    <w:rsid w:val="649125B6"/>
    <w:rsid w:val="652F4C1A"/>
    <w:rsid w:val="65A2766C"/>
    <w:rsid w:val="666D37F1"/>
    <w:rsid w:val="67087D8F"/>
    <w:rsid w:val="671F687E"/>
    <w:rsid w:val="67F415F8"/>
    <w:rsid w:val="682640D1"/>
    <w:rsid w:val="684B73E5"/>
    <w:rsid w:val="689919F8"/>
    <w:rsid w:val="6A047A2A"/>
    <w:rsid w:val="6A1A2066"/>
    <w:rsid w:val="6A585B4A"/>
    <w:rsid w:val="6A5B14E7"/>
    <w:rsid w:val="6AE368FC"/>
    <w:rsid w:val="6D7E3431"/>
    <w:rsid w:val="6EFB7548"/>
    <w:rsid w:val="6F3831C3"/>
    <w:rsid w:val="6F8B71C1"/>
    <w:rsid w:val="7040659E"/>
    <w:rsid w:val="70753482"/>
    <w:rsid w:val="707B522A"/>
    <w:rsid w:val="708E2919"/>
    <w:rsid w:val="73194D05"/>
    <w:rsid w:val="732D1BCA"/>
    <w:rsid w:val="73A61482"/>
    <w:rsid w:val="73A83B0E"/>
    <w:rsid w:val="744D3EF9"/>
    <w:rsid w:val="74794411"/>
    <w:rsid w:val="75867C40"/>
    <w:rsid w:val="75B10B26"/>
    <w:rsid w:val="763E07F5"/>
    <w:rsid w:val="76432199"/>
    <w:rsid w:val="76796366"/>
    <w:rsid w:val="76F44829"/>
    <w:rsid w:val="77A267C0"/>
    <w:rsid w:val="78882278"/>
    <w:rsid w:val="78B118A6"/>
    <w:rsid w:val="78BE120A"/>
    <w:rsid w:val="79135044"/>
    <w:rsid w:val="7A1E16FE"/>
    <w:rsid w:val="7A61783D"/>
    <w:rsid w:val="7A7D0F99"/>
    <w:rsid w:val="7BDF1BAC"/>
    <w:rsid w:val="7E4A0E7C"/>
    <w:rsid w:val="7EFD449D"/>
    <w:rsid w:val="7FE11D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2"/>
    <w:semiHidden/>
    <w:qFormat/>
    <w:uiPriority w:val="99"/>
    <w:rPr>
      <w:kern w:val="2"/>
      <w:sz w:val="18"/>
      <w:szCs w:val="18"/>
    </w:rPr>
  </w:style>
  <w:style w:type="character" w:customStyle="1" w:styleId="12">
    <w:name w:val="页脚 Char"/>
    <w:link w:val="3"/>
    <w:qFormat/>
    <w:uiPriority w:val="99"/>
    <w:rPr>
      <w:kern w:val="2"/>
      <w:sz w:val="18"/>
      <w:szCs w:val="18"/>
    </w:rPr>
  </w:style>
  <w:style w:type="character" w:customStyle="1" w:styleId="13">
    <w:name w:val="页眉 Char"/>
    <w:link w:val="4"/>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8722</Words>
  <Characters>10843</Characters>
  <Lines>60</Lines>
  <Paragraphs>16</Paragraphs>
  <TotalTime>12</TotalTime>
  <ScaleCrop>false</ScaleCrop>
  <LinksUpToDate>false</LinksUpToDate>
  <CharactersWithSpaces>11097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2022-09-08T10:34:00Z</cp:lastPrinted>
  <dcterms:modified xsi:type="dcterms:W3CDTF">2023-05-11T17:06:39Z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9A40DDF0DA8946EE987BE3C2F4E53CC1</vt:lpwstr>
  </property>
</Properties>
</file>