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许昌市知识产权维权保护中心</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许昌市知识产权维权保护中心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许昌市知识产权维权保护中心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（一）贯彻落实《中华人民共和国专利法》及其实施细则，《河南省专利保护条例》等有关法律法规，依法处理专利纠纷和查处假冒专利行为；</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（二）研究、拟定全市知识产权发展战略和知识产权保护相关产业协调发展的中长期规划；组织专利技术实施，管理专利许可贸易，推动专利技术产业化；</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（三）负责专利统计与分析工作，组织专利信息传播与服务，承担知识产权的宣传、教育和培训工作；</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（四）负责对专利代理，专利资产评估和专利信息服务等中介的指导与监督，负责专利广告出证工作；</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（五）指导全市知识产权工作，统筹协调涉外知识产权事宜。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许昌市知识产权维权保护中心</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rPr>
        <w:t>办公室、综合管理科、执法科</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许昌市知识产权维权保护中心单位决算</w:t>
      </w:r>
      <w:r>
        <w:rPr>
          <w:rFonts w:hint="eastAsia" w:ascii="仿宋_GB2312" w:hAnsi="仿宋_GB2312" w:eastAsia="仿宋_GB2312" w:cs="仿宋_GB2312"/>
          <w:kern w:val="0"/>
          <w:sz w:val="32"/>
          <w:szCs w:val="32"/>
          <w:highlight w:val="none"/>
        </w:rPr>
        <w:t>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w:t>
      </w:r>
      <w:r>
        <w:rPr>
          <w:rFonts w:hint="eastAsia" w:ascii="仿宋_GB2312" w:hAnsi="仿宋_GB2312" w:eastAsia="仿宋_GB2312" w:cs="仿宋_GB2312"/>
          <w:color w:val="auto"/>
          <w:kern w:val="0"/>
          <w:sz w:val="32"/>
          <w:szCs w:val="32"/>
          <w:highlight w:val="none"/>
          <w:shd w:val="clear" w:color="auto" w:fill="auto"/>
          <w:lang w:val="en-US" w:eastAsia="zh-CN"/>
        </w:rPr>
        <w:t>个，具体是</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许昌市知识产权维权保护中心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4754"/>
        <w:gridCol w:w="835"/>
        <w:gridCol w:w="1115"/>
        <w:gridCol w:w="4475"/>
        <w:gridCol w:w="835"/>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shd w:val="clear" w:color="auto" w:fill="auto"/>
              </w:rPr>
            </w:pPr>
            <w:r>
              <w:rPr>
                <w:rFonts w:hint="eastAsia" w:ascii="宋体" w:hAnsi="宋体" w:eastAsia="宋体" w:cs="宋体"/>
                <w:i w:val="0"/>
                <w:iCs w:val="0"/>
                <w:color w:val="auto"/>
                <w:kern w:val="0"/>
                <w:sz w:val="30"/>
                <w:szCs w:val="30"/>
                <w:u w:val="none"/>
                <w:shd w:val="clear" w:color="auto" w:fill="auto"/>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4754" w:type="dxa"/>
            <w:tcBorders>
              <w:top w:val="nil"/>
              <w:left w:val="nil"/>
              <w:bottom w:val="nil"/>
              <w:right w:val="nil"/>
            </w:tcBorders>
            <w:shd w:val="clear" w:color="auto" w:fill="FFFFFF"/>
            <w:noWrap/>
            <w:vAlign w:val="bottom"/>
          </w:tcPr>
          <w:p>
            <w:pPr>
              <w:rPr>
                <w:rFonts w:hint="eastAsia" w:ascii="Arial" w:hAnsi="Arial" w:cs="Arial"/>
                <w:i w:val="0"/>
                <w:iCs w:val="0"/>
                <w:color w:val="auto"/>
                <w:sz w:val="20"/>
                <w:szCs w:val="20"/>
                <w:u w:val="none"/>
                <w:shd w:val="clear" w:color="auto" w:fill="auto"/>
              </w:rPr>
            </w:pPr>
          </w:p>
        </w:tc>
        <w:tc>
          <w:tcPr>
            <w:tcW w:w="83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111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447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83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205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shd w:val="clear" w:color="auto" w:fill="auto"/>
              </w:rPr>
            </w:pPr>
            <w:r>
              <w:rPr>
                <w:rFonts w:hint="eastAsia" w:ascii="宋体" w:hAnsi="宋体" w:eastAsia="宋体" w:cs="宋体"/>
                <w:i w:val="0"/>
                <w:iCs w:val="0"/>
                <w:color w:val="auto"/>
                <w:kern w:val="0"/>
                <w:sz w:val="20"/>
                <w:szCs w:val="20"/>
                <w:u w:val="none"/>
                <w:shd w:val="clear" w:color="auto" w:fill="auto"/>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4754"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shd w:val="clear" w:color="auto" w:fill="auto"/>
              </w:rPr>
            </w:pPr>
            <w:r>
              <w:rPr>
                <w:rFonts w:hint="eastAsia" w:ascii="宋体" w:hAnsi="宋体" w:cs="宋体"/>
                <w:i w:val="0"/>
                <w:iCs w:val="0"/>
                <w:color w:val="auto"/>
                <w:kern w:val="0"/>
                <w:sz w:val="20"/>
                <w:szCs w:val="20"/>
                <w:u w:val="none"/>
                <w:shd w:val="clear" w:color="auto" w:fill="auto"/>
                <w:lang w:val="en-US" w:eastAsia="zh-CN" w:bidi="ar"/>
              </w:rPr>
              <w:t>单位</w:t>
            </w:r>
            <w:r>
              <w:rPr>
                <w:rFonts w:hint="eastAsia" w:ascii="宋体" w:hAnsi="宋体" w:eastAsia="宋体" w:cs="宋体"/>
                <w:i w:val="0"/>
                <w:iCs w:val="0"/>
                <w:color w:val="auto"/>
                <w:kern w:val="0"/>
                <w:sz w:val="20"/>
                <w:szCs w:val="20"/>
                <w:u w:val="none"/>
                <w:shd w:val="clear" w:color="auto" w:fill="auto"/>
                <w:lang w:val="en-US" w:eastAsia="zh-CN" w:bidi="ar"/>
              </w:rPr>
              <w:t>：许昌市知识产权维权保护中心</w:t>
            </w:r>
          </w:p>
        </w:tc>
        <w:tc>
          <w:tcPr>
            <w:tcW w:w="83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111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447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83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shd w:val="clear" w:color="auto" w:fill="auto"/>
              </w:rPr>
            </w:pPr>
          </w:p>
        </w:tc>
        <w:tc>
          <w:tcPr>
            <w:tcW w:w="205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shd w:val="clear" w:color="auto" w:fill="auto"/>
              </w:rPr>
            </w:pPr>
            <w:r>
              <w:rPr>
                <w:rFonts w:hint="eastAsia" w:ascii="宋体" w:hAnsi="宋体" w:eastAsia="宋体" w:cs="宋体"/>
                <w:i w:val="0"/>
                <w:iCs w:val="0"/>
                <w:color w:val="auto"/>
                <w:kern w:val="0"/>
                <w:sz w:val="20"/>
                <w:szCs w:val="20"/>
                <w:u w:val="none"/>
                <w:shd w:val="clear" w:color="auto" w:fill="auto"/>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收入</w:t>
            </w:r>
          </w:p>
        </w:tc>
        <w:tc>
          <w:tcPr>
            <w:tcW w:w="7366" w:type="dxa"/>
            <w:gridSpan w:val="3"/>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项目</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行次</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金额</w:t>
            </w: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项目</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行次</w:t>
            </w:r>
          </w:p>
        </w:tc>
        <w:tc>
          <w:tcPr>
            <w:tcW w:w="20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栏次</w:t>
            </w:r>
          </w:p>
        </w:tc>
        <w:tc>
          <w:tcPr>
            <w:tcW w:w="83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shd w:val="clear" w:color="auto" w:fill="auto"/>
              </w:rPr>
            </w:pP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栏次</w:t>
            </w:r>
          </w:p>
        </w:tc>
        <w:tc>
          <w:tcPr>
            <w:tcW w:w="835"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shd w:val="clear" w:color="auto" w:fill="auto"/>
              </w:rPr>
            </w:pPr>
          </w:p>
        </w:tc>
        <w:tc>
          <w:tcPr>
            <w:tcW w:w="20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一、一般公共预算财政拨款收入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299.66</w:t>
            </w: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一、一般公共服务支出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20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280.37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二、政府性基金预算财政拨款收入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二、外交支出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33</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三、国有资本经营预算财政拨款收入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三、国防支出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34</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四、上级补助收入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四、公共安全支出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35</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五、事业收入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五、教育支出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36</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六、经营收入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六、科学技术支出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37</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七、附属单位上缴收入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7</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七、文化旅游体育与传媒支出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38</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八、其他收入</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八、社会保障和就业支出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39</w:t>
            </w:r>
          </w:p>
        </w:tc>
        <w:tc>
          <w:tcPr>
            <w:tcW w:w="20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九、卫生健康支出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40</w:t>
            </w:r>
          </w:p>
        </w:tc>
        <w:tc>
          <w:tcPr>
            <w:tcW w:w="20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10</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十、节能环保支出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41</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11</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十一、城乡社区支出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42</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十二、农林水支出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43</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13</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十三、交通运输支出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44</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14</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十四、资源勘探工业信息等支出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45</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15</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十五、商业服务业等支出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46</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十六、金融支出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47</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17</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十七、援助其他地区支出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48</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18</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十八、自然资源海洋气象等支出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49</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19</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十九、住房保障支出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50</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20</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二十、粮油物资储备支出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51</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21</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二十一、国有资本经营预算支出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52</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22</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二十二、灾害防治及应急管理支出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53</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23</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二十三、其他支出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54</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auto"/>
                <w:sz w:val="20"/>
                <w:szCs w:val="20"/>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shd w:val="clear" w:color="auto" w:fill="auto"/>
              </w:rPr>
            </w:pPr>
            <w:r>
              <w:rPr>
                <w:rFonts w:hint="eastAsia" w:ascii="宋体" w:hAnsi="宋体" w:eastAsia="宋体" w:cs="宋体"/>
                <w:i w:val="0"/>
                <w:iCs w:val="0"/>
                <w:color w:val="auto"/>
                <w:kern w:val="0"/>
                <w:sz w:val="20"/>
                <w:szCs w:val="20"/>
                <w:u w:val="none"/>
                <w:shd w:val="clear" w:color="auto" w:fill="auto"/>
                <w:lang w:val="en-US" w:eastAsia="zh-CN" w:bidi="ar"/>
              </w:rPr>
              <w:t>24</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二十四、债务还本支出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55</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0"/>
                <w:szCs w:val="20"/>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shd w:val="clear" w:color="auto" w:fill="auto"/>
              </w:rPr>
            </w:pPr>
            <w:r>
              <w:rPr>
                <w:rFonts w:hint="eastAsia" w:ascii="宋体" w:hAnsi="宋体" w:eastAsia="宋体" w:cs="宋体"/>
                <w:i w:val="0"/>
                <w:iCs w:val="0"/>
                <w:color w:val="auto"/>
                <w:kern w:val="0"/>
                <w:sz w:val="20"/>
                <w:szCs w:val="20"/>
                <w:u w:val="none"/>
                <w:shd w:val="clear" w:color="auto" w:fill="auto"/>
                <w:lang w:val="en-US" w:eastAsia="zh-CN" w:bidi="ar"/>
              </w:rPr>
              <w:t>25</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二十五、债务付息支出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56</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0"/>
                <w:szCs w:val="20"/>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shd w:val="clear" w:color="auto" w:fill="auto"/>
              </w:rPr>
            </w:pPr>
            <w:r>
              <w:rPr>
                <w:rFonts w:hint="eastAsia" w:ascii="宋体" w:hAnsi="宋体" w:eastAsia="宋体" w:cs="宋体"/>
                <w:i w:val="0"/>
                <w:iCs w:val="0"/>
                <w:color w:val="auto"/>
                <w:kern w:val="0"/>
                <w:sz w:val="20"/>
                <w:szCs w:val="20"/>
                <w:u w:val="none"/>
                <w:shd w:val="clear" w:color="auto" w:fill="auto"/>
                <w:lang w:val="en-US" w:eastAsia="zh-CN" w:bidi="ar"/>
              </w:rPr>
              <w:t>26</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二十六、抗疫特别国债安排的支出</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57</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shd w:val="clear" w:color="auto" w:fill="auto"/>
              </w:rPr>
            </w:pPr>
            <w:r>
              <w:rPr>
                <w:rFonts w:hint="eastAsia" w:ascii="宋体" w:hAnsi="宋体" w:eastAsia="宋体" w:cs="宋体"/>
                <w:b/>
                <w:bCs/>
                <w:i w:val="0"/>
                <w:iCs w:val="0"/>
                <w:color w:val="auto"/>
                <w:kern w:val="0"/>
                <w:sz w:val="22"/>
                <w:szCs w:val="22"/>
                <w:u w:val="none"/>
                <w:shd w:val="clear" w:color="auto" w:fill="auto"/>
                <w:lang w:val="en-US" w:eastAsia="zh-CN" w:bidi="ar"/>
              </w:rPr>
              <w:t>本年收入合计</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27</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299.66</w:t>
            </w: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shd w:val="clear" w:color="auto" w:fill="auto"/>
              </w:rPr>
            </w:pPr>
            <w:r>
              <w:rPr>
                <w:rFonts w:hint="eastAsia" w:ascii="宋体" w:hAnsi="宋体" w:eastAsia="宋体" w:cs="宋体"/>
                <w:b/>
                <w:bCs/>
                <w:i w:val="0"/>
                <w:iCs w:val="0"/>
                <w:color w:val="auto"/>
                <w:kern w:val="0"/>
                <w:sz w:val="22"/>
                <w:szCs w:val="22"/>
                <w:u w:val="none"/>
                <w:shd w:val="clear" w:color="auto" w:fill="auto"/>
                <w:lang w:val="en-US" w:eastAsia="zh-CN" w:bidi="ar"/>
              </w:rPr>
              <w:t>本年支出合计</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58</w:t>
            </w:r>
          </w:p>
        </w:tc>
        <w:tc>
          <w:tcPr>
            <w:tcW w:w="20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使用非财政拨款结余</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28</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结余分配</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59</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年初结转和结余</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29</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7.08</w:t>
            </w: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年末结转和结余</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60</w:t>
            </w:r>
          </w:p>
        </w:tc>
        <w:tc>
          <w:tcPr>
            <w:tcW w:w="20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w:t>
            </w:r>
          </w:p>
        </w:tc>
        <w:tc>
          <w:tcPr>
            <w:tcW w:w="111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shd w:val="clear" w:color="auto" w:fill="auto"/>
              </w:rPr>
            </w:pPr>
          </w:p>
        </w:tc>
        <w:tc>
          <w:tcPr>
            <w:tcW w:w="4475"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61</w:t>
            </w:r>
          </w:p>
        </w:tc>
        <w:tc>
          <w:tcPr>
            <w:tcW w:w="205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shd w:val="clear" w:color="auto" w:fill="auto"/>
              </w:rPr>
            </w:pPr>
            <w:r>
              <w:rPr>
                <w:rFonts w:hint="eastAsia" w:ascii="宋体" w:hAnsi="宋体" w:eastAsia="宋体" w:cs="宋体"/>
                <w:b/>
                <w:bCs/>
                <w:i w:val="0"/>
                <w:iCs w:val="0"/>
                <w:color w:val="auto"/>
                <w:kern w:val="0"/>
                <w:sz w:val="22"/>
                <w:szCs w:val="22"/>
                <w:u w:val="none"/>
                <w:shd w:val="clear" w:color="auto" w:fill="auto"/>
                <w:lang w:val="en-US" w:eastAsia="zh-CN" w:bidi="ar"/>
              </w:rPr>
              <w:t>总计</w:t>
            </w:r>
          </w:p>
        </w:tc>
        <w:tc>
          <w:tcPr>
            <w:tcW w:w="835" w:type="dxa"/>
            <w:tcBorders>
              <w:top w:val="nil"/>
              <w:left w:val="nil"/>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31</w:t>
            </w:r>
          </w:p>
        </w:tc>
        <w:tc>
          <w:tcPr>
            <w:tcW w:w="111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306.74</w:t>
            </w:r>
          </w:p>
        </w:tc>
        <w:tc>
          <w:tcPr>
            <w:tcW w:w="44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shd w:val="clear" w:color="auto" w:fill="auto"/>
              </w:rPr>
            </w:pPr>
            <w:r>
              <w:rPr>
                <w:rFonts w:hint="eastAsia" w:ascii="宋体" w:hAnsi="宋体" w:eastAsia="宋体" w:cs="宋体"/>
                <w:b/>
                <w:bCs/>
                <w:i w:val="0"/>
                <w:iCs w:val="0"/>
                <w:color w:val="auto"/>
                <w:kern w:val="0"/>
                <w:sz w:val="22"/>
                <w:szCs w:val="22"/>
                <w:u w:val="none"/>
                <w:shd w:val="clear" w:color="auto" w:fill="auto"/>
                <w:lang w:val="en-US" w:eastAsia="zh-CN" w:bidi="ar"/>
              </w:rPr>
              <w:t>总计</w:t>
            </w:r>
          </w:p>
        </w:tc>
        <w:tc>
          <w:tcPr>
            <w:tcW w:w="83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62</w:t>
            </w:r>
          </w:p>
        </w:tc>
        <w:tc>
          <w:tcPr>
            <w:tcW w:w="20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注：本表反映</w:t>
            </w:r>
            <w:r>
              <w:rPr>
                <w:rFonts w:hint="eastAsia" w:ascii="宋体" w:hAnsi="宋体" w:cs="宋体"/>
                <w:i w:val="0"/>
                <w:iCs w:val="0"/>
                <w:color w:val="auto"/>
                <w:kern w:val="0"/>
                <w:sz w:val="22"/>
                <w:szCs w:val="22"/>
                <w:u w:val="none"/>
                <w:shd w:val="clear" w:color="auto" w:fill="auto"/>
                <w:lang w:val="en-US" w:eastAsia="zh-CN" w:bidi="ar"/>
              </w:rPr>
              <w:t>单位</w:t>
            </w:r>
            <w:r>
              <w:rPr>
                <w:rFonts w:hint="eastAsia" w:ascii="宋体" w:hAnsi="宋体" w:eastAsia="宋体" w:cs="宋体"/>
                <w:i w:val="0"/>
                <w:iCs w:val="0"/>
                <w:color w:val="auto"/>
                <w:kern w:val="0"/>
                <w:sz w:val="22"/>
                <w:szCs w:val="22"/>
                <w:u w:val="none"/>
                <w:shd w:val="clear" w:color="auto" w:fill="auto"/>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416"/>
        <w:gridCol w:w="222"/>
        <w:gridCol w:w="222"/>
        <w:gridCol w:w="3956"/>
        <w:gridCol w:w="1281"/>
        <w:gridCol w:w="1308"/>
        <w:gridCol w:w="727"/>
        <w:gridCol w:w="752"/>
        <w:gridCol w:w="732"/>
        <w:gridCol w:w="75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90" w:hRule="atLeast"/>
        </w:trPr>
        <w:tc>
          <w:tcPr>
            <w:tcW w:w="14986" w:type="dxa"/>
            <w:gridSpan w:val="11"/>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8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0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2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5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3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5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：许昌市知识产权维权保护中心</w:t>
            </w: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8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0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27"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5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3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5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8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08"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2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5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5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8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8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2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3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5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78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8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78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299.66</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299.66</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274.84</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274.84</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65.97</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208.14</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208.14</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40"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40"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40"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0"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30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7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86"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416"/>
        <w:gridCol w:w="222"/>
        <w:gridCol w:w="222"/>
        <w:gridCol w:w="3956"/>
        <w:gridCol w:w="1109"/>
        <w:gridCol w:w="1109"/>
        <w:gridCol w:w="1112"/>
        <w:gridCol w:w="606"/>
        <w:gridCol w:w="60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90" w:hRule="atLeast"/>
        </w:trPr>
        <w:tc>
          <w:tcPr>
            <w:tcW w:w="13969"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1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0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0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：许昌市知识产权维权保护中心</w:t>
            </w: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1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0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0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0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1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0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01"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0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0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1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0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01"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2"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306.74</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176.74</w:t>
            </w:r>
          </w:p>
        </w:tc>
        <w:tc>
          <w:tcPr>
            <w:tcW w:w="11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130.00</w:t>
            </w: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280.37</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150.37</w:t>
            </w:r>
          </w:p>
        </w:tc>
        <w:tc>
          <w:tcPr>
            <w:tcW w:w="11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208.14</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11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1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1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9"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416"/>
        <w:gridCol w:w="570"/>
        <w:gridCol w:w="1275"/>
        <w:gridCol w:w="3660"/>
        <w:gridCol w:w="570"/>
        <w:gridCol w:w="876"/>
        <w:gridCol w:w="1170"/>
        <w:gridCol w:w="99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90" w:hRule="atLeast"/>
        </w:trPr>
        <w:tc>
          <w:tcPr>
            <w:tcW w:w="14145" w:type="dxa"/>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6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9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：许昌市知识产权维权保护中心</w:t>
            </w:r>
          </w:p>
        </w:tc>
        <w:tc>
          <w:tcPr>
            <w:tcW w:w="5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66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7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7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9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526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84" w:type="dxa"/>
            <w:gridSpan w:val="6"/>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92" w:hRule="atLeast"/>
        </w:trPr>
        <w:tc>
          <w:tcPr>
            <w:tcW w:w="341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7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9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5" w:hRule="atLeast"/>
        </w:trPr>
        <w:tc>
          <w:tcPr>
            <w:tcW w:w="341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0"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299.66</w:t>
            </w: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280.37</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280.37</w:t>
            </w: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299.66</w:t>
            </w: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306.74</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306.74</w:t>
            </w: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366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7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366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7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306.74</w:t>
            </w:r>
          </w:p>
        </w:tc>
        <w:tc>
          <w:tcPr>
            <w:tcW w:w="36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306.74</w:t>
            </w:r>
          </w:p>
        </w:tc>
        <w:tc>
          <w:tcPr>
            <w:tcW w:w="117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306.74</w:t>
            </w:r>
          </w:p>
        </w:tc>
        <w:tc>
          <w:tcPr>
            <w:tcW w:w="9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45" w:type="dxa"/>
            <w:gridSpan w:val="9"/>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416"/>
        <w:gridCol w:w="222"/>
        <w:gridCol w:w="240"/>
        <w:gridCol w:w="3938"/>
        <w:gridCol w:w="1029"/>
        <w:gridCol w:w="1206"/>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4" w:hRule="atLeast"/>
          <w:jc w:val="center"/>
        </w:trPr>
        <w:tc>
          <w:tcPr>
            <w:tcW w:w="11671" w:type="dxa"/>
            <w:gridSpan w:val="7"/>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jc w:val="center"/>
        </w:trPr>
        <w:tc>
          <w:tcPr>
            <w:tcW w:w="3416"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93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2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0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20"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62" w:hRule="atLeast"/>
          <w:jc w:val="center"/>
        </w:trPr>
        <w:tc>
          <w:tcPr>
            <w:tcW w:w="3416"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：许昌市知识产权维权保护中心</w:t>
            </w: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938"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2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0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20"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55"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38"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2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77" w:hRule="atLeast"/>
          <w:jc w:val="center"/>
        </w:trPr>
        <w:tc>
          <w:tcPr>
            <w:tcW w:w="3878"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38"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2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12" w:hRule="atLeast"/>
          <w:jc w:val="center"/>
        </w:trPr>
        <w:tc>
          <w:tcPr>
            <w:tcW w:w="3878"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38"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2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2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78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781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306.74</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176.74</w:t>
            </w:r>
          </w:p>
        </w:tc>
        <w:tc>
          <w:tcPr>
            <w:tcW w:w="1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280.37</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150.37</w:t>
            </w:r>
          </w:p>
        </w:tc>
        <w:tc>
          <w:tcPr>
            <w:tcW w:w="1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知识产权事务</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2011401</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71.50</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208.14</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1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78.14</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120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67"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37"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3878"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3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0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20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6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1671"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613"/>
        <w:gridCol w:w="2865"/>
        <w:gridCol w:w="1320"/>
        <w:gridCol w:w="836"/>
        <w:gridCol w:w="1609"/>
        <w:gridCol w:w="900"/>
        <w:gridCol w:w="810"/>
        <w:gridCol w:w="306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90" w:hRule="atLeast"/>
          <w:jc w:val="center"/>
        </w:trPr>
        <w:tc>
          <w:tcPr>
            <w:tcW w:w="14174" w:type="dxa"/>
            <w:gridSpan w:val="9"/>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jc w:val="center"/>
        </w:trPr>
        <w:tc>
          <w:tcPr>
            <w:tcW w:w="1613"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28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3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1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06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59"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jc w:val="center"/>
        </w:trPr>
        <w:tc>
          <w:tcPr>
            <w:tcW w:w="1613"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：许昌市知识产权维权保护中心</w:t>
            </w:r>
          </w:p>
        </w:tc>
        <w:tc>
          <w:tcPr>
            <w:tcW w:w="28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32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36"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6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9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81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3062"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59"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579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376" w:type="dxa"/>
            <w:gridSpan w:val="6"/>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6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3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60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06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5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6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3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06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15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160.13</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76.56</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06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06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8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06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613"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865"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3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6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06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1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4478"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170.41</w:t>
            </w:r>
          </w:p>
        </w:tc>
        <w:tc>
          <w:tcPr>
            <w:tcW w:w="7217"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174"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jc w:val="cente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991"/>
        <w:gridCol w:w="1965"/>
        <w:gridCol w:w="600"/>
        <w:gridCol w:w="1221"/>
        <w:gridCol w:w="774"/>
        <w:gridCol w:w="685"/>
        <w:gridCol w:w="709"/>
        <w:gridCol w:w="1095"/>
        <w:gridCol w:w="704"/>
        <w:gridCol w:w="713"/>
        <w:gridCol w:w="1125"/>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40" w:hRule="atLeast"/>
          <w:jc w:val="center"/>
        </w:trPr>
        <w:tc>
          <w:tcPr>
            <w:tcW w:w="13316" w:type="dxa"/>
            <w:gridSpan w:val="12"/>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jc w:val="center"/>
        </w:trPr>
        <w:tc>
          <w:tcPr>
            <w:tcW w:w="1991" w:type="dxa"/>
            <w:tcBorders>
              <w:top w:val="nil"/>
              <w:left w:val="nil"/>
              <w:bottom w:val="nil"/>
              <w:right w:val="nil"/>
            </w:tcBorders>
            <w:shd w:val="clear" w:color="auto" w:fill="FFFFFF"/>
            <w:noWrap/>
            <w:vAlign w:val="bottom"/>
          </w:tcPr>
          <w:p>
            <w:pPr>
              <w:rPr>
                <w:rFonts w:hint="eastAsia" w:ascii="Arial" w:hAnsi="Arial" w:cs="Arial"/>
                <w:i w:val="0"/>
                <w:iCs w:val="0"/>
                <w:color w:val="000000"/>
                <w:sz w:val="20"/>
                <w:szCs w:val="20"/>
                <w:u w:val="none"/>
              </w:rPr>
            </w:pPr>
          </w:p>
        </w:tc>
        <w:tc>
          <w:tcPr>
            <w:tcW w:w="19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2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7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8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9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0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13"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734"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jc w:val="center"/>
        </w:trPr>
        <w:tc>
          <w:tcPr>
            <w:tcW w:w="1991"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：许昌市知识产权维权保护中心</w:t>
            </w:r>
          </w:p>
        </w:tc>
        <w:tc>
          <w:tcPr>
            <w:tcW w:w="196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00"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221"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7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68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09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04"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713"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125" w:type="dxa"/>
            <w:tcBorders>
              <w:top w:val="nil"/>
              <w:left w:val="nil"/>
              <w:bottom w:val="nil"/>
              <w:right w:val="nil"/>
            </w:tcBorders>
            <w:shd w:val="clear" w:color="auto" w:fill="FFFFFF"/>
            <w:noWrap/>
            <w:vAlign w:val="bottom"/>
          </w:tcPr>
          <w:p>
            <w:pPr>
              <w:rPr>
                <w:rFonts w:hint="default" w:ascii="Arial" w:hAnsi="Arial" w:cs="Arial"/>
                <w:i w:val="0"/>
                <w:iCs w:val="0"/>
                <w:color w:val="000000"/>
                <w:sz w:val="20"/>
                <w:szCs w:val="20"/>
                <w:u w:val="none"/>
              </w:rPr>
            </w:pPr>
          </w:p>
        </w:tc>
        <w:tc>
          <w:tcPr>
            <w:tcW w:w="1734"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080" w:type="dxa"/>
            <w:gridSpan w:val="6"/>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991"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6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595"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68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0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542"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73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5" w:hRule="atLeast"/>
          <w:jc w:val="center"/>
        </w:trPr>
        <w:tc>
          <w:tcPr>
            <w:tcW w:w="1991"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2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7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68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0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70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73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991"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6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1"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1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3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8" w:hRule="atLeast"/>
          <w:jc w:val="center"/>
        </w:trPr>
        <w:tc>
          <w:tcPr>
            <w:tcW w:w="1991"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9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0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2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7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0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1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3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15" w:hRule="atLeast"/>
          <w:jc w:val="center"/>
        </w:trPr>
        <w:tc>
          <w:tcPr>
            <w:tcW w:w="13316" w:type="dxa"/>
            <w:gridSpan w:val="12"/>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2098" w:right="1474" w:bottom="1984" w:left="1587" w:header="720" w:footer="720" w:gutter="0"/>
          <w:pgNumType w:fmt="numberInDash"/>
          <w:cols w:space="720" w:num="1"/>
          <w:docGrid w:type="lines" w:linePitch="312" w:charSpace="0"/>
        </w:sectPr>
      </w:pPr>
      <w:r>
        <w:rPr>
          <w:rFonts w:hint="eastAsia" w:ascii="宋体" w:hAnsi="宋体" w:eastAsia="宋体" w:cs="宋体"/>
          <w:i w:val="0"/>
          <w:iCs w:val="0"/>
          <w:color w:val="000000"/>
          <w:kern w:val="0"/>
          <w:sz w:val="22"/>
          <w:szCs w:val="22"/>
          <w:u w:val="none"/>
          <w:lang w:val="en-US" w:eastAsia="zh-CN" w:bidi="ar"/>
        </w:rPr>
        <w:t>说明：我单位没有预算安排的三公经费，也没有预算安排的三公支出，故本表无数据</w:t>
      </w:r>
    </w:p>
    <w:tbl>
      <w:tblPr>
        <w:tblStyle w:val="5"/>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3416"/>
        <w:gridCol w:w="222"/>
        <w:gridCol w:w="222"/>
        <w:gridCol w:w="1096"/>
        <w:gridCol w:w="1492"/>
        <w:gridCol w:w="1387"/>
        <w:gridCol w:w="1387"/>
        <w:gridCol w:w="1492"/>
        <w:gridCol w:w="136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90" w:hRule="atLeast"/>
        </w:trPr>
        <w:tc>
          <w:tcPr>
            <w:tcW w:w="13695" w:type="dxa"/>
            <w:gridSpan w:val="10"/>
            <w:tcBorders>
              <w:top w:val="nil"/>
              <w:left w:val="nil"/>
              <w:bottom w:val="nil"/>
              <w:right w:val="nil"/>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rPr>
                <w:rFonts w:hint="eastAsia" w:ascii="Arial" w:hAnsi="Arial" w:cs="Arial"/>
                <w:i w:val="0"/>
                <w:iCs w:val="0"/>
                <w:color w:val="auto"/>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096"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49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387"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387"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49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36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：许昌市知识产权维权保护中心</w:t>
            </w: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096"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49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387"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387"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492"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365" w:type="dxa"/>
            <w:tcBorders>
              <w:top w:val="nil"/>
              <w:left w:val="nil"/>
              <w:bottom w:val="nil"/>
              <w:right w:val="nil"/>
            </w:tcBorders>
            <w:shd w:val="clear" w:color="auto" w:fill="FFFFFF"/>
            <w:noWrap/>
            <w:vAlign w:val="bottom"/>
          </w:tcPr>
          <w:p>
            <w:pPr>
              <w:rPr>
                <w:rFonts w:hint="default" w:ascii="Arial" w:hAnsi="Arial" w:cs="Arial"/>
                <w:i w:val="0"/>
                <w:iCs w:val="0"/>
                <w:color w:val="auto"/>
                <w:sz w:val="20"/>
                <w:szCs w:val="20"/>
                <w:u w:val="none"/>
              </w:rPr>
            </w:pPr>
          </w:p>
        </w:tc>
        <w:tc>
          <w:tcPr>
            <w:tcW w:w="1616" w:type="dxa"/>
            <w:tcBorders>
              <w:top w:val="nil"/>
              <w:left w:val="nil"/>
              <w:bottom w:val="nil"/>
              <w:right w:val="nil"/>
            </w:tcBorders>
            <w:shd w:val="clear" w:color="auto" w:fill="FFFFFF"/>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492"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1387"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4244"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161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1096"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49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8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8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149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36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49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8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8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49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6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492"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87"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8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49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36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4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u w:val="none"/>
              </w:rPr>
            </w:pP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u w:val="none"/>
              </w:rPr>
            </w:pPr>
          </w:p>
        </w:tc>
        <w:tc>
          <w:tcPr>
            <w:tcW w:w="13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rPr>
            </w:pPr>
          </w:p>
        </w:tc>
        <w:tc>
          <w:tcPr>
            <w:tcW w:w="109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rPr>
            </w:pP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rPr>
            </w:pPr>
          </w:p>
        </w:tc>
        <w:tc>
          <w:tcPr>
            <w:tcW w:w="109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rPr>
            </w:pP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rPr>
            </w:pPr>
          </w:p>
        </w:tc>
        <w:tc>
          <w:tcPr>
            <w:tcW w:w="1096"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2"/>
                <w:szCs w:val="22"/>
                <w:u w:val="none"/>
              </w:rPr>
            </w:pP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8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49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3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c>
          <w:tcPr>
            <w:tcW w:w="16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95"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本年度政府性基金预算财政拨款收入、支出及结转和结余情况。本表金额转换为万元时，因四舍五入可能存在尾差。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bl>
    <w:p>
      <w:pPr>
        <w:widowControl/>
        <w:jc w:val="left"/>
        <w:textAlignment w:val="center"/>
        <w:rPr>
          <w:rFonts w:ascii="宋体" w:hAnsi="宋体" w:cs="宋体"/>
          <w:color w:val="000000"/>
          <w:sz w:val="24"/>
          <w:szCs w:val="24"/>
          <w:highlight w:val="none"/>
        </w:rPr>
      </w:pPr>
      <w:r>
        <w:rPr>
          <w:rFonts w:hint="eastAsia" w:ascii="宋体" w:hAnsi="宋体" w:eastAsia="宋体" w:cs="宋体"/>
          <w:i w:val="0"/>
          <w:iCs w:val="0"/>
          <w:color w:val="auto"/>
          <w:kern w:val="0"/>
          <w:sz w:val="22"/>
          <w:szCs w:val="22"/>
          <w:u w:val="none"/>
          <w:lang w:val="en-US" w:eastAsia="zh-CN" w:bidi="ar"/>
        </w:rPr>
        <w:t>说明：我</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5.28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：压缩日常办公经费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176.74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57.62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130.00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42.38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5.28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：压缩日常办公经费</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%。与上年度相比，一般公共预算财政拨款支出增减少</w:t>
      </w:r>
      <w:r>
        <w:rPr>
          <w:rFonts w:hint="eastAsia" w:ascii="仿宋_GB2312" w:hAnsi="仿宋_GB2312" w:eastAsia="仿宋_GB2312" w:cs="仿宋_GB2312"/>
          <w:sz w:val="32"/>
          <w:szCs w:val="32"/>
          <w:highlight w:val="none"/>
          <w:lang w:val="en-US" w:eastAsia="zh-CN"/>
        </w:rPr>
        <w:t>5.28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：压缩日常办公经费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280.37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91.40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17.51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5.70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8.86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2.89</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183.49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306.74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167.17</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lang w:val="en-US"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lang w:val="en-US"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市场监督管理事务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155.85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78.14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50.14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:调整经费支出功能科目</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lang w:val="en-US"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知识产权事务（款）行政运行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71.50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:财政追加支出经费，调整经费支出功能科目</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一般公共服务</w:t>
      </w:r>
      <w:r>
        <w:rPr>
          <w:rFonts w:hint="eastAsia" w:ascii="仿宋_GB2312" w:hAnsi="仿宋_GB2312" w:eastAsia="仿宋_GB2312" w:cs="仿宋_GB2312"/>
          <w:b/>
          <w:bCs/>
          <w:sz w:val="32"/>
          <w:szCs w:val="32"/>
          <w:highlight w:val="none"/>
          <w:lang w:val="en-US" w:eastAsia="zh-CN"/>
        </w:rPr>
        <w:t>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市场监督管理（款）其他市场监督管理事务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val="en-US" w:eastAsia="zh-CN"/>
        </w:rPr>
        <w:t>的主要原因是财政追加对企业的科技奖励资金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．社会保障和就业支出（类）行政事业单位养老支出</w:t>
      </w:r>
      <w:r>
        <w:rPr>
          <w:rFonts w:hint="eastAsia" w:ascii="仿宋_GB2312" w:hAnsi="仿宋_GB2312" w:eastAsia="仿宋_GB2312" w:cs="仿宋_GB2312"/>
          <w:b/>
          <w:bCs/>
          <w:sz w:val="32"/>
          <w:szCs w:val="32"/>
          <w:highlight w:val="none"/>
          <w:lang w:eastAsia="zh-CN"/>
        </w:rPr>
        <w:t>（款）行政单位离退休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8.51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99.77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:退休人员实际发放金额和预算编制金额略有差异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．社会保障和就业支出（类）行政事业单位养老支出</w:t>
      </w:r>
      <w:r>
        <w:rPr>
          <w:rFonts w:hint="eastAsia" w:ascii="仿宋_GB2312" w:hAnsi="仿宋_GB2312" w:eastAsia="仿宋_GB2312" w:cs="仿宋_GB2312"/>
          <w:b/>
          <w:bCs/>
          <w:sz w:val="32"/>
          <w:szCs w:val="32"/>
          <w:highlight w:val="none"/>
          <w:lang w:eastAsia="zh-CN"/>
        </w:rPr>
        <w:t>（款）机关事业单位基本养老保险缴费支出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．卫生健康支出（类）行政事业单位医疗</w:t>
      </w:r>
      <w:r>
        <w:rPr>
          <w:rFonts w:hint="eastAsia" w:ascii="仿宋_GB2312" w:hAnsi="仿宋_GB2312" w:eastAsia="仿宋_GB2312" w:cs="仿宋_GB2312"/>
          <w:b/>
          <w:bCs/>
          <w:sz w:val="32"/>
          <w:szCs w:val="32"/>
          <w:highlight w:val="none"/>
          <w:lang w:eastAsia="zh-CN"/>
        </w:rPr>
        <w:t>（款）行政单位医疗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98.13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:医疗保险缴费基数较上年略有调整</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．卫生健康支出（类）行政事业单位医疗</w:t>
      </w:r>
      <w:r>
        <w:rPr>
          <w:rFonts w:hint="eastAsia" w:ascii="仿宋_GB2312" w:hAnsi="仿宋_GB2312" w:eastAsia="仿宋_GB2312" w:cs="仿宋_GB2312"/>
          <w:b/>
          <w:bCs/>
          <w:sz w:val="32"/>
          <w:szCs w:val="32"/>
          <w:highlight w:val="none"/>
          <w:lang w:eastAsia="zh-CN"/>
        </w:rPr>
        <w:t>（款）公务员医疗补助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90.81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:公务员医疗补助缴费基数较上年略有调整</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176.74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170.41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其他社会保障缴费、退休费、住房公积金；公用经费</w:t>
      </w:r>
      <w:r>
        <w:rPr>
          <w:rFonts w:hint="eastAsia" w:ascii="仿宋_GB2312" w:hAnsi="仿宋_GB2312" w:eastAsia="仿宋_GB2312" w:cs="仿宋_GB2312"/>
          <w:sz w:val="32"/>
          <w:szCs w:val="32"/>
          <w:highlight w:val="none"/>
          <w:lang w:val="en-US" w:eastAsia="zh-CN"/>
        </w:rPr>
        <w:t>6.34</w:t>
      </w:r>
      <w:r>
        <w:rPr>
          <w:rFonts w:hint="eastAsia" w:ascii="仿宋_GB2312" w:hAnsi="仿宋_GB2312" w:eastAsia="仿宋_GB2312" w:cs="仿宋_GB2312"/>
          <w:sz w:val="32"/>
          <w:szCs w:val="32"/>
          <w:highlight w:val="none"/>
        </w:rPr>
        <w:t>万元，主要包括：办公费、印刷费、邮电费、差旅费、会议费、工会经费、福利费。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:2021年度无接待任务</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numPr>
          <w:ilvl w:val="0"/>
          <w:numId w:val="2"/>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numPr>
          <w:ilvl w:val="0"/>
          <w:numId w:val="2"/>
        </w:numPr>
        <w:spacing w:line="590" w:lineRule="exact"/>
        <w:ind w:left="0" w:leftChars="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val="0"/>
          <w:bCs w:val="0"/>
          <w:sz w:val="32"/>
          <w:szCs w:val="32"/>
          <w:highlight w:val="none"/>
          <w:lang w:val="en-US" w:eastAsia="zh-CN"/>
        </w:rPr>
        <w:t>0.00</w:t>
      </w:r>
      <w:r>
        <w:rPr>
          <w:rFonts w:hint="eastAsia" w:ascii="仿宋_GB2312" w:hAnsi="仿宋_GB2312" w:eastAsia="仿宋_GB2312" w:cs="仿宋_GB2312"/>
          <w:b w:val="0"/>
          <w:bCs w:val="0"/>
          <w:sz w:val="32"/>
          <w:szCs w:val="32"/>
          <w:highlight w:val="none"/>
        </w:rPr>
        <w:t>万</w:t>
      </w:r>
      <w:r>
        <w:rPr>
          <w:rFonts w:hint="eastAsia" w:ascii="仿宋_GB2312" w:hAnsi="仿宋_GB2312" w:eastAsia="仿宋_GB2312" w:cs="仿宋_GB2312"/>
          <w:sz w:val="32"/>
          <w:szCs w:val="32"/>
          <w:highlight w:val="none"/>
        </w:rPr>
        <w:t>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：我单位</w:t>
      </w:r>
      <w:r>
        <w:rPr>
          <w:rFonts w:hint="eastAsia" w:ascii="仿宋_GB2312" w:hAnsi="仿宋_GB2312" w:eastAsia="仿宋_GB2312" w:cs="仿宋_GB2312"/>
          <w:sz w:val="32"/>
          <w:szCs w:val="32"/>
          <w:highlight w:val="none"/>
          <w:lang w:val="en-US" w:eastAsia="zh-CN"/>
        </w:rPr>
        <w:t>2021年度无接待任务</w:t>
      </w:r>
      <w:r>
        <w:rPr>
          <w:rFonts w:hint="eastAsia" w:ascii="仿宋_GB2312" w:hAnsi="仿宋_GB2312" w:eastAsia="仿宋_GB2312" w:cs="仿宋_GB2312"/>
          <w:sz w:val="32"/>
          <w:szCs w:val="32"/>
          <w:highlight w:val="none"/>
        </w:rPr>
        <w:t>。</w:t>
      </w:r>
    </w:p>
    <w:p>
      <w:pPr>
        <w:widowControl/>
        <w:numPr>
          <w:ilvl w:val="0"/>
          <w:numId w:val="0"/>
        </w:numPr>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val="0"/>
          <w:bCs w:val="0"/>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人次（不包括陪同人员）。来访人员</w:t>
      </w:r>
      <w:r>
        <w:rPr>
          <w:rFonts w:hint="eastAsia" w:ascii="仿宋_GB2312" w:hAnsi="仿宋_GB2312" w:eastAsia="仿宋_GB2312" w:cs="仿宋_GB2312"/>
          <w:sz w:val="32"/>
          <w:szCs w:val="32"/>
          <w:highlight w:val="none"/>
          <w:lang w:val="en-US" w:eastAsia="zh-CN"/>
        </w:rPr>
        <w:t>0人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val="0"/>
          <w:bCs w:val="0"/>
          <w:sz w:val="32"/>
          <w:szCs w:val="32"/>
          <w:highlight w:val="none"/>
          <w:lang w:val="en-US" w:eastAsia="zh-CN"/>
        </w:rPr>
        <w:t>0.00</w:t>
      </w:r>
      <w:r>
        <w:rPr>
          <w:rFonts w:hint="eastAsia" w:ascii="仿宋_GB2312" w:hAnsi="仿宋_GB2312" w:eastAsia="仿宋_GB2312" w:cs="仿宋_GB2312"/>
          <w:b w:val="0"/>
          <w:bCs w:val="0"/>
          <w:sz w:val="32"/>
          <w:szCs w:val="32"/>
          <w:highlight w:val="none"/>
        </w:rPr>
        <w:t>万</w:t>
      </w:r>
      <w:r>
        <w:rPr>
          <w:rFonts w:hint="eastAsia" w:ascii="仿宋_GB2312" w:hAnsi="仿宋_GB2312" w:eastAsia="仿宋_GB2312" w:cs="仿宋_GB2312"/>
          <w:sz w:val="32"/>
          <w:szCs w:val="32"/>
          <w:highlight w:val="none"/>
        </w:rPr>
        <w:t>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w:t>
      </w:r>
      <w:r>
        <w:rPr>
          <w:rFonts w:hint="eastAsia" w:ascii="仿宋_GB2312" w:hAnsi="仿宋_GB2312" w:eastAsia="仿宋_GB2312" w:cs="仿宋_GB2312"/>
          <w:bCs/>
          <w:sz w:val="32"/>
          <w:szCs w:val="32"/>
        </w:rPr>
        <w:t>我</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2021年度没</w:t>
      </w:r>
      <w:r>
        <w:rPr>
          <w:rFonts w:hint="eastAsia" w:ascii="仿宋_GB2312" w:hAnsi="仿宋_GB2312" w:eastAsia="仿宋_GB2312" w:cs="仿宋_GB2312"/>
          <w:sz w:val="32"/>
          <w:szCs w:val="32"/>
        </w:rPr>
        <w:t>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6.34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25.97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lang w:eastAsia="zh-CN"/>
        </w:rPr>
        <w:t>我单位严格压缩日常办公经费及三公经费支出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单位领导高度重视，严格按照要求进行绩效评价，</w:t>
      </w:r>
      <w:r>
        <w:rPr>
          <w:rFonts w:hint="eastAsia" w:ascii="仿宋_GB2312" w:hAnsi="仿宋_GB2312" w:eastAsia="仿宋_GB2312" w:cs="仿宋_GB2312"/>
          <w:b w:val="0"/>
          <w:bCs w:val="0"/>
          <w:color w:val="auto"/>
          <w:sz w:val="32"/>
          <w:szCs w:val="32"/>
          <w:highlight w:val="none"/>
          <w:lang w:val="en-US" w:eastAsia="zh-CN"/>
        </w:rPr>
        <w:t>单位资金全部到位，资金管理情况良好，大部分资金都能够按照预期要求完成支付。资金拨付履行完整的审批程序和手续，严格遵守财务管理各项规章制度，本单位完成年初指定的绩效目标，提升了资金使用效益</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w:t>
      </w:r>
      <w:r>
        <w:rPr>
          <w:rFonts w:hint="eastAsia" w:ascii="仿宋_GB2312" w:hAnsi="仿宋_GB2312" w:eastAsia="仿宋_GB2312"/>
          <w:sz w:val="32"/>
          <w:szCs w:val="24"/>
          <w:lang w:val="en-US" w:eastAsia="zh-CN"/>
        </w:rPr>
        <w:t>130.00</w:t>
      </w:r>
      <w:r>
        <w:rPr>
          <w:rFonts w:hint="eastAsia" w:ascii="仿宋_GB2312" w:hAnsi="仿宋_GB2312" w:eastAsia="仿宋_GB2312" w:cs="仿宋_GB2312"/>
          <w:color w:val="auto"/>
          <w:sz w:val="32"/>
          <w:szCs w:val="32"/>
          <w:highlight w:val="none"/>
          <w:lang w:val="en-US" w:eastAsia="zh-CN"/>
        </w:rPr>
        <w:t>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许昌市知识产权维权保护中心项目1个，项目金额</w:t>
      </w:r>
      <w:r>
        <w:rPr>
          <w:rFonts w:hint="eastAsia" w:ascii="仿宋_GB2312" w:hAnsi="仿宋_GB2312" w:eastAsia="仿宋_GB2312"/>
          <w:sz w:val="32"/>
          <w:szCs w:val="24"/>
          <w:lang w:val="en-US" w:eastAsia="zh-CN"/>
        </w:rPr>
        <w:t>130.00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960" w:firstLineChars="300"/>
        <w:jc w:val="left"/>
        <w:rPr>
          <w:rFonts w:hint="eastAsia" w:ascii="黑体" w:hAnsi="宋体" w:eastAsia="黑体" w:cs="宋体"/>
          <w:kern w:val="0"/>
          <w:sz w:val="28"/>
          <w:szCs w:val="28"/>
          <w:highlight w:val="none"/>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E55B7"/>
    <w:multiLevelType w:val="singleLevel"/>
    <w:tmpl w:val="B02E55B7"/>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E94F12"/>
    <w:rsid w:val="053D4C0D"/>
    <w:rsid w:val="0557532E"/>
    <w:rsid w:val="058D208E"/>
    <w:rsid w:val="0799329C"/>
    <w:rsid w:val="07C1737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6FB590F"/>
    <w:rsid w:val="17200028"/>
    <w:rsid w:val="17806C36"/>
    <w:rsid w:val="17A74F62"/>
    <w:rsid w:val="18A47774"/>
    <w:rsid w:val="1956211C"/>
    <w:rsid w:val="1A8D28EB"/>
    <w:rsid w:val="1A9F2D78"/>
    <w:rsid w:val="1B2E6FD8"/>
    <w:rsid w:val="1B877D21"/>
    <w:rsid w:val="1C4319A9"/>
    <w:rsid w:val="1D224C48"/>
    <w:rsid w:val="1E13498B"/>
    <w:rsid w:val="1E443B4B"/>
    <w:rsid w:val="1E994F4A"/>
    <w:rsid w:val="1EAF0224"/>
    <w:rsid w:val="1EE01C9A"/>
    <w:rsid w:val="1F2230A4"/>
    <w:rsid w:val="1FE7FA5B"/>
    <w:rsid w:val="20210932"/>
    <w:rsid w:val="202448E0"/>
    <w:rsid w:val="20F614FE"/>
    <w:rsid w:val="211A0DAF"/>
    <w:rsid w:val="21302EEA"/>
    <w:rsid w:val="22376FB5"/>
    <w:rsid w:val="23E152D7"/>
    <w:rsid w:val="23EE2489"/>
    <w:rsid w:val="255D43C8"/>
    <w:rsid w:val="26714EF8"/>
    <w:rsid w:val="26876BDD"/>
    <w:rsid w:val="2714632A"/>
    <w:rsid w:val="27541E73"/>
    <w:rsid w:val="27B0539E"/>
    <w:rsid w:val="28733A7E"/>
    <w:rsid w:val="29365CF8"/>
    <w:rsid w:val="299469B3"/>
    <w:rsid w:val="2A805789"/>
    <w:rsid w:val="2ADC0D75"/>
    <w:rsid w:val="2B4A0E52"/>
    <w:rsid w:val="2C975890"/>
    <w:rsid w:val="2D7FD28A"/>
    <w:rsid w:val="2DEF21BB"/>
    <w:rsid w:val="2E4A2F05"/>
    <w:rsid w:val="2ECC1061"/>
    <w:rsid w:val="2FA476AD"/>
    <w:rsid w:val="303F7540"/>
    <w:rsid w:val="31DD00BF"/>
    <w:rsid w:val="3293174C"/>
    <w:rsid w:val="32BB38D4"/>
    <w:rsid w:val="32C9376D"/>
    <w:rsid w:val="33780472"/>
    <w:rsid w:val="33AF0905"/>
    <w:rsid w:val="355932F4"/>
    <w:rsid w:val="35611882"/>
    <w:rsid w:val="36692E91"/>
    <w:rsid w:val="36746FC3"/>
    <w:rsid w:val="368763AE"/>
    <w:rsid w:val="395D59E7"/>
    <w:rsid w:val="395F269C"/>
    <w:rsid w:val="39A93932"/>
    <w:rsid w:val="39DE0968"/>
    <w:rsid w:val="3A915562"/>
    <w:rsid w:val="3B8D4765"/>
    <w:rsid w:val="3C000DBA"/>
    <w:rsid w:val="3DC045D3"/>
    <w:rsid w:val="3E504FFB"/>
    <w:rsid w:val="3E615CD0"/>
    <w:rsid w:val="3E9C47F6"/>
    <w:rsid w:val="3F8B0112"/>
    <w:rsid w:val="3FAB3095"/>
    <w:rsid w:val="3FE45947"/>
    <w:rsid w:val="41242965"/>
    <w:rsid w:val="4136703E"/>
    <w:rsid w:val="435671EA"/>
    <w:rsid w:val="440809E9"/>
    <w:rsid w:val="442407A6"/>
    <w:rsid w:val="44564147"/>
    <w:rsid w:val="447406E7"/>
    <w:rsid w:val="44805EA1"/>
    <w:rsid w:val="45710696"/>
    <w:rsid w:val="46142B1B"/>
    <w:rsid w:val="47E60DD0"/>
    <w:rsid w:val="48735039"/>
    <w:rsid w:val="492C684B"/>
    <w:rsid w:val="49500594"/>
    <w:rsid w:val="49C9382C"/>
    <w:rsid w:val="49E7604E"/>
    <w:rsid w:val="4BF67CDD"/>
    <w:rsid w:val="4D173441"/>
    <w:rsid w:val="4D603DD6"/>
    <w:rsid w:val="4EBF010F"/>
    <w:rsid w:val="4F471EB0"/>
    <w:rsid w:val="51331326"/>
    <w:rsid w:val="51740A7F"/>
    <w:rsid w:val="518B1CA1"/>
    <w:rsid w:val="51A5541E"/>
    <w:rsid w:val="51C96242"/>
    <w:rsid w:val="537DBCBF"/>
    <w:rsid w:val="53906AE1"/>
    <w:rsid w:val="54F46F60"/>
    <w:rsid w:val="55A37BEA"/>
    <w:rsid w:val="56362CD2"/>
    <w:rsid w:val="5784687B"/>
    <w:rsid w:val="57846959"/>
    <w:rsid w:val="578E6A87"/>
    <w:rsid w:val="58A85DDD"/>
    <w:rsid w:val="5AC2203A"/>
    <w:rsid w:val="5CBB3334"/>
    <w:rsid w:val="5D115FAF"/>
    <w:rsid w:val="5EA519CF"/>
    <w:rsid w:val="5FFFB596"/>
    <w:rsid w:val="607455D3"/>
    <w:rsid w:val="62811722"/>
    <w:rsid w:val="62E75A72"/>
    <w:rsid w:val="64571880"/>
    <w:rsid w:val="649125B6"/>
    <w:rsid w:val="652F4C1A"/>
    <w:rsid w:val="666D37F1"/>
    <w:rsid w:val="67087D8F"/>
    <w:rsid w:val="671F687E"/>
    <w:rsid w:val="67F415F8"/>
    <w:rsid w:val="682640D1"/>
    <w:rsid w:val="684B73E5"/>
    <w:rsid w:val="6A047A2A"/>
    <w:rsid w:val="6CFD79DB"/>
    <w:rsid w:val="6D143DF3"/>
    <w:rsid w:val="6DA6436C"/>
    <w:rsid w:val="6DB46B64"/>
    <w:rsid w:val="6EFB7548"/>
    <w:rsid w:val="6F3831C3"/>
    <w:rsid w:val="6F8B71C1"/>
    <w:rsid w:val="70753482"/>
    <w:rsid w:val="707B522A"/>
    <w:rsid w:val="72023E0B"/>
    <w:rsid w:val="73194D05"/>
    <w:rsid w:val="73A83B0E"/>
    <w:rsid w:val="744D3EF9"/>
    <w:rsid w:val="74794411"/>
    <w:rsid w:val="75867C40"/>
    <w:rsid w:val="75B10B26"/>
    <w:rsid w:val="75FBB84D"/>
    <w:rsid w:val="76432199"/>
    <w:rsid w:val="76F44829"/>
    <w:rsid w:val="77A267C0"/>
    <w:rsid w:val="77CFC603"/>
    <w:rsid w:val="77FA1C10"/>
    <w:rsid w:val="78882278"/>
    <w:rsid w:val="78B118A6"/>
    <w:rsid w:val="79135044"/>
    <w:rsid w:val="7A7D0F99"/>
    <w:rsid w:val="7AFE66C5"/>
    <w:rsid w:val="7BEF24C0"/>
    <w:rsid w:val="7CBF428A"/>
    <w:rsid w:val="7E4A0E7C"/>
    <w:rsid w:val="7EFD449D"/>
    <w:rsid w:val="7F9F4F6B"/>
    <w:rsid w:val="7FCD2D10"/>
    <w:rsid w:val="7FDF5EA4"/>
    <w:rsid w:val="7FFF1694"/>
    <w:rsid w:val="8D9F30E9"/>
    <w:rsid w:val="9BAE5AA1"/>
    <w:rsid w:val="A5EEDFAA"/>
    <w:rsid w:val="BA3AC754"/>
    <w:rsid w:val="BBEFB948"/>
    <w:rsid w:val="BF756826"/>
    <w:rsid w:val="C7C7D0ED"/>
    <w:rsid w:val="CFED73B9"/>
    <w:rsid w:val="DFFFA4CA"/>
    <w:rsid w:val="EBB7B02D"/>
    <w:rsid w:val="F3A7EC24"/>
    <w:rsid w:val="FB2FBD97"/>
    <w:rsid w:val="FDDE2FD0"/>
    <w:rsid w:val="FDDF322A"/>
    <w:rsid w:val="FEFC56C0"/>
    <w:rsid w:val="FFAB5CC9"/>
    <w:rsid w:val="FFEDA5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8201</Words>
  <Characters>9933</Characters>
  <Lines>60</Lines>
  <Paragraphs>16</Paragraphs>
  <TotalTime>6</TotalTime>
  <ScaleCrop>false</ScaleCrop>
  <LinksUpToDate>false</LinksUpToDate>
  <CharactersWithSpaces>10161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2023-05-11T02:25:47Z</cp:lastPrinted>
  <dcterms:modified xsi:type="dcterms:W3CDTF">2023-05-29T03:11:18Z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17F092C780DB45D0A0798D603910F337_13</vt:lpwstr>
  </property>
</Properties>
</file>