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许昌市电化教育馆单位决算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二〇二二年九月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许昌市电化教育馆概况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52"/>
          <w:szCs w:val="52"/>
          <w:highlight w:val="none"/>
        </w:rPr>
        <w:t>许昌市电化教育馆概况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ind w:firstLine="640" w:firstLineChars="2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许昌市电化教育馆是具有独立法人资格的正科级财政全供事业单位，属许昌市教育局直属二级机构。我馆的主要职责是：</w:t>
      </w:r>
      <w:r>
        <w:rPr>
          <w:rFonts w:hint="eastAsia" w:ascii="仿宋" w:hAnsi="仿宋" w:eastAsia="仿宋" w:cs="仿宋"/>
          <w:color w:val="000000"/>
          <w:sz w:val="32"/>
          <w:szCs w:val="32"/>
          <w:highlight w:val="none"/>
          <w:shd w:val="clear" w:color="auto" w:fill="FFFFFF"/>
        </w:rPr>
        <w:t>开展电化教育教学研究，为基础教育服务。进行电教教研、电教科研与指导，多媒体辅助教学、远程教育教学研究；结合教育教学的实际过程，研究电教教材在学科教学中的应用和教法；收集、储存、整理、发放、编制有关基础教育教学的电教教材、资料和信息；开展教师现代教育技术培训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许昌市电化教育馆内设机构</w:t>
      </w:r>
      <w:r>
        <w:rPr>
          <w:rFonts w:hint="default" w:ascii="仿宋_GB2312" w:hAnsi="仿宋_GB2312" w:eastAsia="仿宋_GB2312" w:cs="仿宋_GB2312"/>
          <w:kern w:val="0"/>
          <w:sz w:val="32"/>
          <w:szCs w:val="32"/>
          <w:highlight w:val="none"/>
          <w:lang w:val="en-US"/>
        </w:rPr>
        <w:t>1</w:t>
      </w:r>
      <w:r>
        <w:rPr>
          <w:rFonts w:hint="eastAsia" w:ascii="仿宋_GB2312" w:hAnsi="仿宋_GB2312" w:eastAsia="仿宋_GB2312" w:cs="仿宋_GB2312"/>
          <w:kern w:val="0"/>
          <w:sz w:val="32"/>
          <w:szCs w:val="32"/>
          <w:highlight w:val="none"/>
        </w:rPr>
        <w:t>个</w:t>
      </w:r>
      <w:r>
        <w:rPr>
          <w:rFonts w:hint="default" w:ascii="仿宋_GB2312" w:hAnsi="仿宋_GB2312" w:eastAsia="仿宋_GB2312" w:cs="仿宋_GB2312"/>
          <w:kern w:val="0"/>
          <w:sz w:val="32"/>
          <w:szCs w:val="32"/>
          <w:highlight w:val="none"/>
          <w:lang w:val="en-US"/>
        </w:rPr>
        <w:t>,</w:t>
      </w:r>
      <w:r>
        <w:rPr>
          <w:rFonts w:hint="eastAsia" w:ascii="仿宋_GB2312" w:hAnsi="仿宋_GB2312" w:eastAsia="仿宋_GB2312" w:cs="仿宋_GB2312"/>
          <w:kern w:val="0"/>
          <w:sz w:val="32"/>
          <w:szCs w:val="32"/>
          <w:highlight w:val="none"/>
          <w:lang w:val="en-US" w:eastAsia="zh-CN"/>
        </w:rPr>
        <w:t>包括：办公室</w:t>
      </w:r>
      <w:r>
        <w:rPr>
          <w:rFonts w:hint="eastAsia" w:ascii="仿宋_GB2312" w:hAnsi="仿宋_GB2312" w:eastAsia="仿宋_GB2312" w:cs="仿宋_GB2312"/>
          <w:kern w:val="0"/>
          <w:sz w:val="32"/>
          <w:szCs w:val="32"/>
          <w:highlight w:val="none"/>
        </w:rPr>
        <w:t>。</w:t>
      </w:r>
    </w:p>
    <w:p>
      <w:pPr>
        <w:widowControl/>
        <w:ind w:firstLine="640" w:firstLineChars="200"/>
        <w:jc w:val="left"/>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从决算单位构成看，许昌市电化教育馆</w:t>
      </w:r>
      <w:r>
        <w:rPr>
          <w:rFonts w:hint="eastAsia" w:ascii="仿宋_GB2312" w:hAnsi="仿宋_GB2312" w:eastAsia="仿宋_GB2312" w:cs="仿宋_GB2312"/>
          <w:kern w:val="0"/>
          <w:sz w:val="32"/>
          <w:szCs w:val="32"/>
          <w:highlight w:val="none"/>
          <w:lang w:eastAsia="zh-CN"/>
        </w:rPr>
        <w:t>单位决算</w:t>
      </w:r>
      <w:r>
        <w:rPr>
          <w:rFonts w:hint="eastAsia" w:ascii="仿宋_GB2312" w:hAnsi="仿宋_GB2312" w:eastAsia="仿宋_GB2312" w:cs="仿宋_GB2312"/>
          <w:kern w:val="0"/>
          <w:sz w:val="32"/>
          <w:szCs w:val="32"/>
          <w:highlight w:val="none"/>
        </w:rPr>
        <w:t>包括：本级决算。</w:t>
      </w:r>
    </w:p>
    <w:p>
      <w:pPr>
        <w:spacing w:line="360" w:lineRule="auto"/>
        <w:ind w:firstLine="640" w:firstLineChars="200"/>
        <w:jc w:val="left"/>
        <w:outlineLvl w:val="1"/>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纳入本</w:t>
      </w:r>
      <w:r>
        <w:rPr>
          <w:rFonts w:hint="eastAsia" w:ascii="仿宋_GB2312" w:hAnsi="宋体" w:eastAsia="仿宋_GB2312" w:cs="宋体"/>
          <w:kern w:val="0"/>
          <w:sz w:val="32"/>
          <w:szCs w:val="32"/>
          <w:lang w:eastAsia="zh-CN"/>
        </w:rPr>
        <w:t>单位</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年度</w:t>
      </w:r>
      <w:r>
        <w:rPr>
          <w:rFonts w:hint="eastAsia" w:ascii="仿宋_GB2312" w:hAnsi="宋体" w:eastAsia="仿宋_GB2312" w:cs="宋体"/>
          <w:kern w:val="0"/>
          <w:sz w:val="32"/>
          <w:szCs w:val="32"/>
          <w:lang w:eastAsia="zh-CN"/>
        </w:rPr>
        <w:t>单位决算</w:t>
      </w:r>
      <w:r>
        <w:rPr>
          <w:rFonts w:hint="eastAsia" w:ascii="仿宋_GB2312" w:hAnsi="宋体" w:eastAsia="仿宋_GB2312" w:cs="宋体"/>
          <w:kern w:val="0"/>
          <w:sz w:val="32"/>
          <w:szCs w:val="32"/>
        </w:rPr>
        <w:t>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宋体" w:eastAsia="仿宋_GB2312" w:cs="宋体"/>
          <w:kern w:val="0"/>
          <w:sz w:val="32"/>
          <w:szCs w:val="32"/>
        </w:rPr>
        <w:t>1.许昌市职业与成人教育教学研究室</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121" w:type="dxa"/>
        <w:tblInd w:w="89" w:type="dxa"/>
        <w:tblLayout w:type="autofit"/>
        <w:tblCellMar>
          <w:top w:w="0" w:type="dxa"/>
          <w:left w:w="108" w:type="dxa"/>
          <w:bottom w:w="0" w:type="dxa"/>
          <w:right w:w="108" w:type="dxa"/>
        </w:tblCellMar>
      </w:tblPr>
      <w:tblGrid>
        <w:gridCol w:w="5030"/>
        <w:gridCol w:w="676"/>
        <w:gridCol w:w="987"/>
        <w:gridCol w:w="4719"/>
        <w:gridCol w:w="676"/>
        <w:gridCol w:w="1900"/>
        <w:gridCol w:w="133"/>
      </w:tblGrid>
      <w:tr>
        <w:tblPrEx>
          <w:tblCellMar>
            <w:top w:w="0" w:type="dxa"/>
            <w:left w:w="108" w:type="dxa"/>
            <w:bottom w:w="0" w:type="dxa"/>
            <w:right w:w="108" w:type="dxa"/>
          </w:tblCellMar>
        </w:tblPrEx>
        <w:trPr>
          <w:trHeight w:val="390" w:hRule="atLeast"/>
        </w:trPr>
        <w:tc>
          <w:tcPr>
            <w:tcW w:w="14121" w:type="dxa"/>
            <w:gridSpan w:val="7"/>
            <w:tcBorders>
              <w:top w:val="nil"/>
              <w:left w:val="nil"/>
              <w:bottom w:val="nil"/>
              <w:right w:val="nil"/>
            </w:tcBorders>
            <w:shd w:val="clear" w:color="000000" w:fill="FFFFFF"/>
            <w:noWrap/>
            <w:vAlign w:val="bottom"/>
          </w:tcPr>
          <w:p>
            <w:pPr>
              <w:jc w:val="center"/>
              <w:rPr>
                <w:rFonts w:ascii="宋体" w:hAnsi="宋体" w:cs="Arial"/>
                <w:color w:val="000000"/>
                <w:sz w:val="30"/>
                <w:szCs w:val="30"/>
                <w:highlight w:val="none"/>
              </w:rPr>
            </w:pPr>
            <w:r>
              <w:rPr>
                <w:rFonts w:hint="eastAsia" w:cs="Arial"/>
                <w:color w:val="00000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5030"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676"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987"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4719"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676"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033" w:type="dxa"/>
            <w:gridSpan w:val="2"/>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公开01表</w:t>
            </w:r>
          </w:p>
        </w:tc>
      </w:tr>
      <w:tr>
        <w:tblPrEx>
          <w:tblCellMar>
            <w:top w:w="0" w:type="dxa"/>
            <w:left w:w="108" w:type="dxa"/>
            <w:bottom w:w="0" w:type="dxa"/>
            <w:right w:w="108" w:type="dxa"/>
          </w:tblCellMar>
        </w:tblPrEx>
        <w:trPr>
          <w:trHeight w:val="255" w:hRule="atLeast"/>
        </w:trPr>
        <w:tc>
          <w:tcPr>
            <w:tcW w:w="5030" w:type="dxa"/>
            <w:tcBorders>
              <w:top w:val="nil"/>
              <w:left w:val="nil"/>
              <w:bottom w:val="nil"/>
              <w:right w:val="nil"/>
            </w:tcBorders>
            <w:shd w:val="clear" w:color="000000" w:fill="FFFFFF"/>
            <w:noWrap/>
            <w:vAlign w:val="bottom"/>
          </w:tcPr>
          <w:p>
            <w:pPr>
              <w:rPr>
                <w:rFonts w:ascii="宋体" w:hAnsi="宋体" w:cs="Arial"/>
                <w:color w:val="000000"/>
                <w:sz w:val="20"/>
                <w:szCs w:val="20"/>
                <w:highlight w:val="none"/>
              </w:rPr>
            </w:pPr>
            <w:r>
              <w:rPr>
                <w:rFonts w:hint="eastAsia" w:cs="Arial"/>
                <w:color w:val="000000"/>
                <w:sz w:val="20"/>
                <w:szCs w:val="20"/>
                <w:highlight w:val="none"/>
              </w:rPr>
              <w:t>部门：许昌市电化教育馆</w:t>
            </w:r>
          </w:p>
        </w:tc>
        <w:tc>
          <w:tcPr>
            <w:tcW w:w="676"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987"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4719"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676"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033" w:type="dxa"/>
            <w:gridSpan w:val="2"/>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金额单位：万元</w:t>
            </w:r>
          </w:p>
        </w:tc>
      </w:tr>
      <w:tr>
        <w:tblPrEx>
          <w:tblCellMar>
            <w:top w:w="0" w:type="dxa"/>
            <w:left w:w="108" w:type="dxa"/>
            <w:bottom w:w="0" w:type="dxa"/>
            <w:right w:w="108" w:type="dxa"/>
          </w:tblCellMar>
        </w:tblPrEx>
        <w:trPr>
          <w:trHeight w:val="308" w:hRule="atLeast"/>
        </w:trPr>
        <w:tc>
          <w:tcPr>
            <w:tcW w:w="6693"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收入</w:t>
            </w:r>
          </w:p>
        </w:tc>
        <w:tc>
          <w:tcPr>
            <w:tcW w:w="7428" w:type="dxa"/>
            <w:gridSpan w:val="4"/>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支出</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项目</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行次</w:t>
            </w:r>
          </w:p>
        </w:tc>
        <w:tc>
          <w:tcPr>
            <w:tcW w:w="98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金额</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项目</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行次</w:t>
            </w:r>
          </w:p>
        </w:tc>
        <w:tc>
          <w:tcPr>
            <w:tcW w:w="2033"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金额</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栏次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　</w:t>
            </w:r>
          </w:p>
        </w:tc>
        <w:tc>
          <w:tcPr>
            <w:tcW w:w="987"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栏次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　</w:t>
            </w:r>
          </w:p>
        </w:tc>
        <w:tc>
          <w:tcPr>
            <w:tcW w:w="2033"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一、一般公共预算财政拨款收入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167.48</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一、一般公共服务支出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二、政府性基金预算财政拨款收入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二、外交支出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33</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三、国有资本经营预算财政拨款收入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三、国防支出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34</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四、上级补助收入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四、公共安全支出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五、事业收入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五、教育支出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36</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141.30</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六、经营收入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六、科学技术支出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37</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七、附属单位上缴收入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7</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七、文化旅游体育与传媒支出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38</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八、其他收入</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8</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八、社会保障和就业支出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39</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9</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九、卫生健康支出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40</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10</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十、节能环保支出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41</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十一、城乡社区支出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12</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十二、农林水支出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43</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13</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十三、交通运输支出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44</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14</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十四、资源勘探工业信息等支出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15</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十五、商业服务业等支出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46</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16</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十六、金融支出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47</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17</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十七、援助其他地区支出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48</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18</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十八、自然资源海洋气象等支出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49</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19</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十九、住房保障支出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50</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20</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二十、粮油物资储备支出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51</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二十一、国有资本经营预算支出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22</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二十二、灾害防治及应急管理支出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53</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23</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二十三、其他支出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54</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0"/>
                <w:szCs w:val="20"/>
                <w:highlight w:val="none"/>
              </w:rPr>
            </w:pPr>
            <w:r>
              <w:rPr>
                <w:rFonts w:hint="eastAsia" w:cs="Arial"/>
                <w:b/>
                <w:bCs/>
                <w:color w:val="000000"/>
                <w:sz w:val="20"/>
                <w:szCs w:val="20"/>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0"/>
                <w:szCs w:val="20"/>
                <w:highlight w:val="none"/>
              </w:rPr>
            </w:pPr>
            <w:r>
              <w:rPr>
                <w:rFonts w:hint="eastAsia" w:cs="Arial"/>
                <w:color w:val="000000"/>
                <w:sz w:val="20"/>
                <w:szCs w:val="20"/>
                <w:highlight w:val="none"/>
              </w:rPr>
              <w:t>24</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0"/>
                <w:szCs w:val="20"/>
                <w:highlight w:val="none"/>
              </w:rPr>
            </w:pPr>
            <w:r>
              <w:rPr>
                <w:rFonts w:hint="eastAsia" w:cs="Arial"/>
                <w:color w:val="000000"/>
                <w:sz w:val="20"/>
                <w:szCs w:val="20"/>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二十四、债务还本支出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55</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highlight w:val="none"/>
              </w:rPr>
            </w:pPr>
            <w:r>
              <w:rPr>
                <w:rFonts w:hint="eastAsia" w:cs="Arial"/>
                <w:color w:val="000000"/>
                <w:sz w:val="20"/>
                <w:szCs w:val="20"/>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0"/>
                <w:szCs w:val="20"/>
                <w:highlight w:val="none"/>
              </w:rPr>
            </w:pPr>
            <w:r>
              <w:rPr>
                <w:rFonts w:hint="eastAsia" w:cs="Arial"/>
                <w:color w:val="000000"/>
                <w:sz w:val="20"/>
                <w:szCs w:val="20"/>
                <w:highlight w:val="none"/>
              </w:rPr>
              <w:t>25</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0"/>
                <w:szCs w:val="20"/>
                <w:highlight w:val="none"/>
              </w:rPr>
            </w:pPr>
            <w:r>
              <w:rPr>
                <w:rFonts w:hint="eastAsia" w:cs="Arial"/>
                <w:color w:val="000000"/>
                <w:sz w:val="20"/>
                <w:szCs w:val="20"/>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二十五、债务付息支出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56</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highlight w:val="none"/>
              </w:rPr>
            </w:pPr>
            <w:r>
              <w:rPr>
                <w:rFonts w:hint="eastAsia" w:cs="Arial"/>
                <w:color w:val="000000"/>
                <w:sz w:val="20"/>
                <w:szCs w:val="20"/>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0"/>
                <w:szCs w:val="20"/>
                <w:highlight w:val="none"/>
              </w:rPr>
            </w:pPr>
            <w:r>
              <w:rPr>
                <w:rFonts w:hint="eastAsia" w:cs="Arial"/>
                <w:color w:val="000000"/>
                <w:sz w:val="20"/>
                <w:szCs w:val="20"/>
                <w:highlight w:val="none"/>
              </w:rPr>
              <w:t>26</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0"/>
                <w:szCs w:val="20"/>
                <w:highlight w:val="none"/>
              </w:rPr>
            </w:pPr>
            <w:r>
              <w:rPr>
                <w:rFonts w:hint="eastAsia" w:cs="Arial"/>
                <w:color w:val="000000"/>
                <w:sz w:val="20"/>
                <w:szCs w:val="20"/>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二十六、抗疫特别国债安排的支出</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57</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本年收入合计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27</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167.48</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本年支出合计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58</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185.34</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使用非财政拨款结余</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28</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结余分配</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59</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年初结转和结余</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29</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18.20</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年末结转和结余</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60</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0.33</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30</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719" w:type="dxa"/>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61</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30" w:type="dxa"/>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总计</w:t>
            </w:r>
          </w:p>
        </w:tc>
        <w:tc>
          <w:tcPr>
            <w:tcW w:w="676" w:type="dxa"/>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31</w:t>
            </w:r>
          </w:p>
        </w:tc>
        <w:tc>
          <w:tcPr>
            <w:tcW w:w="987"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185.68</w:t>
            </w:r>
          </w:p>
        </w:tc>
        <w:tc>
          <w:tcPr>
            <w:tcW w:w="4719"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总计</w:t>
            </w:r>
          </w:p>
        </w:tc>
        <w:tc>
          <w:tcPr>
            <w:tcW w:w="676"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62</w:t>
            </w:r>
          </w:p>
        </w:tc>
        <w:tc>
          <w:tcPr>
            <w:tcW w:w="2033"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185.68</w:t>
            </w:r>
          </w:p>
        </w:tc>
      </w:tr>
      <w:tr>
        <w:tblPrEx>
          <w:tblCellMar>
            <w:top w:w="0" w:type="dxa"/>
            <w:left w:w="108" w:type="dxa"/>
            <w:bottom w:w="0" w:type="dxa"/>
            <w:right w:w="108" w:type="dxa"/>
          </w:tblCellMar>
        </w:tblPrEx>
        <w:trPr>
          <w:trHeight w:val="308" w:hRule="atLeast"/>
        </w:trPr>
        <w:tc>
          <w:tcPr>
            <w:tcW w:w="14121" w:type="dxa"/>
            <w:gridSpan w:val="7"/>
            <w:tcBorders>
              <w:top w:val="nil"/>
              <w:left w:val="nil"/>
              <w:bottom w:val="nil"/>
              <w:right w:val="nil"/>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注：本表反映部门本年度的总收支和年末结转结余情况。本表金额转换为万元时，因四舍五入可能存在尾差。</w:t>
            </w:r>
          </w:p>
        </w:tc>
      </w:tr>
      <w:tr>
        <w:tblPrEx>
          <w:tblCellMar>
            <w:top w:w="0" w:type="dxa"/>
            <w:left w:w="0" w:type="dxa"/>
            <w:bottom w:w="0" w:type="dxa"/>
            <w:right w:w="0" w:type="dxa"/>
          </w:tblCellMar>
        </w:tblPrEx>
        <w:trPr>
          <w:gridAfter w:val="1"/>
          <w:wAfter w:w="133" w:type="dxa"/>
          <w:trHeight w:val="165"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89" w:type="dxa"/>
        <w:tblLayout w:type="autofit"/>
        <w:tblCellMar>
          <w:top w:w="0" w:type="dxa"/>
          <w:left w:w="108" w:type="dxa"/>
          <w:bottom w:w="0" w:type="dxa"/>
          <w:right w:w="108" w:type="dxa"/>
        </w:tblCellMar>
      </w:tblPr>
      <w:tblGrid>
        <w:gridCol w:w="543"/>
        <w:gridCol w:w="543"/>
        <w:gridCol w:w="543"/>
        <w:gridCol w:w="3956"/>
        <w:gridCol w:w="1285"/>
        <w:gridCol w:w="1285"/>
        <w:gridCol w:w="1150"/>
        <w:gridCol w:w="864"/>
        <w:gridCol w:w="864"/>
        <w:gridCol w:w="1435"/>
        <w:gridCol w:w="1617"/>
      </w:tblGrid>
      <w:tr>
        <w:tblPrEx>
          <w:tblCellMar>
            <w:top w:w="0" w:type="dxa"/>
            <w:left w:w="108" w:type="dxa"/>
            <w:bottom w:w="0" w:type="dxa"/>
            <w:right w:w="108" w:type="dxa"/>
          </w:tblCellMar>
        </w:tblPrEx>
        <w:trPr>
          <w:trHeight w:val="390" w:hRule="atLeast"/>
        </w:trPr>
        <w:tc>
          <w:tcPr>
            <w:tcW w:w="0" w:type="auto"/>
            <w:gridSpan w:val="11"/>
            <w:tcBorders>
              <w:top w:val="nil"/>
              <w:left w:val="nil"/>
              <w:bottom w:val="nil"/>
              <w:right w:val="nil"/>
            </w:tcBorders>
            <w:shd w:val="clear" w:color="000000" w:fill="FFFFFF"/>
            <w:noWrap/>
            <w:vAlign w:val="bottom"/>
          </w:tcPr>
          <w:p>
            <w:pPr>
              <w:jc w:val="center"/>
              <w:rPr>
                <w:rFonts w:ascii="宋体" w:hAnsi="宋体" w:cs="Arial"/>
                <w:color w:val="000000"/>
                <w:sz w:val="30"/>
                <w:szCs w:val="30"/>
                <w:highlight w:val="none"/>
              </w:rPr>
            </w:pPr>
            <w:r>
              <w:rPr>
                <w:rFonts w:hint="eastAsia" w:cs="Arial"/>
                <w:color w:val="000000"/>
                <w:sz w:val="30"/>
                <w:szCs w:val="30"/>
                <w:highlight w:val="none"/>
              </w:rPr>
              <w:t>收入决算表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公开02表</w:t>
            </w:r>
          </w:p>
        </w:tc>
      </w:tr>
      <w:tr>
        <w:tblPrEx>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shd w:val="clear" w:color="000000" w:fill="FFFFFF"/>
            <w:noWrap/>
            <w:vAlign w:val="bottom"/>
          </w:tcPr>
          <w:p>
            <w:pPr>
              <w:rPr>
                <w:rFonts w:ascii="宋体" w:hAnsi="宋体" w:cs="Arial"/>
                <w:color w:val="000000"/>
                <w:sz w:val="20"/>
                <w:szCs w:val="20"/>
                <w:highlight w:val="none"/>
              </w:rPr>
            </w:pPr>
            <w:r>
              <w:rPr>
                <w:rFonts w:hint="eastAsia" w:cs="Arial"/>
                <w:color w:val="000000"/>
                <w:sz w:val="20"/>
                <w:szCs w:val="20"/>
                <w:highlight w:val="none"/>
              </w:rPr>
              <w:t>部门：许昌市电化教育馆</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0" w:type="auto"/>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项目</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本年收入合计</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财政拨款收入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上级补助收入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事业收入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经营收入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附属单位上缴收入</w:t>
            </w:r>
          </w:p>
        </w:tc>
        <w:tc>
          <w:tcPr>
            <w:tcW w:w="0" w:type="auto"/>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其他收入</w:t>
            </w:r>
          </w:p>
        </w:tc>
      </w:tr>
      <w:tr>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功能分类科目编码</w:t>
            </w:r>
          </w:p>
        </w:tc>
        <w:tc>
          <w:tcPr>
            <w:tcW w:w="0" w:type="auto"/>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科目名称</w:t>
            </w: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0" w:type="auto"/>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栏次</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1</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2</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3</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4</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5</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6</w:t>
            </w:r>
          </w:p>
        </w:tc>
        <w:tc>
          <w:tcPr>
            <w:tcW w:w="0" w:type="auto"/>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7</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合计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167.48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167.48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一般公共服务支出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20129</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群众团体事务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2012906</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工会事务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教育支出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教育管理事务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2050199</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其他教育管理事务支出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127.96</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社会保障和就业支出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行政事业单位养老支出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33.59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2080502</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事业单位离退休</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23.81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23.81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2080505</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机关事业单位基本养老保险缴费支出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9.78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9.78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卫生健康支出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行政事业单位医疗</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2101101</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行政单位医疗</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0.50</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0.50</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2101102</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事业单位医疗</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4.11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4.11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2101103</w:t>
            </w:r>
          </w:p>
        </w:tc>
        <w:tc>
          <w:tcPr>
            <w:tcW w:w="0" w:type="auto"/>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公务员医疗补助</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0.48</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0" w:type="auto"/>
            <w:gridSpan w:val="11"/>
            <w:tcBorders>
              <w:top w:val="nil"/>
              <w:left w:val="nil"/>
              <w:bottom w:val="nil"/>
              <w:right w:val="nil"/>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jc w:val="cente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30"/>
        <w:gridCol w:w="330"/>
        <w:gridCol w:w="326"/>
        <w:gridCol w:w="3956"/>
        <w:gridCol w:w="1505"/>
        <w:gridCol w:w="1505"/>
        <w:gridCol w:w="1505"/>
        <w:gridCol w:w="1511"/>
        <w:gridCol w:w="1582"/>
        <w:gridCol w:w="1624"/>
      </w:tblGrid>
      <w:tr>
        <w:tblPrEx>
          <w:tblCellMar>
            <w:top w:w="0" w:type="dxa"/>
            <w:left w:w="108" w:type="dxa"/>
            <w:bottom w:w="0" w:type="dxa"/>
            <w:right w:w="108" w:type="dxa"/>
          </w:tblCellMar>
        </w:tblPrEx>
        <w:trPr>
          <w:trHeight w:val="702" w:hRule="atLeast"/>
        </w:trPr>
        <w:tc>
          <w:tcPr>
            <w:tcW w:w="5000" w:type="pct"/>
            <w:gridSpan w:val="10"/>
            <w:tcBorders>
              <w:top w:val="nil"/>
              <w:left w:val="nil"/>
              <w:bottom w:val="nil"/>
              <w:right w:val="nil"/>
            </w:tcBorders>
            <w:shd w:val="clear" w:color="000000" w:fill="FFFFFF"/>
            <w:noWrap/>
            <w:vAlign w:val="bottom"/>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支出决算表</w:t>
            </w:r>
          </w:p>
        </w:tc>
      </w:tr>
      <w:tr>
        <w:tblPrEx>
          <w:tblCellMar>
            <w:top w:w="0" w:type="dxa"/>
            <w:left w:w="108" w:type="dxa"/>
            <w:bottom w:w="0" w:type="dxa"/>
            <w:right w:w="108" w:type="dxa"/>
          </w:tblCellMar>
        </w:tblPrEx>
        <w:trPr>
          <w:trHeight w:val="255" w:hRule="atLeast"/>
        </w:trPr>
        <w:tc>
          <w:tcPr>
            <w:tcW w:w="116"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16"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15" w:type="pct"/>
            <w:tcBorders>
              <w:top w:val="nil"/>
              <w:left w:val="nil"/>
              <w:bottom w:val="nil"/>
              <w:right w:val="nil"/>
            </w:tcBorders>
            <w:shd w:val="clear" w:color="000000" w:fill="FFFFFF"/>
            <w:noWrap/>
            <w:vAlign w:val="bottom"/>
          </w:tcPr>
          <w:p>
            <w:pPr>
              <w:jc w:val="center"/>
              <w:rPr>
                <w:rFonts w:hint="eastAsia" w:ascii="Times New Roman" w:hAnsi="Times New Roman" w:cs="Arial"/>
                <w:color w:val="000000"/>
                <w:sz w:val="30"/>
                <w:szCs w:val="30"/>
                <w:highlight w:val="none"/>
              </w:rPr>
            </w:pPr>
            <w:r>
              <w:rPr>
                <w:rFonts w:hint="eastAsia" w:ascii="Times New Roman" w:hAnsi="Times New Roman" w:cs="Arial"/>
                <w:color w:val="000000"/>
                <w:sz w:val="30"/>
                <w:szCs w:val="30"/>
                <w:highlight w:val="none"/>
              </w:rPr>
              <w:t>　</w:t>
            </w:r>
          </w:p>
        </w:tc>
        <w:tc>
          <w:tcPr>
            <w:tcW w:w="1395" w:type="pct"/>
            <w:tcBorders>
              <w:top w:val="nil"/>
              <w:left w:val="nil"/>
              <w:bottom w:val="nil"/>
              <w:right w:val="nil"/>
            </w:tcBorders>
            <w:shd w:val="clear" w:color="000000" w:fill="FFFFFF"/>
            <w:noWrap/>
            <w:vAlign w:val="bottom"/>
          </w:tcPr>
          <w:p>
            <w:pPr>
              <w:jc w:val="center"/>
              <w:rPr>
                <w:rFonts w:hint="eastAsia" w:ascii="Times New Roman" w:hAnsi="Times New Roman" w:cs="Arial"/>
                <w:color w:val="000000"/>
                <w:sz w:val="30"/>
                <w:szCs w:val="30"/>
                <w:highlight w:val="none"/>
              </w:rPr>
            </w:pP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33"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58"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70" w:type="pct"/>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公开03表</w:t>
            </w:r>
          </w:p>
        </w:tc>
      </w:tr>
      <w:tr>
        <w:tblPrEx>
          <w:tblCellMar>
            <w:top w:w="0" w:type="dxa"/>
            <w:left w:w="108" w:type="dxa"/>
            <w:bottom w:w="0" w:type="dxa"/>
            <w:right w:w="108" w:type="dxa"/>
          </w:tblCellMar>
        </w:tblPrEx>
        <w:trPr>
          <w:trHeight w:val="255" w:hRule="atLeast"/>
        </w:trPr>
        <w:tc>
          <w:tcPr>
            <w:tcW w:w="1743" w:type="pct"/>
            <w:gridSpan w:val="4"/>
            <w:tcBorders>
              <w:top w:val="nil"/>
              <w:left w:val="nil"/>
              <w:bottom w:val="nil"/>
              <w:right w:val="nil"/>
            </w:tcBorders>
            <w:shd w:val="clear" w:color="000000" w:fill="FFFFFF"/>
            <w:noWrap/>
            <w:vAlign w:val="bottom"/>
          </w:tcPr>
          <w:p>
            <w:pPr>
              <w:rPr>
                <w:rFonts w:ascii="宋体" w:hAnsi="宋体" w:cs="Arial"/>
                <w:color w:val="000000"/>
                <w:sz w:val="20"/>
                <w:szCs w:val="20"/>
                <w:highlight w:val="none"/>
              </w:rPr>
            </w:pPr>
            <w:r>
              <w:rPr>
                <w:rFonts w:hint="eastAsia" w:cs="Arial"/>
                <w:color w:val="000000"/>
                <w:sz w:val="20"/>
                <w:szCs w:val="20"/>
                <w:highlight w:val="none"/>
              </w:rPr>
              <w:t>部门：许昌市电化教育馆</w:t>
            </w: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3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33"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58"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70" w:type="pct"/>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金额单位：万元</w:t>
            </w:r>
          </w:p>
        </w:tc>
      </w:tr>
      <w:tr>
        <w:tblPrEx>
          <w:tblCellMar>
            <w:top w:w="0" w:type="dxa"/>
            <w:left w:w="108" w:type="dxa"/>
            <w:bottom w:w="0" w:type="dxa"/>
            <w:right w:w="108" w:type="dxa"/>
          </w:tblCellMar>
        </w:tblPrEx>
        <w:trPr>
          <w:trHeight w:val="308" w:hRule="atLeast"/>
        </w:trPr>
        <w:tc>
          <w:tcPr>
            <w:tcW w:w="1743" w:type="pct"/>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项目</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本年支出合计</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基本支出</w:t>
            </w:r>
          </w:p>
        </w:tc>
        <w:tc>
          <w:tcPr>
            <w:tcW w:w="531"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项目支出</w:t>
            </w:r>
          </w:p>
        </w:tc>
        <w:tc>
          <w:tcPr>
            <w:tcW w:w="533"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上缴上级支出</w:t>
            </w:r>
          </w:p>
        </w:tc>
        <w:tc>
          <w:tcPr>
            <w:tcW w:w="558"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经营支出</w:t>
            </w:r>
          </w:p>
        </w:tc>
        <w:tc>
          <w:tcPr>
            <w:tcW w:w="570" w:type="pct"/>
            <w:vMerge w:val="restart"/>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对附属单位补助支出</w:t>
            </w:r>
          </w:p>
        </w:tc>
      </w:tr>
      <w:tr>
        <w:tblPrEx>
          <w:tblCellMar>
            <w:top w:w="0" w:type="dxa"/>
            <w:left w:w="108" w:type="dxa"/>
            <w:bottom w:w="0" w:type="dxa"/>
            <w:right w:w="108" w:type="dxa"/>
          </w:tblCellMar>
        </w:tblPrEx>
        <w:trPr>
          <w:trHeight w:val="312" w:hRule="atLeast"/>
        </w:trPr>
        <w:tc>
          <w:tcPr>
            <w:tcW w:w="347" w:type="pct"/>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功能分类科目编码</w:t>
            </w:r>
          </w:p>
        </w:tc>
        <w:tc>
          <w:tcPr>
            <w:tcW w:w="1395"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科目名称</w:t>
            </w: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58"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12" w:hRule="atLeast"/>
        </w:trPr>
        <w:tc>
          <w:tcPr>
            <w:tcW w:w="347"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1395"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58"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12" w:hRule="atLeast"/>
        </w:trPr>
        <w:tc>
          <w:tcPr>
            <w:tcW w:w="347" w:type="pct"/>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1395"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1"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33"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58"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70" w:type="pct"/>
            <w:vMerge w:val="continue"/>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08" w:hRule="atLeast"/>
        </w:trPr>
        <w:tc>
          <w:tcPr>
            <w:tcW w:w="1743"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栏次</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1</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2</w:t>
            </w:r>
          </w:p>
        </w:tc>
        <w:tc>
          <w:tcPr>
            <w:tcW w:w="531"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3</w:t>
            </w:r>
          </w:p>
        </w:tc>
        <w:tc>
          <w:tcPr>
            <w:tcW w:w="533"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4</w:t>
            </w:r>
          </w:p>
        </w:tc>
        <w:tc>
          <w:tcPr>
            <w:tcW w:w="558"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5</w:t>
            </w:r>
          </w:p>
        </w:tc>
        <w:tc>
          <w:tcPr>
            <w:tcW w:w="570" w:type="pc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6</w:t>
            </w:r>
          </w:p>
        </w:tc>
      </w:tr>
      <w:tr>
        <w:tblPrEx>
          <w:tblCellMar>
            <w:top w:w="0" w:type="dxa"/>
            <w:left w:w="108" w:type="dxa"/>
            <w:bottom w:w="0" w:type="dxa"/>
            <w:right w:w="108" w:type="dxa"/>
          </w:tblCellMar>
        </w:tblPrEx>
        <w:trPr>
          <w:trHeight w:val="308" w:hRule="atLeast"/>
        </w:trPr>
        <w:tc>
          <w:tcPr>
            <w:tcW w:w="1743" w:type="pct"/>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合计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185.34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182.78</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一般公共服务支出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20129</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群众团体事务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2012906</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工会事务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教育支出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141.30</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教育管理事务</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2050199</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其他教育管理事务支出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20502</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普通教育</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2050299</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其他普通教育支出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社会保障和就业支出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行政事业单位养老支出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2080502</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事业单位离退休</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26.59</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26.59</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2080505</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机关事业单位基本养老保险缴费支出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10.87</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10.87</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卫生健康支出</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行政事业单位医疗</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2101101</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行政单位医疗</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0.70</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0.70</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2101102</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事业单位医疗</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4.52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4.52</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347" w:type="pct"/>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2101103</w:t>
            </w:r>
          </w:p>
        </w:tc>
        <w:tc>
          <w:tcPr>
            <w:tcW w:w="1395" w:type="pct"/>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公务员医疗补助</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0.53</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0.53</w:t>
            </w:r>
          </w:p>
        </w:tc>
        <w:tc>
          <w:tcPr>
            <w:tcW w:w="53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3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58"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57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autofit"/>
        <w:tblCellMar>
          <w:top w:w="0" w:type="dxa"/>
          <w:left w:w="108" w:type="dxa"/>
          <w:bottom w:w="0" w:type="dxa"/>
          <w:right w:w="108" w:type="dxa"/>
        </w:tblCellMar>
      </w:tblPr>
      <w:tblGrid>
        <w:gridCol w:w="3537"/>
        <w:gridCol w:w="437"/>
        <w:gridCol w:w="1239"/>
        <w:gridCol w:w="3745"/>
        <w:gridCol w:w="437"/>
        <w:gridCol w:w="822"/>
        <w:gridCol w:w="1219"/>
        <w:gridCol w:w="1006"/>
        <w:gridCol w:w="1732"/>
      </w:tblGrid>
      <w:tr>
        <w:tblPrEx>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000000" w:fill="FFFFFF"/>
            <w:noWrap/>
            <w:vAlign w:val="bottom"/>
          </w:tcPr>
          <w:p>
            <w:pPr>
              <w:jc w:val="center"/>
              <w:rPr>
                <w:rFonts w:ascii="宋体" w:hAnsi="宋体" w:cs="Arial"/>
                <w:color w:val="000000"/>
                <w:sz w:val="30"/>
                <w:szCs w:val="30"/>
                <w:highlight w:val="none"/>
              </w:rPr>
            </w:pPr>
            <w:r>
              <w:rPr>
                <w:rFonts w:hint="eastAsia" w:cs="Arial"/>
                <w:color w:val="00000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1248"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437"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32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90"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430"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355"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611" w:type="pct"/>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公开04表</w:t>
            </w:r>
          </w:p>
        </w:tc>
      </w:tr>
      <w:tr>
        <w:tblPrEx>
          <w:tblCellMar>
            <w:top w:w="0" w:type="dxa"/>
            <w:left w:w="108" w:type="dxa"/>
            <w:bottom w:w="0" w:type="dxa"/>
            <w:right w:w="108" w:type="dxa"/>
          </w:tblCellMar>
        </w:tblPrEx>
        <w:trPr>
          <w:trHeight w:val="255" w:hRule="atLeast"/>
        </w:trPr>
        <w:tc>
          <w:tcPr>
            <w:tcW w:w="1248" w:type="pct"/>
            <w:tcBorders>
              <w:top w:val="nil"/>
              <w:left w:val="nil"/>
              <w:bottom w:val="nil"/>
              <w:right w:val="nil"/>
            </w:tcBorders>
            <w:shd w:val="clear" w:color="000000" w:fill="FFFFFF"/>
            <w:noWrap/>
            <w:vAlign w:val="bottom"/>
          </w:tcPr>
          <w:p>
            <w:pPr>
              <w:rPr>
                <w:rFonts w:ascii="宋体" w:hAnsi="宋体" w:cs="Arial"/>
                <w:color w:val="000000"/>
                <w:sz w:val="20"/>
                <w:szCs w:val="20"/>
                <w:highlight w:val="none"/>
              </w:rPr>
            </w:pPr>
            <w:r>
              <w:rPr>
                <w:rFonts w:hint="eastAsia" w:cs="Arial"/>
                <w:color w:val="000000"/>
                <w:sz w:val="20"/>
                <w:szCs w:val="20"/>
                <w:highlight w:val="none"/>
              </w:rPr>
              <w:t>部门：许昌市电化教育馆</w:t>
            </w:r>
          </w:p>
        </w:tc>
        <w:tc>
          <w:tcPr>
            <w:tcW w:w="154"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437"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321"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54"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90"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430"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355"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611" w:type="pct"/>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金额单位：万元</w:t>
            </w:r>
          </w:p>
        </w:tc>
      </w:tr>
      <w:tr>
        <w:tblPrEx>
          <w:tblCellMar>
            <w:top w:w="0" w:type="dxa"/>
            <w:left w:w="108" w:type="dxa"/>
            <w:bottom w:w="0" w:type="dxa"/>
            <w:right w:w="108" w:type="dxa"/>
          </w:tblCellMar>
        </w:tblPrEx>
        <w:trPr>
          <w:trHeight w:val="308" w:hRule="atLeast"/>
        </w:trPr>
        <w:tc>
          <w:tcPr>
            <w:tcW w:w="1839" w:type="pct"/>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收     入</w:t>
            </w:r>
          </w:p>
        </w:tc>
        <w:tc>
          <w:tcPr>
            <w:tcW w:w="3161" w:type="pct"/>
            <w:gridSpan w:val="6"/>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支     出</w:t>
            </w:r>
          </w:p>
        </w:tc>
      </w:tr>
      <w:tr>
        <w:tblPrEx>
          <w:tblCellMar>
            <w:top w:w="0" w:type="dxa"/>
            <w:left w:w="108" w:type="dxa"/>
            <w:bottom w:w="0" w:type="dxa"/>
            <w:right w:w="108" w:type="dxa"/>
          </w:tblCellMar>
        </w:tblPrEx>
        <w:trPr>
          <w:trHeight w:val="312" w:hRule="atLeast"/>
        </w:trPr>
        <w:tc>
          <w:tcPr>
            <w:tcW w:w="1248" w:type="pct"/>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项目</w:t>
            </w:r>
          </w:p>
        </w:tc>
        <w:tc>
          <w:tcPr>
            <w:tcW w:w="15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行次</w:t>
            </w:r>
          </w:p>
        </w:tc>
        <w:tc>
          <w:tcPr>
            <w:tcW w:w="437"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金额</w:t>
            </w:r>
          </w:p>
        </w:tc>
        <w:tc>
          <w:tcPr>
            <w:tcW w:w="132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项目</w:t>
            </w:r>
          </w:p>
        </w:tc>
        <w:tc>
          <w:tcPr>
            <w:tcW w:w="15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行次</w:t>
            </w:r>
          </w:p>
        </w:tc>
        <w:tc>
          <w:tcPr>
            <w:tcW w:w="290" w:type="pct"/>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合计</w:t>
            </w:r>
          </w:p>
        </w:tc>
        <w:tc>
          <w:tcPr>
            <w:tcW w:w="430"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一般公共预算财政拨款</w:t>
            </w:r>
          </w:p>
        </w:tc>
        <w:tc>
          <w:tcPr>
            <w:tcW w:w="355"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政府性基金预算财政拨款</w:t>
            </w:r>
          </w:p>
        </w:tc>
        <w:tc>
          <w:tcPr>
            <w:tcW w:w="611"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1248" w:type="pct"/>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154"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437"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1321"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154"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90"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430"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355"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611"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栏次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　</w:t>
            </w:r>
          </w:p>
        </w:tc>
        <w:tc>
          <w:tcPr>
            <w:tcW w:w="437"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w:t>
            </w:r>
          </w:p>
        </w:tc>
        <w:tc>
          <w:tcPr>
            <w:tcW w:w="132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栏次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　</w:t>
            </w:r>
          </w:p>
        </w:tc>
        <w:tc>
          <w:tcPr>
            <w:tcW w:w="290"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w:t>
            </w:r>
          </w:p>
        </w:tc>
        <w:tc>
          <w:tcPr>
            <w:tcW w:w="430"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w:t>
            </w:r>
          </w:p>
        </w:tc>
        <w:tc>
          <w:tcPr>
            <w:tcW w:w="355"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w:t>
            </w:r>
          </w:p>
        </w:tc>
        <w:tc>
          <w:tcPr>
            <w:tcW w:w="61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一、一般公共预算财政拨款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167.48</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一、一般公共服务支出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二、政府性基金预算财政拨款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二、外交支出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三、国有资本经营财政拨款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三、国防支出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四、公共安全支出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五、教育支出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141.30</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141.30</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六、科学技术支出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7</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七、文化旅游体育与传媒支出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8</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八、社会保障和就业支出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9</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九、卫生健康支出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10</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十、节能环保支出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十一、城乡社区支出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十二、农林水支出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13</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十三、交通运输支出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14</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十四、资源勘探工业信息等支出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15</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十五、商业服务业等支出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16</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十六、金融支出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17</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十七、援助其他地区支出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49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18</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十八、自然资源海洋气象等支出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19</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十九、住房保障支出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20</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二十、粮油物资储备支出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二十一、国有资本经营预算支出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二十二、灾害防治及应急管理支出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23</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二十三、其他支出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55</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0"/>
                <w:szCs w:val="20"/>
                <w:highlight w:val="none"/>
              </w:rPr>
            </w:pPr>
            <w:r>
              <w:rPr>
                <w:rFonts w:hint="eastAsia" w:cs="Arial"/>
                <w:b/>
                <w:bCs/>
                <w:color w:val="000000"/>
                <w:sz w:val="20"/>
                <w:szCs w:val="20"/>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24</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二十四、债务还本支出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56</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highlight w:val="none"/>
              </w:rPr>
            </w:pPr>
            <w:r>
              <w:rPr>
                <w:rFonts w:hint="eastAsia" w:cs="Arial"/>
                <w:color w:val="000000"/>
                <w:sz w:val="20"/>
                <w:szCs w:val="20"/>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25</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二十五、债务付息支出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57</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0"/>
                <w:szCs w:val="20"/>
                <w:highlight w:val="none"/>
              </w:rPr>
            </w:pPr>
            <w:r>
              <w:rPr>
                <w:rFonts w:hint="eastAsia" w:cs="Arial"/>
                <w:color w:val="000000"/>
                <w:sz w:val="20"/>
                <w:szCs w:val="20"/>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26</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二十六、抗疫特别国债安排的支出</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58</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本年收入合计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27</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167.48</w:t>
            </w:r>
          </w:p>
        </w:tc>
        <w:tc>
          <w:tcPr>
            <w:tcW w:w="132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本年支出合计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59</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185.34</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185.34</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年初财政拨款结转和结余</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28</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17.87</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年末财政拨款结转和结余</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60</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一般公共预算财政拨款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29</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17.87</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61</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政府性基金预算财政拨款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30</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62</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国有资本经营预算财政拨款</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31</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1321"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63</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48" w:type="pct"/>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总计</w:t>
            </w:r>
          </w:p>
        </w:tc>
        <w:tc>
          <w:tcPr>
            <w:tcW w:w="154" w:type="pct"/>
            <w:tcBorders>
              <w:top w:val="nil"/>
              <w:left w:val="nil"/>
              <w:bottom w:val="single" w:color="000000" w:sz="8"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32</w:t>
            </w:r>
          </w:p>
        </w:tc>
        <w:tc>
          <w:tcPr>
            <w:tcW w:w="437"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185.34</w:t>
            </w:r>
          </w:p>
        </w:tc>
        <w:tc>
          <w:tcPr>
            <w:tcW w:w="1321"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b/>
                <w:bCs/>
                <w:color w:val="000000"/>
                <w:sz w:val="22"/>
                <w:highlight w:val="none"/>
              </w:rPr>
            </w:pPr>
            <w:r>
              <w:rPr>
                <w:rFonts w:hint="eastAsia" w:cs="Arial"/>
                <w:b/>
                <w:bCs/>
                <w:color w:val="000000"/>
                <w:sz w:val="22"/>
                <w:highlight w:val="none"/>
              </w:rPr>
              <w:t>总计</w:t>
            </w:r>
          </w:p>
        </w:tc>
        <w:tc>
          <w:tcPr>
            <w:tcW w:w="154" w:type="pc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64</w:t>
            </w:r>
          </w:p>
        </w:tc>
        <w:tc>
          <w:tcPr>
            <w:tcW w:w="29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185.34</w:t>
            </w:r>
          </w:p>
        </w:tc>
        <w:tc>
          <w:tcPr>
            <w:tcW w:w="430"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185.34</w:t>
            </w:r>
          </w:p>
        </w:tc>
        <w:tc>
          <w:tcPr>
            <w:tcW w:w="355"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611"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000000" w:fill="FFFFFF"/>
            <w:noWrap w:val="0"/>
            <w:vAlign w:val="center"/>
          </w:tcPr>
          <w:p>
            <w:pPr>
              <w:rPr>
                <w:rFonts w:ascii="宋体" w:hAnsi="宋体" w:cs="Arial"/>
                <w:color w:val="000000"/>
                <w:sz w:val="22"/>
                <w:highlight w:val="none"/>
              </w:rPr>
            </w:pPr>
            <w:r>
              <w:rPr>
                <w:rFonts w:hint="eastAsia" w:cs="Arial"/>
                <w:color w:val="000000"/>
                <w:sz w:val="22"/>
                <w:highlight w:val="none"/>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344" w:type="dxa"/>
        <w:tblInd w:w="89" w:type="dxa"/>
        <w:tblLayout w:type="autofit"/>
        <w:tblCellMar>
          <w:top w:w="0" w:type="dxa"/>
          <w:left w:w="108" w:type="dxa"/>
          <w:bottom w:w="0" w:type="dxa"/>
          <w:right w:w="108" w:type="dxa"/>
        </w:tblCellMar>
      </w:tblPr>
      <w:tblGrid>
        <w:gridCol w:w="396"/>
        <w:gridCol w:w="316"/>
        <w:gridCol w:w="274"/>
        <w:gridCol w:w="5053"/>
        <w:gridCol w:w="1984"/>
        <w:gridCol w:w="502"/>
        <w:gridCol w:w="1481"/>
        <w:gridCol w:w="929"/>
        <w:gridCol w:w="2410"/>
      </w:tblGrid>
      <w:tr>
        <w:tblPrEx>
          <w:tblCellMar>
            <w:top w:w="0" w:type="dxa"/>
            <w:left w:w="108" w:type="dxa"/>
            <w:bottom w:w="0" w:type="dxa"/>
            <w:right w:w="108" w:type="dxa"/>
          </w:tblCellMar>
        </w:tblPrEx>
        <w:trPr>
          <w:trHeight w:val="390" w:hRule="atLeast"/>
        </w:trPr>
        <w:tc>
          <w:tcPr>
            <w:tcW w:w="13344" w:type="dxa"/>
            <w:gridSpan w:val="9"/>
            <w:tcBorders>
              <w:top w:val="nil"/>
              <w:left w:val="nil"/>
              <w:bottom w:val="nil"/>
              <w:right w:val="nil"/>
            </w:tcBorders>
            <w:shd w:val="clear" w:color="000000" w:fill="FFFFFF"/>
            <w:noWrap/>
            <w:vAlign w:val="bottom"/>
          </w:tcPr>
          <w:p>
            <w:pPr>
              <w:jc w:val="center"/>
              <w:rPr>
                <w:rFonts w:ascii="宋体" w:hAnsi="宋体" w:cs="Arial"/>
                <w:color w:val="000000"/>
                <w:sz w:val="30"/>
                <w:szCs w:val="30"/>
                <w:highlight w:val="none"/>
              </w:rPr>
            </w:pPr>
            <w:r>
              <w:rPr>
                <w:rFonts w:hint="eastAsia" w:cs="Arial"/>
                <w:color w:val="000000"/>
                <w:sz w:val="30"/>
                <w:szCs w:val="30"/>
                <w:highlight w:val="none"/>
              </w:rPr>
              <w:t>一般公共预算财政拨款支出决算表</w:t>
            </w:r>
          </w:p>
        </w:tc>
      </w:tr>
      <w:tr>
        <w:tblPrEx>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316"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73"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5053"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984"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3339" w:type="dxa"/>
            <w:gridSpan w:val="2"/>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公开05表</w:t>
            </w:r>
          </w:p>
        </w:tc>
      </w:tr>
      <w:tr>
        <w:tblPrEx>
          <w:tblCellMar>
            <w:top w:w="0" w:type="dxa"/>
            <w:left w:w="108" w:type="dxa"/>
            <w:bottom w:w="0" w:type="dxa"/>
            <w:right w:w="108" w:type="dxa"/>
          </w:tblCellMar>
        </w:tblPrEx>
        <w:trPr>
          <w:trHeight w:val="255" w:hRule="atLeast"/>
        </w:trPr>
        <w:tc>
          <w:tcPr>
            <w:tcW w:w="6038" w:type="dxa"/>
            <w:gridSpan w:val="4"/>
            <w:tcBorders>
              <w:top w:val="nil"/>
              <w:left w:val="nil"/>
              <w:bottom w:val="nil"/>
              <w:right w:val="nil"/>
            </w:tcBorders>
            <w:shd w:val="clear" w:color="000000" w:fill="FFFFFF"/>
            <w:noWrap/>
            <w:vAlign w:val="bottom"/>
          </w:tcPr>
          <w:p>
            <w:pPr>
              <w:rPr>
                <w:rFonts w:ascii="宋体" w:hAnsi="宋体" w:cs="Arial"/>
                <w:color w:val="000000"/>
                <w:sz w:val="20"/>
                <w:szCs w:val="20"/>
                <w:highlight w:val="none"/>
              </w:rPr>
            </w:pPr>
            <w:r>
              <w:rPr>
                <w:rFonts w:hint="eastAsia" w:cs="Arial"/>
                <w:color w:val="000000"/>
                <w:sz w:val="20"/>
                <w:szCs w:val="20"/>
                <w:highlight w:val="none"/>
              </w:rPr>
              <w:t>部门：许昌市电化教育馆</w:t>
            </w:r>
          </w:p>
        </w:tc>
        <w:tc>
          <w:tcPr>
            <w:tcW w:w="1984" w:type="dxa"/>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983" w:type="dxa"/>
            <w:gridSpan w:val="2"/>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3339" w:type="dxa"/>
            <w:gridSpan w:val="2"/>
            <w:tcBorders>
              <w:top w:val="nil"/>
              <w:left w:val="nil"/>
              <w:bottom w:val="nil"/>
              <w:right w:val="nil"/>
            </w:tcBorders>
            <w:shd w:val="clear" w:color="000000" w:fill="FFFFFF"/>
            <w:noWrap/>
            <w:vAlign w:val="bottom"/>
          </w:tcPr>
          <w:p>
            <w:pPr>
              <w:jc w:val="right"/>
              <w:rPr>
                <w:rFonts w:ascii="宋体" w:hAnsi="宋体" w:cs="Arial"/>
                <w:color w:val="000000"/>
                <w:sz w:val="20"/>
                <w:szCs w:val="20"/>
                <w:highlight w:val="none"/>
              </w:rPr>
            </w:pPr>
            <w:r>
              <w:rPr>
                <w:rFonts w:hint="eastAsia" w:cs="Arial"/>
                <w:color w:val="000000"/>
                <w:sz w:val="20"/>
                <w:szCs w:val="20"/>
                <w:highlight w:val="none"/>
              </w:rPr>
              <w:t>金额单位：万元</w:t>
            </w:r>
          </w:p>
        </w:tc>
      </w:tr>
      <w:tr>
        <w:tblPrEx>
          <w:tblCellMar>
            <w:top w:w="0" w:type="dxa"/>
            <w:left w:w="108" w:type="dxa"/>
            <w:bottom w:w="0" w:type="dxa"/>
            <w:right w:w="108" w:type="dxa"/>
          </w:tblCellMar>
        </w:tblPrEx>
        <w:trPr>
          <w:trHeight w:val="308" w:hRule="atLeast"/>
        </w:trPr>
        <w:tc>
          <w:tcPr>
            <w:tcW w:w="6038"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项目</w:t>
            </w:r>
          </w:p>
        </w:tc>
        <w:tc>
          <w:tcPr>
            <w:tcW w:w="7306" w:type="dxa"/>
            <w:gridSpan w:val="5"/>
            <w:tcBorders>
              <w:top w:val="single" w:color="000000" w:sz="4" w:space="0"/>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本年支出</w:t>
            </w:r>
          </w:p>
        </w:tc>
      </w:tr>
      <w:tr>
        <w:tblPrEx>
          <w:tblCellMar>
            <w:top w:w="0" w:type="dxa"/>
            <w:left w:w="108" w:type="dxa"/>
            <w:bottom w:w="0" w:type="dxa"/>
            <w:right w:w="108" w:type="dxa"/>
          </w:tblCellMar>
        </w:tblPrEx>
        <w:trPr>
          <w:trHeight w:val="312" w:hRule="atLeast"/>
        </w:trPr>
        <w:tc>
          <w:tcPr>
            <w:tcW w:w="985" w:type="dxa"/>
            <w:gridSpan w:val="3"/>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功能分类科目编码</w:t>
            </w:r>
          </w:p>
        </w:tc>
        <w:tc>
          <w:tcPr>
            <w:tcW w:w="5053" w:type="dxa"/>
            <w:vMerge w:val="restart"/>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科目名称</w:t>
            </w:r>
          </w:p>
        </w:tc>
        <w:tc>
          <w:tcPr>
            <w:tcW w:w="2486"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小计</w:t>
            </w:r>
          </w:p>
        </w:tc>
        <w:tc>
          <w:tcPr>
            <w:tcW w:w="2410" w:type="dxa"/>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基本支出</w:t>
            </w:r>
          </w:p>
        </w:tc>
        <w:tc>
          <w:tcPr>
            <w:tcW w:w="2410" w:type="dxa"/>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项目支出</w:t>
            </w:r>
          </w:p>
        </w:tc>
      </w:tr>
      <w:tr>
        <w:tblPrEx>
          <w:tblCellMar>
            <w:top w:w="0" w:type="dxa"/>
            <w:left w:w="108" w:type="dxa"/>
            <w:bottom w:w="0" w:type="dxa"/>
            <w:right w:w="108" w:type="dxa"/>
          </w:tblCellMar>
        </w:tblPrEx>
        <w:trPr>
          <w:trHeight w:val="312" w:hRule="atLeast"/>
        </w:trPr>
        <w:tc>
          <w:tcPr>
            <w:tcW w:w="985"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486"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410"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12" w:hRule="atLeast"/>
        </w:trPr>
        <w:tc>
          <w:tcPr>
            <w:tcW w:w="985" w:type="dxa"/>
            <w:gridSpan w:val="3"/>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5053"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486"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410" w:type="dxa"/>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410" w:type="dxa"/>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08" w:hRule="atLeast"/>
        </w:trPr>
        <w:tc>
          <w:tcPr>
            <w:tcW w:w="6038"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栏次</w:t>
            </w:r>
          </w:p>
        </w:tc>
        <w:tc>
          <w:tcPr>
            <w:tcW w:w="2486"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1</w:t>
            </w:r>
          </w:p>
        </w:tc>
        <w:tc>
          <w:tcPr>
            <w:tcW w:w="2410" w:type="dxa"/>
            <w:gridSpan w:val="2"/>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2</w:t>
            </w:r>
          </w:p>
        </w:tc>
        <w:tc>
          <w:tcPr>
            <w:tcW w:w="2410" w:type="dxa"/>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3</w:t>
            </w:r>
          </w:p>
        </w:tc>
      </w:tr>
      <w:tr>
        <w:tblPrEx>
          <w:tblCellMar>
            <w:top w:w="0" w:type="dxa"/>
            <w:left w:w="108" w:type="dxa"/>
            <w:bottom w:w="0" w:type="dxa"/>
            <w:right w:w="108" w:type="dxa"/>
          </w:tblCellMar>
        </w:tblPrEx>
        <w:trPr>
          <w:trHeight w:val="308" w:hRule="atLeast"/>
        </w:trPr>
        <w:tc>
          <w:tcPr>
            <w:tcW w:w="6038" w:type="dxa"/>
            <w:gridSpan w:val="4"/>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合计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185.34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182.78</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b/>
                <w:bCs/>
                <w:color w:val="000000"/>
                <w:sz w:val="22"/>
                <w:highlight w:val="none"/>
              </w:rPr>
            </w:pPr>
            <w:r>
              <w:rPr>
                <w:rFonts w:hint="eastAsia" w:cs="Arial"/>
                <w:b/>
                <w:bCs/>
                <w:color w:val="000000"/>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一般公共服务支出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20129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群众团体事务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2012906</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工会事务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教育支出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141.30</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教育管理事务</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2050199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其他教育管理事务支出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138.74</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普通教育</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2050299</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其他普通教育支出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2.56</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社会保障和就业支出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行政事业单位养老支出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37.46</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事业单位离退休</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26.59</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26.59</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2080505</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机关事业单位基本养老保险缴费支出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10.87</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10.87</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卫生健康支出</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行政事业单位医疗</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5.75</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2101101</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行政单位医疗</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0.70</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0.70</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2101102</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事业单位医疗</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4.52</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4.52</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985" w:type="dxa"/>
            <w:gridSpan w:val="3"/>
            <w:tcBorders>
              <w:top w:val="nil"/>
              <w:left w:val="single" w:color="000000" w:sz="4" w:space="0"/>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2101103</w:t>
            </w:r>
          </w:p>
        </w:tc>
        <w:tc>
          <w:tcPr>
            <w:tcW w:w="5053" w:type="dxa"/>
            <w:tcBorders>
              <w:top w:val="nil"/>
              <w:left w:val="nil"/>
              <w:bottom w:val="single" w:color="000000" w:sz="4" w:space="0"/>
              <w:right w:val="single" w:color="000000" w:sz="4" w:space="0"/>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 xml:space="preserve">  公务员医疗补助</w:t>
            </w:r>
          </w:p>
        </w:tc>
        <w:tc>
          <w:tcPr>
            <w:tcW w:w="2486"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0.53</w:t>
            </w:r>
          </w:p>
        </w:tc>
        <w:tc>
          <w:tcPr>
            <w:tcW w:w="2410" w:type="dxa"/>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0.53</w:t>
            </w:r>
          </w:p>
        </w:tc>
        <w:tc>
          <w:tcPr>
            <w:tcW w:w="2410" w:type="dxa"/>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3344" w:type="dxa"/>
            <w:gridSpan w:val="9"/>
            <w:tcBorders>
              <w:top w:val="nil"/>
              <w:left w:val="nil"/>
              <w:bottom w:val="nil"/>
              <w:right w:val="nil"/>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5000" w:type="pct"/>
        <w:tblInd w:w="0" w:type="dxa"/>
        <w:tblLayout w:type="fixed"/>
        <w:tblCellMar>
          <w:top w:w="0" w:type="dxa"/>
          <w:left w:w="108" w:type="dxa"/>
          <w:bottom w:w="0" w:type="dxa"/>
          <w:right w:w="108" w:type="dxa"/>
        </w:tblCellMar>
      </w:tblPr>
      <w:tblGrid>
        <w:gridCol w:w="705"/>
        <w:gridCol w:w="111"/>
        <w:gridCol w:w="2693"/>
        <w:gridCol w:w="363"/>
        <w:gridCol w:w="632"/>
        <w:gridCol w:w="833"/>
        <w:gridCol w:w="1860"/>
        <w:gridCol w:w="323"/>
        <w:gridCol w:w="524"/>
        <w:gridCol w:w="128"/>
        <w:gridCol w:w="709"/>
        <w:gridCol w:w="3952"/>
        <w:gridCol w:w="1341"/>
      </w:tblGrid>
      <w:tr>
        <w:tblPrEx>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000000" w:fill="FFFFFF"/>
            <w:noWrap/>
            <w:vAlign w:val="bottom"/>
          </w:tcPr>
          <w:p>
            <w:pPr>
              <w:jc w:val="center"/>
              <w:rPr>
                <w:rFonts w:ascii="宋体" w:hAnsi="宋体" w:cs="Arial"/>
                <w:color w:val="000000"/>
                <w:sz w:val="30"/>
                <w:szCs w:val="30"/>
                <w:highlight w:val="none"/>
              </w:rPr>
            </w:pPr>
            <w:r>
              <w:rPr>
                <w:rFonts w:hint="eastAsia" w:cs="Arial"/>
                <w:color w:val="000000"/>
                <w:sz w:val="30"/>
                <w:szCs w:val="30"/>
                <w:highlight w:val="none"/>
              </w:rPr>
              <w:t>一般公共预算财政拨款基本支出决算表</w:t>
            </w:r>
          </w:p>
        </w:tc>
      </w:tr>
      <w:tr>
        <w:tblPrEx>
          <w:tblCellMar>
            <w:top w:w="0" w:type="dxa"/>
            <w:left w:w="108" w:type="dxa"/>
            <w:bottom w:w="0" w:type="dxa"/>
            <w:right w:w="108" w:type="dxa"/>
          </w:tblCellMar>
        </w:tblPrEx>
        <w:trPr>
          <w:trHeight w:val="255" w:hRule="atLeast"/>
        </w:trPr>
        <w:tc>
          <w:tcPr>
            <w:tcW w:w="249"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117" w:type="pct"/>
            <w:gridSpan w:val="3"/>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23"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94"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770" w:type="pct"/>
            <w:gridSpan w:val="2"/>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30" w:type="pct"/>
            <w:gridSpan w:val="2"/>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50"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394"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473" w:type="pct"/>
            <w:tcBorders>
              <w:top w:val="nil"/>
              <w:left w:val="nil"/>
              <w:bottom w:val="nil"/>
              <w:right w:val="nil"/>
            </w:tcBorders>
            <w:shd w:val="clear" w:color="000000" w:fill="FFFFFF"/>
            <w:noWrap/>
            <w:vAlign w:val="bottom"/>
          </w:tcPr>
          <w:p>
            <w:pPr>
              <w:jc w:val="right"/>
              <w:rPr>
                <w:rFonts w:ascii="宋体" w:hAnsi="宋体" w:cs="Arial"/>
                <w:color w:val="000000"/>
                <w:sz w:val="18"/>
                <w:szCs w:val="18"/>
                <w:highlight w:val="none"/>
              </w:rPr>
            </w:pPr>
            <w:r>
              <w:rPr>
                <w:rFonts w:hint="eastAsia" w:cs="Arial"/>
                <w:color w:val="000000"/>
                <w:sz w:val="18"/>
                <w:szCs w:val="18"/>
                <w:highlight w:val="none"/>
              </w:rPr>
              <w:t>公开06表</w:t>
            </w:r>
          </w:p>
        </w:tc>
      </w:tr>
      <w:tr>
        <w:tblPrEx>
          <w:tblCellMar>
            <w:top w:w="0" w:type="dxa"/>
            <w:left w:w="108" w:type="dxa"/>
            <w:bottom w:w="0" w:type="dxa"/>
            <w:right w:w="108" w:type="dxa"/>
          </w:tblCellMar>
        </w:tblPrEx>
        <w:trPr>
          <w:trHeight w:val="255" w:hRule="atLeast"/>
        </w:trPr>
        <w:tc>
          <w:tcPr>
            <w:tcW w:w="1366" w:type="pct"/>
            <w:gridSpan w:val="4"/>
            <w:tcBorders>
              <w:top w:val="nil"/>
              <w:left w:val="nil"/>
              <w:bottom w:val="nil"/>
              <w:right w:val="nil"/>
            </w:tcBorders>
            <w:shd w:val="clear" w:color="000000" w:fill="FFFFFF"/>
            <w:noWrap/>
            <w:vAlign w:val="bottom"/>
          </w:tcPr>
          <w:p>
            <w:pPr>
              <w:rPr>
                <w:rFonts w:ascii="宋体" w:hAnsi="宋体" w:cs="Arial"/>
                <w:color w:val="000000"/>
                <w:sz w:val="20"/>
                <w:szCs w:val="20"/>
                <w:highlight w:val="none"/>
              </w:rPr>
            </w:pPr>
            <w:r>
              <w:rPr>
                <w:rFonts w:hint="eastAsia" w:cs="Arial"/>
                <w:color w:val="000000"/>
                <w:sz w:val="20"/>
                <w:szCs w:val="20"/>
                <w:highlight w:val="none"/>
              </w:rPr>
              <w:t>部门：许昌市电化教育馆</w:t>
            </w:r>
          </w:p>
        </w:tc>
        <w:tc>
          <w:tcPr>
            <w:tcW w:w="223"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94"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770" w:type="pct"/>
            <w:gridSpan w:val="2"/>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30" w:type="pct"/>
            <w:gridSpan w:val="2"/>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250" w:type="pct"/>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tc>
        <w:tc>
          <w:tcPr>
            <w:tcW w:w="1867" w:type="pct"/>
            <w:gridSpan w:val="2"/>
            <w:tcBorders>
              <w:top w:val="nil"/>
              <w:left w:val="nil"/>
              <w:bottom w:val="nil"/>
              <w:right w:val="nil"/>
            </w:tcBorders>
            <w:shd w:val="clear" w:color="000000" w:fill="FFFFFF"/>
            <w:noWrap/>
            <w:vAlign w:val="bottom"/>
          </w:tcPr>
          <w:p>
            <w:pPr>
              <w:rPr>
                <w:rFonts w:ascii="Arial" w:hAnsi="Arial" w:cs="Arial"/>
                <w:color w:val="000000"/>
                <w:sz w:val="20"/>
                <w:szCs w:val="20"/>
                <w:highlight w:val="none"/>
              </w:rPr>
            </w:pPr>
            <w:r>
              <w:rPr>
                <w:rFonts w:ascii="Arial" w:hAnsi="Arial" w:cs="Arial"/>
                <w:color w:val="000000"/>
                <w:sz w:val="20"/>
                <w:szCs w:val="20"/>
                <w:highlight w:val="none"/>
              </w:rPr>
              <w:t>　</w:t>
            </w:r>
          </w:p>
          <w:p>
            <w:pPr>
              <w:jc w:val="right"/>
              <w:rPr>
                <w:rFonts w:ascii="宋体" w:hAnsi="宋体" w:cs="Arial"/>
                <w:color w:val="000000"/>
                <w:sz w:val="18"/>
                <w:szCs w:val="18"/>
                <w:highlight w:val="none"/>
              </w:rPr>
            </w:pPr>
            <w:r>
              <w:rPr>
                <w:rFonts w:hint="eastAsia" w:cs="Arial"/>
                <w:color w:val="000000"/>
                <w:sz w:val="18"/>
                <w:szCs w:val="18"/>
                <w:highlight w:val="none"/>
              </w:rPr>
              <w:t>金额单位：万元</w:t>
            </w:r>
          </w:p>
        </w:tc>
      </w:tr>
      <w:tr>
        <w:tblPrEx>
          <w:tblCellMar>
            <w:top w:w="0" w:type="dxa"/>
            <w:left w:w="108" w:type="dxa"/>
            <w:bottom w:w="0" w:type="dxa"/>
            <w:right w:w="108" w:type="dxa"/>
          </w:tblCellMar>
        </w:tblPrEx>
        <w:trPr>
          <w:trHeight w:val="308" w:hRule="atLeast"/>
        </w:trPr>
        <w:tc>
          <w:tcPr>
            <w:tcW w:w="1589" w:type="pct"/>
            <w:gridSpan w:val="5"/>
            <w:tcBorders>
              <w:top w:val="single" w:color="000000" w:sz="4" w:space="0"/>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人员经费</w:t>
            </w:r>
          </w:p>
        </w:tc>
        <w:tc>
          <w:tcPr>
            <w:tcW w:w="3411" w:type="pct"/>
            <w:gridSpan w:val="8"/>
            <w:tcBorders>
              <w:top w:val="single" w:color="000000" w:sz="4" w:space="0"/>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公用经费</w:t>
            </w:r>
          </w:p>
        </w:tc>
      </w:tr>
      <w:tr>
        <w:tblPrEx>
          <w:tblCellMar>
            <w:top w:w="0" w:type="dxa"/>
            <w:left w:w="108" w:type="dxa"/>
            <w:bottom w:w="0" w:type="dxa"/>
            <w:right w:w="108" w:type="dxa"/>
          </w:tblCellMar>
        </w:tblPrEx>
        <w:trPr>
          <w:trHeight w:val="312" w:hRule="atLeast"/>
        </w:trPr>
        <w:tc>
          <w:tcPr>
            <w:tcW w:w="288" w:type="pct"/>
            <w:gridSpan w:val="2"/>
            <w:vMerge w:val="restart"/>
            <w:tcBorders>
              <w:top w:val="nil"/>
              <w:left w:val="single" w:color="000000" w:sz="4" w:space="0"/>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科目编码</w:t>
            </w:r>
          </w:p>
        </w:tc>
        <w:tc>
          <w:tcPr>
            <w:tcW w:w="950"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科目名称</w:t>
            </w:r>
          </w:p>
        </w:tc>
        <w:tc>
          <w:tcPr>
            <w:tcW w:w="351"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决算数</w:t>
            </w:r>
          </w:p>
        </w:tc>
        <w:tc>
          <w:tcPr>
            <w:tcW w:w="29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科目编码</w:t>
            </w:r>
          </w:p>
        </w:tc>
        <w:tc>
          <w:tcPr>
            <w:tcW w:w="656"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科目名称</w:t>
            </w:r>
          </w:p>
        </w:tc>
        <w:tc>
          <w:tcPr>
            <w:tcW w:w="299"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决算数</w:t>
            </w:r>
          </w:p>
        </w:tc>
        <w:tc>
          <w:tcPr>
            <w:tcW w:w="295" w:type="pct"/>
            <w:gridSpan w:val="2"/>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科目编码</w:t>
            </w:r>
          </w:p>
        </w:tc>
        <w:tc>
          <w:tcPr>
            <w:tcW w:w="1394"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科目名称</w:t>
            </w:r>
          </w:p>
        </w:tc>
        <w:tc>
          <w:tcPr>
            <w:tcW w:w="473" w:type="pct"/>
            <w:vMerge w:val="restart"/>
            <w:tcBorders>
              <w:top w:val="nil"/>
              <w:left w:val="nil"/>
              <w:bottom w:val="single" w:color="000000" w:sz="4" w:space="0"/>
              <w:right w:val="single" w:color="000000" w:sz="4" w:space="0"/>
            </w:tcBorders>
            <w:shd w:val="clear" w:color="FFFFFF" w:fill="FFFFFF"/>
            <w:noWrap w:val="0"/>
            <w:vAlign w:val="center"/>
          </w:tcPr>
          <w:p>
            <w:pPr>
              <w:jc w:val="center"/>
              <w:rPr>
                <w:rFonts w:ascii="宋体" w:hAnsi="宋体" w:cs="Arial"/>
                <w:color w:val="000000"/>
                <w:sz w:val="22"/>
                <w:highlight w:val="none"/>
              </w:rPr>
            </w:pPr>
            <w:r>
              <w:rPr>
                <w:rFonts w:hint="eastAsia" w:cs="Arial"/>
                <w:color w:val="000000"/>
                <w:sz w:val="22"/>
                <w:highlight w:val="none"/>
              </w:rPr>
              <w:t>决算数</w:t>
            </w:r>
          </w:p>
        </w:tc>
      </w:tr>
      <w:tr>
        <w:tblPrEx>
          <w:tblCellMar>
            <w:top w:w="0" w:type="dxa"/>
            <w:left w:w="108" w:type="dxa"/>
            <w:bottom w:w="0" w:type="dxa"/>
            <w:right w:w="108" w:type="dxa"/>
          </w:tblCellMar>
        </w:tblPrEx>
        <w:trPr>
          <w:trHeight w:val="312" w:hRule="atLeast"/>
        </w:trPr>
        <w:tc>
          <w:tcPr>
            <w:tcW w:w="288" w:type="pct"/>
            <w:gridSpan w:val="2"/>
            <w:vMerge w:val="continue"/>
            <w:tcBorders>
              <w:top w:val="nil"/>
              <w:left w:val="single" w:color="000000" w:sz="4" w:space="0"/>
              <w:bottom w:val="single" w:color="000000" w:sz="4" w:space="0"/>
              <w:right w:val="single" w:color="000000" w:sz="4" w:space="0"/>
            </w:tcBorders>
            <w:noWrap w:val="0"/>
            <w:vAlign w:val="center"/>
          </w:tcPr>
          <w:p>
            <w:pPr>
              <w:rPr>
                <w:rFonts w:ascii="宋体" w:hAnsi="宋体" w:cs="Arial"/>
                <w:color w:val="000000"/>
                <w:sz w:val="22"/>
                <w:highlight w:val="none"/>
              </w:rPr>
            </w:pPr>
          </w:p>
        </w:tc>
        <w:tc>
          <w:tcPr>
            <w:tcW w:w="950"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351"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94"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656"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99"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295" w:type="pct"/>
            <w:gridSpan w:val="2"/>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1394"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c>
          <w:tcPr>
            <w:tcW w:w="473" w:type="pct"/>
            <w:vMerge w:val="continue"/>
            <w:tcBorders>
              <w:top w:val="nil"/>
              <w:left w:val="nil"/>
              <w:bottom w:val="single" w:color="000000" w:sz="4" w:space="0"/>
              <w:right w:val="single" w:color="000000" w:sz="4" w:space="0"/>
            </w:tcBorders>
            <w:noWrap w:val="0"/>
            <w:vAlign w:val="center"/>
          </w:tcPr>
          <w:p>
            <w:pPr>
              <w:rPr>
                <w:rFonts w:ascii="宋体" w:hAnsi="宋体" w:cs="Arial"/>
                <w:color w:val="000000"/>
                <w:sz w:val="22"/>
                <w:highlight w:val="none"/>
              </w:rPr>
            </w:pP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工资福利支出</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144.61</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商品和服务支出</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11.00</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307</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债务利息及费用支出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30101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基本工资</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43.26</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30201</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办公费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3.38</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30701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国内债务付息</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30102</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津贴补贴</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33.49</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30202</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印刷费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0.58</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30702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国外债务付息</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30103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奖金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2.35</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30203</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咨询费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资本性支出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30106</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伙食补助费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30204</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手续费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房屋建筑物购建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30107</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绩效工资</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32.14</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30205</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水费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办公设备购置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30108</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机关事业单位基本养老保险缴费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13.51</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30206</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电费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31003</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专用设备购置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30109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职业年金缴费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30207</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邮电费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0.01</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31005</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基础设施建设</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30110</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职工基本医疗保险缴费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3.98</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30208</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取暖费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31006</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大型修缮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30111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公务员医疗补助缴费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0.53</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30209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物业管理费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31007</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信息网络及软件购置更新</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30112</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其他社会保障缴费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1.01</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30211</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差旅费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2.52</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31008</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物资储备</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30113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住房公积金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10.10</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30212</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因公出国（境）费用</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31009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土地补偿</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30114</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医疗费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30213</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维修（护）费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0.81</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31010</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安置补助</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30199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其他工资福利支出</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4.25</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30214</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租赁费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31011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地上附着物和青苗补偿</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对个人和家庭的补助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27.17</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30215</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会议费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31012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拆迁补偿</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离休费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30216</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培训费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0.55</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31013</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公务用车购置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30302</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退休费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27.17</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30217</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公务接待费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31019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其他交通工具购置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30303</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退职（役）费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30218</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专用材料费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31021</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文物和陈列品购置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30304</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抚恤金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30224</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被装购置费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31022</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无形资产购置</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30305</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生活补助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30225</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专用燃料费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31099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其他资本性支出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30306</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救济费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30226</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劳务费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0.16</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399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其他支出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30307</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医疗费补助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30227</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委托业务费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39906</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赠与</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30308</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助学金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30228</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工会经费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0.84</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39907</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国家赔偿费用支出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30309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奖励金</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30229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福利费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1.94</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39908</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对民间非营利组织和群众性自治组织补贴</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30310</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个人农业生产补贴</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30231</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公务用车运行维护费</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39999</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其他支出</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30311</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代缴社会保险费</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30239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其他交通费用</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0.21</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30399</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其他对个人和家庭的补助</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30240</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税金及附加费用</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288" w:type="pct"/>
            <w:gridSpan w:val="2"/>
            <w:tcBorders>
              <w:top w:val="nil"/>
              <w:left w:val="single" w:color="000000" w:sz="4" w:space="0"/>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950"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30299</w:t>
            </w:r>
          </w:p>
        </w:tc>
        <w:tc>
          <w:tcPr>
            <w:tcW w:w="656"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xml:space="preserve">  其他商品和服务支出</w:t>
            </w:r>
          </w:p>
        </w:tc>
        <w:tc>
          <w:tcPr>
            <w:tcW w:w="299"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c>
          <w:tcPr>
            <w:tcW w:w="295" w:type="pct"/>
            <w:gridSpan w:val="2"/>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1394" w:type="pct"/>
            <w:tcBorders>
              <w:top w:val="nil"/>
              <w:left w:val="nil"/>
              <w:bottom w:val="single" w:color="000000" w:sz="4" w:space="0"/>
              <w:right w:val="single" w:color="000000" w:sz="4" w:space="0"/>
            </w:tcBorders>
            <w:shd w:val="clear" w:color="FFFFFF" w:fill="FFFFFF"/>
            <w:noWrap/>
            <w:vAlign w:val="center"/>
          </w:tcPr>
          <w:p>
            <w:pPr>
              <w:rPr>
                <w:rFonts w:ascii="宋体" w:hAnsi="宋体" w:cs="Arial"/>
                <w:color w:val="000000"/>
                <w:sz w:val="22"/>
                <w:highlight w:val="none"/>
              </w:rPr>
            </w:pPr>
            <w:r>
              <w:rPr>
                <w:rFonts w:hint="eastAsia" w:cs="Arial"/>
                <w:color w:val="000000"/>
                <w:sz w:val="22"/>
                <w:highlight w:val="none"/>
              </w:rPr>
              <w:t>　</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　</w:t>
            </w:r>
          </w:p>
        </w:tc>
      </w:tr>
      <w:tr>
        <w:tblPrEx>
          <w:tblCellMar>
            <w:top w:w="0" w:type="dxa"/>
            <w:left w:w="108" w:type="dxa"/>
            <w:bottom w:w="0" w:type="dxa"/>
            <w:right w:w="108" w:type="dxa"/>
          </w:tblCellMar>
        </w:tblPrEx>
        <w:trPr>
          <w:trHeight w:val="308" w:hRule="atLeast"/>
        </w:trPr>
        <w:tc>
          <w:tcPr>
            <w:tcW w:w="1238" w:type="pct"/>
            <w:gridSpan w:val="3"/>
            <w:tcBorders>
              <w:top w:val="nil"/>
              <w:left w:val="single" w:color="000000" w:sz="4" w:space="0"/>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人员经费合计</w:t>
            </w:r>
          </w:p>
        </w:tc>
        <w:tc>
          <w:tcPr>
            <w:tcW w:w="351" w:type="pct"/>
            <w:gridSpan w:val="2"/>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171.78</w:t>
            </w:r>
          </w:p>
        </w:tc>
        <w:tc>
          <w:tcPr>
            <w:tcW w:w="2938" w:type="pct"/>
            <w:gridSpan w:val="7"/>
            <w:tcBorders>
              <w:top w:val="nil"/>
              <w:left w:val="nil"/>
              <w:bottom w:val="single" w:color="000000" w:sz="4" w:space="0"/>
              <w:right w:val="single" w:color="000000" w:sz="4" w:space="0"/>
            </w:tcBorders>
            <w:shd w:val="clear" w:color="FFFFFF" w:fill="FFFFFF"/>
            <w:noWrap/>
            <w:vAlign w:val="center"/>
          </w:tcPr>
          <w:p>
            <w:pPr>
              <w:jc w:val="center"/>
              <w:rPr>
                <w:rFonts w:ascii="宋体" w:hAnsi="宋体" w:cs="Arial"/>
                <w:color w:val="000000"/>
                <w:sz w:val="22"/>
                <w:highlight w:val="none"/>
              </w:rPr>
            </w:pPr>
            <w:r>
              <w:rPr>
                <w:rFonts w:hint="eastAsia" w:cs="Arial"/>
                <w:color w:val="000000"/>
                <w:sz w:val="22"/>
                <w:highlight w:val="none"/>
              </w:rPr>
              <w:t>公用经费合计</w:t>
            </w:r>
          </w:p>
        </w:tc>
        <w:tc>
          <w:tcPr>
            <w:tcW w:w="473" w:type="pct"/>
            <w:tcBorders>
              <w:top w:val="nil"/>
              <w:left w:val="nil"/>
              <w:bottom w:val="single" w:color="000000" w:sz="4" w:space="0"/>
              <w:right w:val="single" w:color="000000" w:sz="4" w:space="0"/>
            </w:tcBorders>
            <w:shd w:val="clear" w:color="000000" w:fill="FFFFFF"/>
            <w:noWrap/>
            <w:vAlign w:val="center"/>
          </w:tcPr>
          <w:p>
            <w:pPr>
              <w:jc w:val="right"/>
              <w:rPr>
                <w:rFonts w:ascii="宋体" w:hAnsi="宋体" w:cs="Arial"/>
                <w:color w:val="000000"/>
                <w:sz w:val="22"/>
                <w:highlight w:val="none"/>
              </w:rPr>
            </w:pPr>
            <w:r>
              <w:rPr>
                <w:rFonts w:hint="eastAsia" w:cs="Arial"/>
                <w:color w:val="000000"/>
                <w:sz w:val="22"/>
                <w:highlight w:val="none"/>
              </w:rPr>
              <w:t>11.00</w:t>
            </w:r>
          </w:p>
        </w:tc>
      </w:tr>
      <w:tr>
        <w:tblPrEx>
          <w:tblCellMar>
            <w:top w:w="0" w:type="dxa"/>
            <w:left w:w="108" w:type="dxa"/>
            <w:bottom w:w="0" w:type="dxa"/>
            <w:right w:w="108" w:type="dxa"/>
          </w:tblCellMar>
        </w:tblPrEx>
        <w:trPr>
          <w:trHeight w:val="308" w:hRule="atLeast"/>
        </w:trPr>
        <w:tc>
          <w:tcPr>
            <w:tcW w:w="5000" w:type="pct"/>
            <w:gridSpan w:val="13"/>
            <w:tcBorders>
              <w:top w:val="nil"/>
              <w:left w:val="nil"/>
              <w:bottom w:val="nil"/>
              <w:right w:val="nil"/>
            </w:tcBorders>
            <w:shd w:val="clear" w:color="000000" w:fill="FFFFFF"/>
            <w:noWrap/>
            <w:vAlign w:val="center"/>
          </w:tcPr>
          <w:p>
            <w:pPr>
              <w:rPr>
                <w:rFonts w:ascii="宋体" w:hAnsi="宋体" w:cs="Arial"/>
                <w:color w:val="000000"/>
                <w:sz w:val="22"/>
                <w:highlight w:val="none"/>
              </w:rPr>
            </w:pPr>
            <w:r>
              <w:rPr>
                <w:rFonts w:hint="eastAsia" w:cs="Arial"/>
                <w:color w:val="000000"/>
                <w:sz w:val="22"/>
                <w:highlight w:val="none"/>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2300" w:type="dxa"/>
            <w:gridSpan w:val="2"/>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cs="Arial"/>
                <w:color w:val="000000"/>
                <w:sz w:val="20"/>
                <w:szCs w:val="20"/>
                <w:highlight w:val="none"/>
              </w:rPr>
              <w:t>许昌市电化教育馆</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说明：我部门没有预算安排的三公经费，也没有预算安排的三公支出，故本表无数据</w:t>
      </w:r>
    </w:p>
    <w:tbl>
      <w:tblPr>
        <w:tblStyle w:val="5"/>
        <w:tblW w:w="14018" w:type="dxa"/>
        <w:tblInd w:w="0" w:type="dxa"/>
        <w:tblLayout w:type="fixed"/>
        <w:tblCellMar>
          <w:top w:w="0" w:type="dxa"/>
          <w:left w:w="0" w:type="dxa"/>
          <w:bottom w:w="0" w:type="dxa"/>
          <w:right w:w="0" w:type="dxa"/>
        </w:tblCellMar>
      </w:tblPr>
      <w:tblGrid>
        <w:gridCol w:w="612"/>
        <w:gridCol w:w="536"/>
        <w:gridCol w:w="1276"/>
        <w:gridCol w:w="30"/>
        <w:gridCol w:w="189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5"/>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2454"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部门：</w:t>
            </w:r>
            <w:r>
              <w:rPr>
                <w:rFonts w:hint="eastAsia" w:cs="Arial"/>
                <w:color w:val="000000"/>
                <w:sz w:val="20"/>
                <w:szCs w:val="20"/>
                <w:highlight w:val="none"/>
              </w:rPr>
              <w:t>许昌市电化教育馆</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gridSpan w:val="2"/>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年初结转和结余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注：本表反映部门本年度政府性基金预算财政拨款收入、支出及结转和结余情况。</w:t>
            </w:r>
          </w:p>
          <w:p>
            <w:pPr>
              <w:widowControl/>
              <w:jc w:val="left"/>
              <w:textAlignment w:val="center"/>
              <w:rPr>
                <w:rFonts w:ascii="宋体" w:hAnsi="宋体" w:cs="宋体"/>
                <w:color w:val="000000"/>
                <w:sz w:val="32"/>
                <w:szCs w:val="32"/>
                <w:highlight w:val="none"/>
              </w:rPr>
            </w:pPr>
            <w:r>
              <w:rPr>
                <w:rFonts w:hint="eastAsia" w:ascii="宋体" w:hAnsi="宋体" w:cs="宋体"/>
                <w:color w:val="000000"/>
                <w:sz w:val="32"/>
                <w:szCs w:val="32"/>
                <w:highlight w:val="none"/>
              </w:rPr>
              <w:t>说明：我</w:t>
            </w:r>
            <w:r>
              <w:rPr>
                <w:rFonts w:hint="eastAsia" w:ascii="宋体" w:hAnsi="宋体" w:cs="宋体"/>
                <w:color w:val="000000"/>
                <w:sz w:val="32"/>
                <w:szCs w:val="32"/>
                <w:highlight w:val="none"/>
                <w:lang w:eastAsia="zh-CN"/>
              </w:rPr>
              <w:t>单位</w:t>
            </w:r>
            <w:r>
              <w:rPr>
                <w:rFonts w:hint="eastAsia" w:ascii="宋体" w:hAnsi="宋体" w:cs="宋体"/>
                <w:color w:val="000000"/>
                <w:sz w:val="32"/>
                <w:szCs w:val="32"/>
                <w:highlight w:val="none"/>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jc w:val="left"/>
        <w:rPr>
          <w:rFonts w:ascii="黑体" w:hAnsi="宋体" w:eastAsia="黑体" w:cs="宋体"/>
          <w:kern w:val="0"/>
          <w:sz w:val="28"/>
          <w:szCs w:val="28"/>
          <w:highlight w:val="none"/>
        </w:rPr>
        <w:sectPr>
          <w:pgSz w:w="16838" w:h="11906" w:orient="landscape"/>
          <w:pgMar w:top="1803" w:right="1440" w:bottom="1803" w:left="1440" w:header="720" w:footer="720" w:gutter="0"/>
          <w:pgNumType w:fmt="numberInDash"/>
          <w:cols w:space="720" w:num="1"/>
          <w:rtlGutter w:val="0"/>
          <w:docGrid w:type="lines" w:linePitch="319"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eastAsia="仿宋_GB2312" w:cs="仿宋_GB2312"/>
          <w:sz w:val="32"/>
          <w:szCs w:val="32"/>
          <w:highlight w:val="none"/>
        </w:rPr>
        <w:t>2</w:t>
      </w:r>
      <w:r>
        <w:rPr>
          <w:rFonts w:ascii="仿宋_GB2312" w:eastAsia="仿宋_GB2312" w:cs="仿宋_GB2312"/>
          <w:sz w:val="32"/>
          <w:szCs w:val="32"/>
          <w:highlight w:val="none"/>
        </w:rPr>
        <w:t>021</w:t>
      </w:r>
      <w:r>
        <w:rPr>
          <w:rFonts w:hint="eastAsia" w:ascii="仿宋_GB2312" w:eastAsia="仿宋_GB2312" w:cs="仿宋_GB2312"/>
          <w:sz w:val="32"/>
          <w:szCs w:val="32"/>
          <w:highlight w:val="none"/>
        </w:rPr>
        <w:t>年度收、支总计均为</w:t>
      </w:r>
      <w:r>
        <w:rPr>
          <w:rFonts w:ascii="仿宋_GB2312" w:eastAsia="仿宋_GB2312" w:cs="仿宋_GB2312"/>
          <w:sz w:val="32"/>
          <w:szCs w:val="32"/>
          <w:highlight w:val="none"/>
        </w:rPr>
        <w:t>185.68</w:t>
      </w:r>
      <w:r>
        <w:rPr>
          <w:rFonts w:hint="eastAsia" w:ascii="仿宋_GB2312" w:eastAsia="仿宋_GB2312" w:cs="仿宋_GB2312"/>
          <w:sz w:val="32"/>
          <w:szCs w:val="32"/>
          <w:highlight w:val="none"/>
        </w:rPr>
        <w:t>万元。与上年度相比，收、支总计各增加</w:t>
      </w:r>
      <w:r>
        <w:rPr>
          <w:rFonts w:ascii="仿宋_GB2312" w:eastAsia="仿宋_GB2312" w:cs="仿宋_GB2312"/>
          <w:sz w:val="32"/>
          <w:szCs w:val="32"/>
          <w:highlight w:val="none"/>
        </w:rPr>
        <w:t>12.15</w:t>
      </w:r>
      <w:r>
        <w:rPr>
          <w:rFonts w:hint="eastAsia" w:ascii="仿宋_GB2312" w:eastAsia="仿宋_GB2312" w:cs="仿宋_GB2312"/>
          <w:sz w:val="32"/>
          <w:szCs w:val="32"/>
          <w:highlight w:val="none"/>
        </w:rPr>
        <w:t>万元，增长</w:t>
      </w:r>
      <w:r>
        <w:rPr>
          <w:rFonts w:ascii="仿宋_GB2312" w:eastAsia="仿宋_GB2312" w:cs="仿宋_GB2312"/>
          <w:sz w:val="32"/>
          <w:szCs w:val="32"/>
          <w:highlight w:val="none"/>
        </w:rPr>
        <w:t>7</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。主要原因是1.年度薪级工资正常增长；2.因办公区域搬迁，增加相关支出。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autoSpaceDE w:val="0"/>
        <w:autoSpaceDN w:val="0"/>
        <w:adjustRightInd w:val="0"/>
        <w:spacing w:line="590" w:lineRule="exact"/>
        <w:ind w:firstLine="640"/>
        <w:rPr>
          <w:rFonts w:eastAsia="仿宋_GB2312"/>
          <w:kern w:val="0"/>
          <w:sz w:val="18"/>
          <w:szCs w:val="18"/>
          <w:highlight w:val="none"/>
          <w:lang w:val="zh-CN"/>
        </w:rPr>
      </w:pPr>
      <w:r>
        <w:rPr>
          <w:rFonts w:ascii="仿宋_GB2312" w:eastAsia="仿宋_GB2312" w:cs="仿宋_GB2312"/>
          <w:sz w:val="32"/>
          <w:szCs w:val="32"/>
          <w:highlight w:val="none"/>
        </w:rPr>
        <w:t>2021</w:t>
      </w:r>
      <w:r>
        <w:rPr>
          <w:rFonts w:hint="eastAsia" w:ascii="仿宋_GB2312" w:eastAsia="仿宋_GB2312" w:cs="仿宋_GB2312"/>
          <w:sz w:val="32"/>
          <w:szCs w:val="32"/>
          <w:highlight w:val="none"/>
        </w:rPr>
        <w:t>年度收入合计</w:t>
      </w:r>
      <w:r>
        <w:rPr>
          <w:rFonts w:ascii="仿宋_GB2312" w:eastAsia="仿宋_GB2312" w:cs="仿宋_GB2312"/>
          <w:sz w:val="32"/>
          <w:szCs w:val="32"/>
          <w:highlight w:val="none"/>
        </w:rPr>
        <w:t>167.48</w:t>
      </w:r>
      <w:r>
        <w:rPr>
          <w:rFonts w:hint="eastAsia" w:ascii="仿宋_GB2312" w:eastAsia="仿宋_GB2312" w:cs="仿宋_GB2312"/>
          <w:sz w:val="32"/>
          <w:szCs w:val="32"/>
          <w:highlight w:val="none"/>
        </w:rPr>
        <w:t>万元，其中：财政拨款收入</w:t>
      </w:r>
      <w:r>
        <w:rPr>
          <w:rFonts w:ascii="仿宋_GB2312" w:eastAsia="仿宋_GB2312" w:cs="仿宋_GB2312"/>
          <w:sz w:val="32"/>
          <w:szCs w:val="32"/>
          <w:highlight w:val="none"/>
        </w:rPr>
        <w:t>167.48</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100%</w:t>
      </w:r>
      <w:r>
        <w:rPr>
          <w:rFonts w:hint="eastAsia" w:ascii="仿宋_GB2312" w:eastAsia="仿宋_GB2312" w:cs="仿宋_GB2312"/>
          <w:sz w:val="32"/>
          <w:szCs w:val="32"/>
          <w:highlight w:val="none"/>
        </w:rPr>
        <w:t>；上级补助收入</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；事业收入</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；经营收入</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；附属单位上缴收入</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；其他收入</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eastAsia="仿宋_GB2312" w:cs="仿宋_GB2312"/>
          <w:sz w:val="32"/>
          <w:szCs w:val="32"/>
          <w:highlight w:val="none"/>
        </w:rPr>
        <w:t>2021</w:t>
      </w:r>
      <w:r>
        <w:rPr>
          <w:rFonts w:hint="eastAsia" w:ascii="仿宋_GB2312" w:eastAsia="仿宋_GB2312" w:cs="仿宋_GB2312"/>
          <w:sz w:val="32"/>
          <w:szCs w:val="32"/>
          <w:highlight w:val="none"/>
        </w:rPr>
        <w:t>年度支出合计</w:t>
      </w:r>
      <w:r>
        <w:rPr>
          <w:rFonts w:ascii="仿宋_GB2312" w:eastAsia="仿宋_GB2312" w:cs="仿宋_GB2312"/>
          <w:sz w:val="32"/>
          <w:szCs w:val="32"/>
          <w:highlight w:val="none"/>
        </w:rPr>
        <w:t>185.34</w:t>
      </w:r>
      <w:r>
        <w:rPr>
          <w:rFonts w:hint="eastAsia" w:ascii="仿宋_GB2312" w:eastAsia="仿宋_GB2312" w:cs="仿宋_GB2312"/>
          <w:sz w:val="32"/>
          <w:szCs w:val="32"/>
          <w:highlight w:val="none"/>
        </w:rPr>
        <w:t>万元，其中：基本支出</w:t>
      </w:r>
      <w:r>
        <w:rPr>
          <w:rFonts w:ascii="仿宋_GB2312" w:eastAsia="仿宋_GB2312" w:cs="仿宋_GB2312"/>
          <w:sz w:val="32"/>
          <w:szCs w:val="32"/>
          <w:highlight w:val="none"/>
        </w:rPr>
        <w:t>182.78</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98.62%</w:t>
      </w:r>
      <w:r>
        <w:rPr>
          <w:rFonts w:hint="eastAsia" w:ascii="仿宋_GB2312" w:eastAsia="仿宋_GB2312" w:cs="仿宋_GB2312"/>
          <w:sz w:val="32"/>
          <w:szCs w:val="32"/>
          <w:highlight w:val="none"/>
        </w:rPr>
        <w:t>；项目支出</w:t>
      </w:r>
      <w:r>
        <w:rPr>
          <w:rFonts w:ascii="仿宋_GB2312" w:eastAsia="仿宋_GB2312" w:cs="仿宋_GB2312"/>
          <w:sz w:val="32"/>
          <w:szCs w:val="32"/>
          <w:highlight w:val="none"/>
        </w:rPr>
        <w:t>2.56</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1.38%</w:t>
      </w:r>
      <w:r>
        <w:rPr>
          <w:rFonts w:hint="eastAsia" w:ascii="仿宋_GB2312" w:eastAsia="仿宋_GB2312" w:cs="仿宋_GB2312"/>
          <w:sz w:val="32"/>
          <w:szCs w:val="32"/>
          <w:highlight w:val="none"/>
        </w:rPr>
        <w:t>；上缴上级支出</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；经营支出</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；对附属单位补助支出</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hint="eastAsia" w:ascii="仿宋_GB2312" w:eastAsia="仿宋_GB2312" w:cs="仿宋_GB2312"/>
          <w:sz w:val="32"/>
          <w:szCs w:val="32"/>
          <w:highlight w:val="none"/>
        </w:rPr>
        <w:t>万元，占</w:t>
      </w:r>
      <w:r>
        <w:rPr>
          <w:rFonts w:ascii="仿宋_GB2312" w:eastAsia="仿宋_GB2312" w:cs="仿宋_GB2312"/>
          <w:sz w:val="32"/>
          <w:szCs w:val="32"/>
          <w:highlight w:val="none"/>
        </w:rPr>
        <w:t>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outlineLvl w:val="1"/>
        <w:rPr>
          <w:rFonts w:hint="eastAsia" w:ascii="仿宋_GB2312" w:eastAsia="仿宋_GB2312" w:cs="仿宋_GB2312"/>
          <w:sz w:val="32"/>
          <w:szCs w:val="32"/>
          <w:highlight w:val="none"/>
        </w:rPr>
      </w:pPr>
      <w:r>
        <w:rPr>
          <w:rFonts w:ascii="仿宋_GB2312" w:eastAsia="仿宋_GB2312" w:cs="仿宋_GB2312"/>
          <w:sz w:val="32"/>
          <w:szCs w:val="32"/>
          <w:highlight w:val="none"/>
        </w:rPr>
        <w:t>2021</w:t>
      </w:r>
      <w:r>
        <w:rPr>
          <w:rFonts w:hint="eastAsia" w:ascii="仿宋_GB2312" w:eastAsia="仿宋_GB2312" w:cs="仿宋_GB2312"/>
          <w:sz w:val="32"/>
          <w:szCs w:val="32"/>
          <w:highlight w:val="none"/>
        </w:rPr>
        <w:t>年度财政拨款收、支总计均为</w:t>
      </w:r>
      <w:r>
        <w:rPr>
          <w:rFonts w:ascii="仿宋_GB2312" w:eastAsia="仿宋_GB2312" w:cs="仿宋_GB2312"/>
          <w:sz w:val="32"/>
          <w:szCs w:val="32"/>
          <w:highlight w:val="none"/>
        </w:rPr>
        <w:t>185.34</w:t>
      </w:r>
      <w:r>
        <w:rPr>
          <w:rFonts w:hint="eastAsia" w:ascii="仿宋_GB2312" w:eastAsia="仿宋_GB2312" w:cs="仿宋_GB2312"/>
          <w:sz w:val="32"/>
          <w:szCs w:val="32"/>
          <w:highlight w:val="none"/>
        </w:rPr>
        <w:t>万元。与上年度相比，财政拨款收、支总计各增加</w:t>
      </w:r>
      <w:r>
        <w:rPr>
          <w:rFonts w:ascii="仿宋_GB2312" w:eastAsia="仿宋_GB2312" w:cs="仿宋_GB2312"/>
          <w:sz w:val="32"/>
          <w:szCs w:val="32"/>
          <w:highlight w:val="none"/>
        </w:rPr>
        <w:t>12.15</w:t>
      </w:r>
      <w:r>
        <w:rPr>
          <w:rFonts w:hint="eastAsia" w:ascii="仿宋_GB2312" w:eastAsia="仿宋_GB2312" w:cs="仿宋_GB2312"/>
          <w:sz w:val="32"/>
          <w:szCs w:val="32"/>
          <w:highlight w:val="none"/>
        </w:rPr>
        <w:t>万元，增长</w:t>
      </w:r>
      <w:r>
        <w:rPr>
          <w:rFonts w:ascii="仿宋_GB2312" w:eastAsia="仿宋_GB2312" w:cs="仿宋_GB2312"/>
          <w:sz w:val="32"/>
          <w:szCs w:val="32"/>
          <w:highlight w:val="none"/>
        </w:rPr>
        <w:t>7.02%</w:t>
      </w:r>
      <w:r>
        <w:rPr>
          <w:rFonts w:hint="eastAsia" w:ascii="仿宋_GB2312" w:eastAsia="仿宋_GB2312" w:cs="仿宋_GB2312"/>
          <w:sz w:val="32"/>
          <w:szCs w:val="32"/>
          <w:highlight w:val="none"/>
        </w:rPr>
        <w:t>。主要原因是1.年度薪级工资正常增长；2.因办公区域搬迁，增加相关支出。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eastAsia="仿宋_GB2312" w:cs="仿宋_GB2312"/>
          <w:sz w:val="32"/>
          <w:szCs w:val="32"/>
          <w:highlight w:val="none"/>
        </w:rPr>
        <w:t>2021</w:t>
      </w:r>
      <w:r>
        <w:rPr>
          <w:rFonts w:hint="eastAsia" w:ascii="仿宋_GB2312" w:eastAsia="仿宋_GB2312" w:cs="仿宋_GB2312"/>
          <w:sz w:val="32"/>
          <w:szCs w:val="32"/>
          <w:highlight w:val="none"/>
        </w:rPr>
        <w:t>年度一般公共预算财政拨款支出</w:t>
      </w:r>
      <w:r>
        <w:rPr>
          <w:rFonts w:ascii="仿宋_GB2312" w:eastAsia="仿宋_GB2312" w:cs="仿宋_GB2312"/>
          <w:sz w:val="32"/>
          <w:szCs w:val="32"/>
          <w:highlight w:val="none"/>
        </w:rPr>
        <w:t>185.34</w:t>
      </w:r>
      <w:r>
        <w:rPr>
          <w:rFonts w:hint="eastAsia" w:ascii="仿宋_GB2312" w:eastAsia="仿宋_GB2312" w:cs="仿宋_GB2312"/>
          <w:sz w:val="32"/>
          <w:szCs w:val="32"/>
          <w:highlight w:val="none"/>
        </w:rPr>
        <w:t>万元，占支出合计的</w:t>
      </w:r>
      <w:r>
        <w:rPr>
          <w:rFonts w:ascii="仿宋_GB2312" w:eastAsia="仿宋_GB2312" w:cs="仿宋_GB2312"/>
          <w:sz w:val="32"/>
          <w:szCs w:val="32"/>
          <w:highlight w:val="none"/>
        </w:rPr>
        <w:t>100</w:t>
      </w:r>
      <w:r>
        <w:rPr>
          <w:rFonts w:hint="eastAsia" w:ascii="仿宋_GB2312" w:eastAsia="仿宋_GB2312" w:cs="仿宋_GB2312"/>
          <w:sz w:val="32"/>
          <w:szCs w:val="32"/>
          <w:highlight w:val="none"/>
          <w:lang w:val="en-US" w:eastAsia="zh-CN"/>
        </w:rPr>
        <w:t>.00</w:t>
      </w:r>
      <w:r>
        <w:rPr>
          <w:rFonts w:ascii="仿宋_GB2312" w:eastAsia="仿宋_GB2312" w:cs="仿宋_GB2312"/>
          <w:sz w:val="32"/>
          <w:szCs w:val="32"/>
          <w:highlight w:val="none"/>
        </w:rPr>
        <w:t>%</w:t>
      </w:r>
      <w:r>
        <w:rPr>
          <w:rFonts w:hint="eastAsia" w:ascii="仿宋_GB2312" w:eastAsia="仿宋_GB2312" w:cs="仿宋_GB2312"/>
          <w:sz w:val="32"/>
          <w:szCs w:val="32"/>
          <w:highlight w:val="none"/>
        </w:rPr>
        <w:t>。与上年度相比，一般公共预算财政拨款支出增加</w:t>
      </w:r>
      <w:r>
        <w:rPr>
          <w:rFonts w:ascii="仿宋_GB2312" w:eastAsia="仿宋_GB2312" w:cs="仿宋_GB2312"/>
          <w:sz w:val="32"/>
          <w:szCs w:val="32"/>
          <w:highlight w:val="none"/>
        </w:rPr>
        <w:t>32.51</w:t>
      </w:r>
      <w:r>
        <w:rPr>
          <w:rFonts w:hint="eastAsia" w:ascii="仿宋_GB2312" w:eastAsia="仿宋_GB2312" w:cs="仿宋_GB2312"/>
          <w:sz w:val="32"/>
          <w:szCs w:val="32"/>
          <w:highlight w:val="none"/>
        </w:rPr>
        <w:t>万元，增长</w:t>
      </w:r>
      <w:r>
        <w:rPr>
          <w:rFonts w:ascii="仿宋_GB2312" w:eastAsia="仿宋_GB2312" w:cs="仿宋_GB2312"/>
          <w:sz w:val="32"/>
          <w:szCs w:val="32"/>
          <w:highlight w:val="none"/>
        </w:rPr>
        <w:t>21.27%</w:t>
      </w:r>
      <w:r>
        <w:rPr>
          <w:rFonts w:hint="eastAsia" w:ascii="仿宋_GB2312" w:eastAsia="仿宋_GB2312" w:cs="仿宋_GB2312"/>
          <w:sz w:val="32"/>
          <w:szCs w:val="32"/>
          <w:highlight w:val="none"/>
        </w:rPr>
        <w:t>。</w:t>
      </w:r>
      <w:r>
        <w:rPr>
          <w:rFonts w:hint="eastAsia" w:ascii="仿宋_GB2312" w:hAnsi="仿宋_GB2312" w:eastAsia="仿宋_GB2312" w:cs="仿宋_GB2312"/>
          <w:sz w:val="32"/>
          <w:szCs w:val="32"/>
          <w:highlight w:val="none"/>
        </w:rPr>
        <w:t>主要原因是</w:t>
      </w:r>
      <w:r>
        <w:rPr>
          <w:rFonts w:hint="eastAsia" w:ascii="仿宋_GB2312" w:eastAsia="仿宋_GB2312" w:cs="仿宋_GB2312"/>
          <w:sz w:val="32"/>
          <w:szCs w:val="32"/>
          <w:highlight w:val="none"/>
        </w:rPr>
        <w:t>1.年度薪级工资正常增长；2.因办公区域搬迁，增加相关支出；3.补缴上年度欠缴社保费</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 w:hAnsi="仿宋" w:eastAsia="仿宋" w:cs="宋体"/>
          <w:kern w:val="0"/>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ascii="仿宋_GB2312" w:eastAsia="仿宋_GB2312" w:cs="仿宋_GB2312"/>
          <w:sz w:val="32"/>
          <w:szCs w:val="32"/>
          <w:highlight w:val="none"/>
        </w:rPr>
        <w:t>185.34</w:t>
      </w:r>
      <w:r>
        <w:rPr>
          <w:rFonts w:hint="eastAsia" w:ascii="仿宋_GB2312" w:hAnsi="仿宋_GB2312" w:eastAsia="仿宋_GB2312" w:cs="仿宋_GB2312"/>
          <w:sz w:val="32"/>
          <w:szCs w:val="32"/>
          <w:highlight w:val="none"/>
        </w:rPr>
        <w:t>万元，主要用于以下方面：</w:t>
      </w:r>
      <w:r>
        <w:rPr>
          <w:rFonts w:hint="eastAsia" w:ascii="仿宋" w:hAnsi="仿宋" w:eastAsia="仿宋" w:cs="宋体"/>
          <w:kern w:val="0"/>
          <w:sz w:val="32"/>
          <w:szCs w:val="32"/>
          <w:highlight w:val="none"/>
        </w:rPr>
        <w:t>一般公共服务（类）支出0.84万元，占0.45%；教育（类）支出141.3万元，占76.24%；社会保障和就业（类）支出37.46万元，占20.21%；卫生健康（类）支出5.75万元，占3.10%。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年度一般公共预算财政拨款支出年初预算为169.90万元，支出决算为185.34万元，完成年初预算的109.09%。其中：</w:t>
      </w:r>
    </w:p>
    <w:p>
      <w:pPr>
        <w:widowControl/>
        <w:spacing w:line="59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1.一般公务服务（类）群众团体事务（款）工会事物（项）。</w:t>
      </w:r>
      <w:r>
        <w:rPr>
          <w:rFonts w:hint="eastAsia" w:ascii="仿宋_GB2312" w:hAnsi="仿宋_GB2312" w:eastAsia="仿宋_GB2312" w:cs="仿宋_GB2312"/>
          <w:sz w:val="32"/>
          <w:szCs w:val="32"/>
          <w:highlight w:val="none"/>
        </w:rPr>
        <w:t>年初预算为0.84万元，支出决算为0.84万元，完成年初预算的100.00%。</w:t>
      </w:r>
      <w:r>
        <w:rPr>
          <w:rFonts w:hint="eastAsia" w:ascii="仿宋" w:hAnsi="仿宋" w:eastAsia="仿宋" w:cs="宋体"/>
          <w:kern w:val="0"/>
          <w:sz w:val="32"/>
          <w:szCs w:val="32"/>
          <w:highlight w:val="none"/>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2．教育（类）教育管理事务（款）其他教育管理事务（项）。</w:t>
      </w:r>
      <w:r>
        <w:rPr>
          <w:rFonts w:hint="eastAsia" w:ascii="仿宋_GB2312" w:hAnsi="仿宋_GB2312" w:eastAsia="仿宋_GB2312" w:cs="仿宋_GB2312"/>
          <w:sz w:val="32"/>
          <w:szCs w:val="32"/>
          <w:highlight w:val="none"/>
        </w:rPr>
        <w:t>年初预算为130.31万元，支出决算为138.74万元，完成年初预算的106.47%。决算数与年初预算数存在差异的主要原因是1.使用上年度结转财政资金支付上年度欠缴社保费；2.本年度职工薪级工资正常增长。以上经费均未纳入年初预算。</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3．教育（类）普通教育（款）其他普通教育支出（项）。</w:t>
      </w:r>
      <w:r>
        <w:rPr>
          <w:rFonts w:hint="eastAsia" w:ascii="仿宋_GB2312" w:hAnsi="仿宋_GB2312" w:eastAsia="仿宋_GB2312" w:cs="仿宋_GB2312"/>
          <w:sz w:val="32"/>
          <w:szCs w:val="32"/>
          <w:highlight w:val="none"/>
        </w:rPr>
        <w:t>年初预算为0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万元，支出决算为2.56万元。决算数与年初预算数存在差异的主要原因是使用上年度结转项目经费开展培训活动，并产生支出，该项经费年初未纳入预算。</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4．社会保障和就业（类）行政事业单位离退休（款）事业单位离退休（项）。</w:t>
      </w:r>
      <w:r>
        <w:rPr>
          <w:rFonts w:hint="eastAsia" w:ascii="仿宋_GB2312" w:hAnsi="仿宋_GB2312" w:eastAsia="仿宋_GB2312" w:cs="仿宋_GB2312"/>
          <w:sz w:val="32"/>
          <w:szCs w:val="32"/>
          <w:highlight w:val="none"/>
        </w:rPr>
        <w:t>年初预算为23.88万元，支出决算为26.59万元，完成年初预算的111.35%。决算数与年初预算数存在差异的主要原因是使用上年度结余经费支付2021年四季度未发退休补贴。</w:t>
      </w:r>
    </w:p>
    <w:p>
      <w:pPr>
        <w:widowControl/>
        <w:spacing w:line="590" w:lineRule="exact"/>
        <w:ind w:firstLine="643" w:firstLineChars="2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5.社会保障和就业（类）行政事业单位离退休（款）机关事业单位基本养老保险缴费支出（项）。</w:t>
      </w:r>
      <w:r>
        <w:rPr>
          <w:rFonts w:hint="eastAsia" w:ascii="仿宋_GB2312" w:hAnsi="仿宋_GB2312" w:eastAsia="仿宋_GB2312" w:cs="仿宋_GB2312"/>
          <w:sz w:val="32"/>
          <w:szCs w:val="32"/>
          <w:highlight w:val="none"/>
        </w:rPr>
        <w:t>年初预算为9.78万元，支出决算为10.87万元，完成年初预算的111.15%。决算数与年初预算数存在差异的主要原因是使用上年度结余资金支付上年度欠缴12月份社保费。</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6．卫生健康（类）行政事业单位医疗（款）行政单位医疗（项）。</w:t>
      </w:r>
      <w:r>
        <w:rPr>
          <w:rFonts w:hint="eastAsia" w:ascii="仿宋_GB2312" w:hAnsi="仿宋_GB2312" w:eastAsia="仿宋_GB2312" w:cs="仿宋_GB2312"/>
          <w:sz w:val="32"/>
          <w:szCs w:val="32"/>
          <w:highlight w:val="none"/>
        </w:rPr>
        <w:t>年初预算为0.50万元，支出决算为0.70万元，完成年初预算的140%。决算数与年初预算数存在差异的主要原因是我单位医疗保险费统一使用，使用上年度结余资金支付上年度欠缴12月份社保费。</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7．卫生健康（类）行政事业单位医疗（款）事业单位医疗（项）。</w:t>
      </w:r>
      <w:r>
        <w:rPr>
          <w:rFonts w:hint="eastAsia" w:ascii="仿宋_GB2312" w:hAnsi="仿宋_GB2312" w:eastAsia="仿宋_GB2312" w:cs="仿宋_GB2312"/>
          <w:sz w:val="32"/>
          <w:szCs w:val="32"/>
          <w:highlight w:val="none"/>
        </w:rPr>
        <w:t>年初预算为4.11万元，支出决算为4.52万元，完成年初预算的109.98%。决算数与年初预算数存在差异的主要原因是我单位医疗保险费统一使用，使用上年度结余资金支付上年度欠缴12月份社保费。</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8．卫生健康（类）行政事业单位医疗（款）公务员医疗补助（项）。</w:t>
      </w:r>
      <w:r>
        <w:rPr>
          <w:rFonts w:hint="eastAsia" w:ascii="仿宋_GB2312" w:hAnsi="仿宋_GB2312" w:eastAsia="仿宋_GB2312" w:cs="仿宋_GB2312"/>
          <w:sz w:val="32"/>
          <w:szCs w:val="32"/>
          <w:highlight w:val="none"/>
        </w:rPr>
        <w:t>年初预算为0.48万元，支出决算为0.53万元，完成年初预算的110.42%。决算数与年初预算数存在差异的主要原因是我单位医疗保险费统一使用，使用上年度结余资金支付上年度欠缴12月份社保费。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年度一般公共预算财政拨款基本支出182.78万元。其中：人员经费171.78万元，主要包括：基本工资、津贴补贴、</w:t>
      </w:r>
      <w:r>
        <w:rPr>
          <w:rFonts w:hint="eastAsia" w:ascii="仿宋_GB2312" w:hAnsi="仿宋_GB2312" w:eastAsia="仿宋_GB2312" w:cs="仿宋_GB2312"/>
          <w:sz w:val="32"/>
          <w:szCs w:val="32"/>
          <w:highlight w:val="none"/>
          <w:lang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eastAsia="zh-CN"/>
        </w:rPr>
        <w:t>职工基本医疗保险费、</w:t>
      </w:r>
      <w:r>
        <w:rPr>
          <w:rFonts w:hint="eastAsia" w:ascii="仿宋_GB2312" w:hAnsi="仿宋_GB2312" w:eastAsia="仿宋_GB2312" w:cs="仿宋_GB2312"/>
          <w:sz w:val="32"/>
          <w:szCs w:val="32"/>
          <w:highlight w:val="none"/>
        </w:rPr>
        <w:t>其他社会保障缴费、其他工资福利支出、退休费、住房公积金；公用经费11</w:t>
      </w:r>
      <w:r>
        <w:rPr>
          <w:rFonts w:hint="default" w:ascii="仿宋_GB2312" w:hAnsi="仿宋_GB2312" w:eastAsia="仿宋_GB2312" w:cs="仿宋_GB2312"/>
          <w:sz w:val="32"/>
          <w:szCs w:val="32"/>
          <w:highlight w:val="none"/>
          <w:lang w:val="en-US"/>
        </w:rPr>
        <w:t>.00</w:t>
      </w:r>
      <w:r>
        <w:rPr>
          <w:rFonts w:hint="eastAsia" w:ascii="仿宋_GB2312" w:hAnsi="仿宋_GB2312" w:eastAsia="仿宋_GB2312" w:cs="仿宋_GB2312"/>
          <w:sz w:val="32"/>
          <w:szCs w:val="32"/>
          <w:highlight w:val="none"/>
        </w:rPr>
        <w:t>万元，主要包括：办公费、印刷费、邮电费、差旅费、维修（护）费、培训费、劳务费、工会经费、福利费、其他交通费用。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ind w:firstLine="640" w:firstLineChars="200"/>
        <w:rPr>
          <w:rFonts w:hint="eastAsia" w:ascii="仿宋" w:hAnsi="仿宋" w:eastAsia="仿宋" w:cs="宋体"/>
          <w:kern w:val="0"/>
          <w:sz w:val="32"/>
          <w:szCs w:val="32"/>
          <w:highlight w:val="none"/>
        </w:rPr>
      </w:pPr>
      <w:r>
        <w:rPr>
          <w:rFonts w:ascii="仿宋" w:hAnsi="仿宋" w:eastAsia="仿宋" w:cs="宋体"/>
          <w:kern w:val="0"/>
          <w:sz w:val="32"/>
          <w:szCs w:val="32"/>
          <w:highlight w:val="none"/>
        </w:rPr>
        <w:t>2021</w:t>
      </w:r>
      <w:r>
        <w:rPr>
          <w:rFonts w:hint="eastAsia" w:ascii="仿宋" w:hAnsi="仿宋" w:eastAsia="仿宋" w:cs="宋体"/>
          <w:kern w:val="0"/>
          <w:sz w:val="32"/>
          <w:szCs w:val="32"/>
          <w:highlight w:val="none"/>
        </w:rPr>
        <w:t>年度“三公”经费财政拨款支出预算为0</w:t>
      </w:r>
      <w:r>
        <w:rPr>
          <w:rFonts w:hint="eastAsia" w:ascii="仿宋" w:hAnsi="仿宋" w:eastAsia="仿宋" w:cs="宋体"/>
          <w:kern w:val="0"/>
          <w:sz w:val="32"/>
          <w:szCs w:val="32"/>
          <w:highlight w:val="none"/>
          <w:lang w:val="en-US" w:eastAsia="zh-CN"/>
        </w:rPr>
        <w:t>.00</w:t>
      </w:r>
      <w:r>
        <w:rPr>
          <w:rFonts w:hint="eastAsia" w:ascii="仿宋" w:hAnsi="仿宋" w:eastAsia="仿宋" w:cs="宋体"/>
          <w:kern w:val="0"/>
          <w:sz w:val="32"/>
          <w:szCs w:val="32"/>
          <w:highlight w:val="none"/>
        </w:rPr>
        <w:t>万元，支出决算为0</w:t>
      </w:r>
      <w:r>
        <w:rPr>
          <w:rFonts w:hint="eastAsia" w:ascii="仿宋" w:hAnsi="仿宋" w:eastAsia="仿宋" w:cs="宋体"/>
          <w:kern w:val="0"/>
          <w:sz w:val="32"/>
          <w:szCs w:val="32"/>
          <w:highlight w:val="none"/>
          <w:lang w:val="en-US" w:eastAsia="zh-CN"/>
        </w:rPr>
        <w:t>.00</w:t>
      </w:r>
      <w:r>
        <w:rPr>
          <w:rFonts w:hint="eastAsia" w:ascii="仿宋" w:hAnsi="仿宋" w:eastAsia="仿宋" w:cs="宋体"/>
          <w:kern w:val="0"/>
          <w:sz w:val="32"/>
          <w:szCs w:val="32"/>
          <w:highlight w:val="none"/>
        </w:rPr>
        <w:t>万元。</w:t>
      </w:r>
      <w:r>
        <w:rPr>
          <w:rFonts w:ascii="仿宋" w:hAnsi="仿宋" w:eastAsia="仿宋" w:cs="宋体"/>
          <w:kern w:val="0"/>
          <w:sz w:val="32"/>
          <w:szCs w:val="32"/>
          <w:highlight w:val="none"/>
        </w:rPr>
        <w:t>2021</w:t>
      </w:r>
      <w:r>
        <w:rPr>
          <w:rFonts w:hint="eastAsia" w:ascii="仿宋" w:hAnsi="仿宋" w:eastAsia="仿宋" w:cs="宋体"/>
          <w:kern w:val="0"/>
          <w:sz w:val="32"/>
          <w:szCs w:val="32"/>
          <w:highlight w:val="none"/>
        </w:rPr>
        <w:t>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ind w:firstLine="640" w:firstLineChars="200"/>
        <w:rPr>
          <w:rFonts w:hint="eastAsia" w:ascii="仿宋" w:hAnsi="仿宋" w:eastAsia="仿宋" w:cs="宋体"/>
          <w:kern w:val="0"/>
          <w:sz w:val="32"/>
          <w:szCs w:val="32"/>
          <w:highlight w:val="none"/>
        </w:rPr>
      </w:pPr>
      <w:r>
        <w:rPr>
          <w:rFonts w:ascii="仿宋" w:hAnsi="仿宋" w:eastAsia="仿宋" w:cs="宋体"/>
          <w:kern w:val="0"/>
          <w:sz w:val="32"/>
          <w:szCs w:val="32"/>
          <w:highlight w:val="none"/>
        </w:rPr>
        <w:t>2021</w:t>
      </w:r>
      <w:r>
        <w:rPr>
          <w:rFonts w:hint="eastAsia" w:ascii="仿宋" w:hAnsi="仿宋" w:eastAsia="仿宋" w:cs="宋体"/>
          <w:kern w:val="0"/>
          <w:sz w:val="32"/>
          <w:szCs w:val="32"/>
          <w:highlight w:val="none"/>
        </w:rPr>
        <w:t>年度“三公”经费财政拨款支出决算中，因公出国（境）费支出决算0</w:t>
      </w:r>
      <w:r>
        <w:rPr>
          <w:rFonts w:hint="eastAsia" w:ascii="仿宋" w:hAnsi="仿宋" w:eastAsia="仿宋" w:cs="宋体"/>
          <w:kern w:val="0"/>
          <w:sz w:val="32"/>
          <w:szCs w:val="32"/>
          <w:highlight w:val="none"/>
          <w:lang w:val="en-US" w:eastAsia="zh-CN"/>
        </w:rPr>
        <w:t>.00</w:t>
      </w:r>
      <w:r>
        <w:rPr>
          <w:rFonts w:hint="eastAsia" w:ascii="仿宋" w:hAnsi="仿宋" w:eastAsia="仿宋" w:cs="宋体"/>
          <w:kern w:val="0"/>
          <w:sz w:val="32"/>
          <w:szCs w:val="32"/>
          <w:highlight w:val="none"/>
        </w:rPr>
        <w:t>万元；公务用车购置及运行费支出决算0</w:t>
      </w:r>
      <w:r>
        <w:rPr>
          <w:rFonts w:hint="eastAsia" w:ascii="仿宋" w:hAnsi="仿宋" w:eastAsia="仿宋" w:cs="宋体"/>
          <w:kern w:val="0"/>
          <w:sz w:val="32"/>
          <w:szCs w:val="32"/>
          <w:highlight w:val="none"/>
          <w:lang w:val="en-US" w:eastAsia="zh-CN"/>
        </w:rPr>
        <w:t>.00</w:t>
      </w:r>
      <w:r>
        <w:rPr>
          <w:rFonts w:hint="eastAsia" w:ascii="仿宋" w:hAnsi="仿宋" w:eastAsia="仿宋" w:cs="宋体"/>
          <w:kern w:val="0"/>
          <w:sz w:val="32"/>
          <w:szCs w:val="32"/>
          <w:highlight w:val="none"/>
        </w:rPr>
        <w:t>万元；公务接待费支出决算0</w:t>
      </w:r>
      <w:r>
        <w:rPr>
          <w:rFonts w:hint="eastAsia" w:ascii="仿宋" w:hAnsi="仿宋" w:eastAsia="仿宋" w:cs="宋体"/>
          <w:kern w:val="0"/>
          <w:sz w:val="32"/>
          <w:szCs w:val="32"/>
          <w:highlight w:val="none"/>
          <w:lang w:val="en-US" w:eastAsia="zh-CN"/>
        </w:rPr>
        <w:t>.00</w:t>
      </w:r>
      <w:r>
        <w:rPr>
          <w:rFonts w:hint="eastAsia" w:ascii="仿宋" w:hAnsi="仿宋" w:eastAsia="仿宋" w:cs="宋体"/>
          <w:kern w:val="0"/>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w:t>
      </w:r>
      <w:r>
        <w:rPr>
          <w:rFonts w:hint="eastAsia" w:ascii="仿宋" w:hAnsi="仿宋" w:eastAsia="仿宋" w:cs="宋体"/>
          <w:kern w:val="0"/>
          <w:sz w:val="32"/>
          <w:szCs w:val="32"/>
          <w:highlight w:val="none"/>
        </w:rPr>
        <w:t>为0.00万元，支出决算为0.00万元。决算数与预算数不存在差异。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w:t>
      </w:r>
      <w:r>
        <w:rPr>
          <w:rFonts w:hint="eastAsia" w:ascii="仿宋" w:hAnsi="仿宋" w:eastAsia="仿宋" w:cs="宋体"/>
          <w:kern w:val="0"/>
          <w:sz w:val="32"/>
          <w:szCs w:val="32"/>
          <w:highlight w:val="none"/>
        </w:rPr>
        <w:t>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 w:hAnsi="仿宋" w:eastAsia="仿宋" w:cs="宋体"/>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 w:hAnsi="仿宋" w:eastAsia="仿宋" w:cs="宋体"/>
          <w:kern w:val="0"/>
          <w:sz w:val="32"/>
          <w:szCs w:val="32"/>
          <w:highlight w:val="none"/>
        </w:rPr>
        <w:t>，购置车辆0辆。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 w:hAnsi="仿宋" w:eastAsia="仿宋" w:cs="宋体"/>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 w:hAnsi="仿宋" w:eastAsia="仿宋" w:cs="宋体"/>
          <w:kern w:val="0"/>
          <w:sz w:val="32"/>
          <w:szCs w:val="32"/>
          <w:highlight w:val="none"/>
        </w:rPr>
        <w:t>2021年期末，部门开支财政拨款的公务用车保有量为0辆。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 w:hAnsi="仿宋" w:eastAsia="仿宋" w:cs="宋体"/>
          <w:kern w:val="0"/>
          <w:sz w:val="32"/>
          <w:szCs w:val="32"/>
          <w:highlight w:val="none"/>
        </w:rPr>
        <w:t>0.00</w:t>
      </w:r>
      <w:r>
        <w:rPr>
          <w:rFonts w:hint="eastAsia" w:ascii="仿宋_GB2312" w:hAnsi="仿宋_GB2312" w:eastAsia="仿宋_GB2312" w:cs="仿宋_GB2312"/>
          <w:sz w:val="32"/>
          <w:szCs w:val="32"/>
          <w:highlight w:val="none"/>
        </w:rPr>
        <w:t>万元，支出决算为</w:t>
      </w:r>
      <w:r>
        <w:rPr>
          <w:rFonts w:hint="eastAsia" w:ascii="仿宋" w:hAnsi="仿宋" w:eastAsia="仿宋" w:cs="宋体"/>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 w:hAnsi="仿宋" w:eastAsia="仿宋" w:cs="宋体"/>
          <w:kern w:val="0"/>
          <w:sz w:val="32"/>
          <w:szCs w:val="32"/>
          <w:highlight w:val="none"/>
        </w:rPr>
        <w:t>决算数与预算数不存在差异。其中：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 w:hAnsi="仿宋" w:eastAsia="仿宋" w:cs="宋体"/>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 w:hAnsi="仿宋" w:eastAsia="仿宋" w:cs="宋体"/>
          <w:kern w:val="0"/>
          <w:sz w:val="32"/>
          <w:szCs w:val="32"/>
          <w:highlight w:val="none"/>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 w:hAnsi="仿宋" w:eastAsia="仿宋" w:cs="宋体"/>
          <w:kern w:val="0"/>
          <w:sz w:val="32"/>
          <w:szCs w:val="32"/>
          <w:highlight w:val="none"/>
        </w:rPr>
        <w:t>0.00</w:t>
      </w:r>
      <w:r>
        <w:rPr>
          <w:rFonts w:hint="eastAsia" w:ascii="仿宋_GB2312" w:hAnsi="仿宋_GB2312" w:eastAsia="仿宋_GB2312" w:cs="仿宋_GB2312"/>
          <w:sz w:val="32"/>
          <w:szCs w:val="32"/>
          <w:highlight w:val="none"/>
        </w:rPr>
        <w:t>万元。</w:t>
      </w:r>
      <w:r>
        <w:rPr>
          <w:rFonts w:hint="eastAsia" w:ascii="仿宋" w:hAnsi="仿宋" w:eastAsia="仿宋" w:cs="宋体"/>
          <w:kern w:val="0"/>
          <w:sz w:val="32"/>
          <w:szCs w:val="32"/>
          <w:highlight w:val="none"/>
        </w:rPr>
        <w:t>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202</w:t>
      </w:r>
      <w:r>
        <w:rPr>
          <w:rFonts w:hint="eastAsia" w:ascii="仿宋" w:hAnsi="仿宋" w:eastAsia="仿宋" w:cs="宋体"/>
          <w:kern w:val="0"/>
          <w:sz w:val="32"/>
          <w:szCs w:val="32"/>
          <w:highlight w:val="none"/>
          <w:lang w:val="en-US" w:eastAsia="zh-CN"/>
        </w:rPr>
        <w:t>1</w:t>
      </w:r>
      <w:r>
        <w:rPr>
          <w:rFonts w:hint="eastAsia" w:ascii="仿宋" w:hAnsi="仿宋" w:eastAsia="仿宋" w:cs="宋体"/>
          <w:kern w:val="0"/>
          <w:sz w:val="32"/>
          <w:szCs w:val="32"/>
          <w:highlight w:val="none"/>
        </w:rPr>
        <w:t>年度政府性基金预算财政拨款支出年初预算为0.00万元，支出决算为0.00万元。</w:t>
      </w:r>
    </w:p>
    <w:p>
      <w:pPr>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我单位202</w:t>
      </w:r>
      <w:r>
        <w:rPr>
          <w:rFonts w:hint="eastAsia" w:ascii="仿宋" w:hAnsi="仿宋" w:eastAsia="仿宋" w:cs="宋体"/>
          <w:kern w:val="0"/>
          <w:sz w:val="32"/>
          <w:szCs w:val="32"/>
          <w:highlight w:val="none"/>
          <w:lang w:val="en-US" w:eastAsia="zh-CN"/>
        </w:rPr>
        <w:t>1</w:t>
      </w:r>
      <w:r>
        <w:rPr>
          <w:rFonts w:hint="eastAsia" w:ascii="仿宋" w:hAnsi="仿宋" w:eastAsia="仿宋" w:cs="宋体"/>
          <w:kern w:val="0"/>
          <w:sz w:val="32"/>
          <w:szCs w:val="32"/>
          <w:highlight w:val="none"/>
        </w:rPr>
        <w:t>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ind w:firstLine="640" w:firstLineChars="200"/>
        <w:rPr>
          <w:rFonts w:hint="eastAsia" w:ascii="仿宋" w:hAnsi="仿宋" w:eastAsia="仿宋" w:cs="宋体"/>
          <w:kern w:val="0"/>
          <w:sz w:val="32"/>
          <w:szCs w:val="32"/>
          <w:highlight w:val="none"/>
        </w:rPr>
      </w:pPr>
      <w:r>
        <w:rPr>
          <w:rFonts w:hint="eastAsia" w:ascii="仿宋" w:hAnsi="仿宋" w:eastAsia="仿宋" w:cs="宋体"/>
          <w:kern w:val="0"/>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ind w:firstLine="640" w:firstLineChars="200"/>
        <w:rPr>
          <w:rFonts w:hint="eastAsia" w:ascii="仿宋" w:hAnsi="仿宋" w:eastAsia="仿宋" w:cs="宋体"/>
          <w:kern w:val="0"/>
          <w:sz w:val="32"/>
          <w:szCs w:val="32"/>
          <w:highlight w:val="none"/>
        </w:rPr>
      </w:pPr>
      <w:r>
        <w:rPr>
          <w:rFonts w:ascii="仿宋" w:hAnsi="仿宋" w:eastAsia="仿宋" w:cs="宋体"/>
          <w:kern w:val="0"/>
          <w:sz w:val="32"/>
          <w:szCs w:val="32"/>
          <w:highlight w:val="none"/>
        </w:rPr>
        <w:t>2021</w:t>
      </w:r>
      <w:r>
        <w:rPr>
          <w:rFonts w:hint="eastAsia" w:ascii="仿宋" w:hAnsi="仿宋" w:eastAsia="仿宋" w:cs="宋体"/>
          <w:kern w:val="0"/>
          <w:sz w:val="32"/>
          <w:szCs w:val="32"/>
          <w:highlight w:val="none"/>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ind w:firstLine="640" w:firstLineChars="200"/>
        <w:rPr>
          <w:rFonts w:hint="eastAsia" w:ascii="仿宋" w:hAnsi="仿宋" w:eastAsia="仿宋" w:cs="宋体"/>
          <w:kern w:val="0"/>
          <w:sz w:val="32"/>
          <w:szCs w:val="32"/>
          <w:highlight w:val="none"/>
        </w:rPr>
      </w:pPr>
      <w:r>
        <w:rPr>
          <w:rFonts w:ascii="仿宋" w:hAnsi="仿宋" w:eastAsia="仿宋" w:cs="宋体"/>
          <w:kern w:val="0"/>
          <w:sz w:val="32"/>
          <w:szCs w:val="32"/>
          <w:highlight w:val="none"/>
        </w:rPr>
        <w:t>2021</w:t>
      </w:r>
      <w:r>
        <w:rPr>
          <w:rFonts w:hint="eastAsia" w:ascii="仿宋" w:hAnsi="仿宋" w:eastAsia="仿宋" w:cs="宋体"/>
          <w:kern w:val="0"/>
          <w:sz w:val="32"/>
          <w:szCs w:val="32"/>
          <w:highlight w:val="none"/>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spacing w:line="360" w:lineRule="auto"/>
        <w:ind w:firstLine="964" w:firstLineChars="3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我单位按照《中共许昌市委 许昌市人民政府关于全面实施预算绩效管理的实施意见》（许发〔2021〕13号）文件要求，对本单位整体支出和项目支出开展全过程预算绩效管理。2020年我单位纳入预算绩效管理的支出总额为185.34万元，其中：基本支出182.78万元；支出项目1个，支出金额2.56万元。开展项目绩效自评项目1个，自评金额</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万元；纳入重点绩效评价</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个，评价金额</w:t>
      </w:r>
      <w:r>
        <w:rPr>
          <w:rFonts w:hint="eastAsia" w:ascii="仿宋_GB2312" w:hAnsi="仿宋_GB2312" w:eastAsia="仿宋_GB2312" w:cs="仿宋_GB2312"/>
          <w:sz w:val="32"/>
          <w:szCs w:val="32"/>
          <w:highlight w:val="none"/>
          <w:lang w:val="en-US" w:eastAsia="zh-CN"/>
        </w:rPr>
        <w:t>0</w:t>
      </w:r>
      <w:r>
        <w:rPr>
          <w:rFonts w:hint="default"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p>
    <w:p>
      <w:pPr>
        <w:widowControl/>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我单位2021年度积极配合主管部门开展的绩效管理工作，根据上级部门要求严格管理本单位绩效申报工作，并于年末开展自评工作，全年共参与上级部门开展的绩效培训3次。</w:t>
      </w:r>
    </w:p>
    <w:p>
      <w:pPr>
        <w:widowControl/>
        <w:spacing w:line="360" w:lineRule="auto"/>
        <w:ind w:firstLine="964" w:firstLineChars="3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（二）部门（单位）整体和项目绩效自评结果。</w:t>
      </w:r>
    </w:p>
    <w:p>
      <w:pPr>
        <w:widowControl/>
        <w:spacing w:line="360" w:lineRule="auto"/>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按照《许昌市财政局关于开展2021年度市级预算绩效自评工作的通知》（许财效）〔202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lang w:eastAsia="zh-CN"/>
        </w:rPr>
        <w:t>：</w:t>
      </w:r>
      <w:r>
        <w:rPr>
          <w:rFonts w:hint="eastAsia" w:ascii="仿宋" w:hAnsi="仿宋" w:eastAsia="仿宋" w:cs="宋体"/>
          <w:kern w:val="0"/>
          <w:sz w:val="32"/>
          <w:szCs w:val="32"/>
        </w:rPr>
        <w:t>我单位整体绩效目标自评结果良好，最终得分得分86.96分。我单位严格按照预算批复开展活动，除</w:t>
      </w:r>
      <w:r>
        <w:rPr>
          <w:rFonts w:hint="eastAsia" w:ascii="仿宋" w:hAnsi="仿宋" w:eastAsia="仿宋" w:cs="宋体"/>
          <w:kern w:val="0"/>
          <w:sz w:val="32"/>
          <w:szCs w:val="32"/>
          <w:lang w:eastAsia="zh-CN"/>
        </w:rPr>
        <w:t>“单位运转经费”项目</w:t>
      </w:r>
      <w:r>
        <w:rPr>
          <w:rFonts w:hint="eastAsia" w:ascii="仿宋" w:hAnsi="仿宋" w:eastAsia="仿宋" w:cs="宋体"/>
          <w:kern w:val="0"/>
          <w:sz w:val="32"/>
          <w:szCs w:val="32"/>
        </w:rPr>
        <w:t>因疫情反复，</w:t>
      </w:r>
      <w:r>
        <w:rPr>
          <w:rFonts w:hint="eastAsia" w:ascii="仿宋" w:hAnsi="仿宋" w:eastAsia="仿宋" w:cs="宋体"/>
          <w:kern w:val="0"/>
          <w:sz w:val="32"/>
          <w:szCs w:val="32"/>
          <w:lang w:eastAsia="zh-CN"/>
        </w:rPr>
        <w:t>最终没有开展</w:t>
      </w:r>
      <w:r>
        <w:rPr>
          <w:rFonts w:hint="eastAsia" w:ascii="仿宋" w:hAnsi="仿宋" w:eastAsia="仿宋" w:cs="宋体"/>
          <w:kern w:val="0"/>
          <w:sz w:val="32"/>
          <w:szCs w:val="32"/>
        </w:rPr>
        <w:t>外，剩余预期工作目标均圆满完成。</w:t>
      </w:r>
      <w:r>
        <w:rPr>
          <w:rFonts w:hint="eastAsia" w:ascii="仿宋_GB2312" w:hAnsi="仿宋_GB2312" w:eastAsia="仿宋_GB2312" w:cs="仿宋_GB2312"/>
          <w:sz w:val="32"/>
          <w:szCs w:val="32"/>
          <w:highlight w:val="none"/>
        </w:rPr>
        <w:t>二是项目绩效自评情况。我单位共有</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个项目批复了绩效目标</w:t>
      </w:r>
      <w:r>
        <w:rPr>
          <w:rFonts w:hint="eastAsia" w:ascii="仿宋_GB2312" w:hAnsi="仿宋_GB2312" w:eastAsia="仿宋_GB2312" w:cs="仿宋_GB2312"/>
          <w:sz w:val="32"/>
          <w:szCs w:val="32"/>
          <w:highlight w:val="none"/>
          <w:lang w:eastAsia="zh-CN"/>
        </w:rPr>
        <w:t>，项目金额</w:t>
      </w:r>
      <w:r>
        <w:rPr>
          <w:rFonts w:hint="eastAsia" w:ascii="仿宋_GB2312" w:hAnsi="仿宋_GB2312" w:eastAsia="仿宋_GB2312" w:cs="仿宋_GB2312"/>
          <w:sz w:val="32"/>
          <w:szCs w:val="32"/>
          <w:highlight w:val="none"/>
          <w:lang w:val="en-US" w:eastAsia="zh-CN"/>
        </w:rPr>
        <w:t>0.60万元</w:t>
      </w:r>
      <w:r>
        <w:rPr>
          <w:rFonts w:hint="eastAsia" w:ascii="仿宋_GB2312" w:hAnsi="仿宋_GB2312" w:eastAsia="仿宋_GB2312" w:cs="仿宋_GB2312"/>
          <w:sz w:val="32"/>
          <w:szCs w:val="32"/>
          <w:highlight w:val="none"/>
        </w:rPr>
        <w:t>。</w:t>
      </w:r>
    </w:p>
    <w:p>
      <w:pPr>
        <w:widowControl/>
        <w:spacing w:line="360" w:lineRule="auto"/>
        <w:ind w:firstLine="960" w:firstLineChars="3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基于项目预期目标的实现程度，对2021年度项目支出绩效进行自评，绩效自评平均得分为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分。其中：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个项目评价等级为“优”、</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个项目评价等级为“良”、</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个项目评价等级为“中”、</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个项目评价等级为“差”。</w:t>
      </w:r>
    </w:p>
    <w:p>
      <w:pPr>
        <w:widowControl/>
        <w:spacing w:line="360" w:lineRule="auto"/>
        <w:ind w:firstLine="964" w:firstLineChars="3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（三）重点绩效评价结果。</w:t>
      </w:r>
    </w:p>
    <w:p>
      <w:pPr>
        <w:widowControl/>
        <w:jc w:val="lef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2021年度我单位没有开展重点绩效评价的项目。</w:t>
      </w: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仿宋" w:hAnsi="仿宋" w:eastAsia="仿宋" w:cs="宋体"/>
          <w:kern w:val="0"/>
          <w:sz w:val="32"/>
          <w:szCs w:val="32"/>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- 30 -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01693"/>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C558D"/>
    <w:rsid w:val="002E6A86"/>
    <w:rsid w:val="00304D04"/>
    <w:rsid w:val="00305B88"/>
    <w:rsid w:val="00315FEB"/>
    <w:rsid w:val="0041489C"/>
    <w:rsid w:val="0042585F"/>
    <w:rsid w:val="00433E3D"/>
    <w:rsid w:val="00445CAC"/>
    <w:rsid w:val="00472E19"/>
    <w:rsid w:val="00487869"/>
    <w:rsid w:val="004D5275"/>
    <w:rsid w:val="004F63DB"/>
    <w:rsid w:val="00505190"/>
    <w:rsid w:val="00507364"/>
    <w:rsid w:val="005119F3"/>
    <w:rsid w:val="00522185"/>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766AC"/>
    <w:rsid w:val="00BE5A85"/>
    <w:rsid w:val="00BF4E6A"/>
    <w:rsid w:val="00BF5718"/>
    <w:rsid w:val="00C0119A"/>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7ED6F14"/>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F614FE"/>
    <w:rsid w:val="21302EEA"/>
    <w:rsid w:val="22376FB5"/>
    <w:rsid w:val="23E152D7"/>
    <w:rsid w:val="23EE2489"/>
    <w:rsid w:val="24FF16B5"/>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3FFB1EE7"/>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363FEE"/>
    <w:rsid w:val="4EBF010F"/>
    <w:rsid w:val="4F471EB0"/>
    <w:rsid w:val="4FFD1282"/>
    <w:rsid w:val="51331326"/>
    <w:rsid w:val="51740A7F"/>
    <w:rsid w:val="51A5541E"/>
    <w:rsid w:val="51C96242"/>
    <w:rsid w:val="53906AE1"/>
    <w:rsid w:val="54F46F60"/>
    <w:rsid w:val="5529F86E"/>
    <w:rsid w:val="55A37BEA"/>
    <w:rsid w:val="56362CD2"/>
    <w:rsid w:val="574D5B03"/>
    <w:rsid w:val="5784687B"/>
    <w:rsid w:val="57846959"/>
    <w:rsid w:val="578E6A87"/>
    <w:rsid w:val="5AC2203A"/>
    <w:rsid w:val="5CBB3334"/>
    <w:rsid w:val="5D115FAF"/>
    <w:rsid w:val="62811722"/>
    <w:rsid w:val="62E75A72"/>
    <w:rsid w:val="64571880"/>
    <w:rsid w:val="649125B6"/>
    <w:rsid w:val="652F4C1A"/>
    <w:rsid w:val="666D37F1"/>
    <w:rsid w:val="67087D8F"/>
    <w:rsid w:val="671F687E"/>
    <w:rsid w:val="67F415F8"/>
    <w:rsid w:val="682640D1"/>
    <w:rsid w:val="684B73E5"/>
    <w:rsid w:val="6A047A2A"/>
    <w:rsid w:val="6D376B65"/>
    <w:rsid w:val="6EFB7548"/>
    <w:rsid w:val="6F3831C3"/>
    <w:rsid w:val="6F8B71C1"/>
    <w:rsid w:val="6FF349B2"/>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BEFFC6E"/>
    <w:rsid w:val="7E4A0E7C"/>
    <w:rsid w:val="7EFD449D"/>
    <w:rsid w:val="7FFF01C7"/>
    <w:rsid w:val="B3339066"/>
    <w:rsid w:val="B35D86A9"/>
    <w:rsid w:val="B9FF06F8"/>
    <w:rsid w:val="E6FFEC21"/>
    <w:rsid w:val="F7BDDC89"/>
    <w:rsid w:val="FFFE53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w:link w:val="2"/>
    <w:semiHidden/>
    <w:uiPriority w:val="99"/>
    <w:rPr>
      <w:kern w:val="2"/>
      <w:sz w:val="18"/>
      <w:szCs w:val="18"/>
    </w:rPr>
  </w:style>
  <w:style w:type="character" w:customStyle="1" w:styleId="11">
    <w:name w:val="页脚 Char"/>
    <w:link w:val="3"/>
    <w:uiPriority w:val="99"/>
    <w:rPr>
      <w:kern w:val="2"/>
      <w:sz w:val="18"/>
      <w:szCs w:val="18"/>
    </w:rPr>
  </w:style>
  <w:style w:type="character" w:customStyle="1" w:styleId="12">
    <w:name w:val="页眉 Char"/>
    <w:link w:val="4"/>
    <w:uiPriority w:val="99"/>
    <w:rPr>
      <w:kern w:val="2"/>
      <w:sz w:val="18"/>
      <w:szCs w:val="18"/>
    </w:rPr>
  </w:style>
  <w:style w:type="character" w:customStyle="1" w:styleId="13">
    <w:name w:val="font01"/>
    <w:uiPriority w:val="0"/>
    <w:rPr>
      <w:rFonts w:hint="eastAsia" w:ascii="宋体" w:hAnsi="宋体" w:eastAsia="宋体" w:cs="宋体"/>
      <w:color w:val="000000"/>
      <w:sz w:val="22"/>
      <w:szCs w:val="22"/>
      <w:u w:val="none"/>
    </w:rPr>
  </w:style>
  <w:style w:type="character" w:customStyle="1" w:styleId="14">
    <w:name w:val="font21"/>
    <w:uiPriority w:val="0"/>
    <w:rPr>
      <w:rFonts w:hint="eastAsia" w:ascii="宋体" w:hAnsi="宋体" w:eastAsia="宋体" w:cs="宋体"/>
      <w:color w:val="000000"/>
      <w:sz w:val="22"/>
      <w:szCs w:val="22"/>
      <w:u w:val="none"/>
    </w:rPr>
  </w:style>
  <w:style w:type="character" w:customStyle="1" w:styleId="15">
    <w:name w:val="font51"/>
    <w:uiPriority w:val="0"/>
    <w:rPr>
      <w:rFonts w:hint="eastAsia" w:ascii="宋体" w:hAnsi="宋体" w:eastAsia="宋体" w:cs="宋体"/>
      <w:color w:val="000000"/>
      <w:sz w:val="24"/>
      <w:szCs w:val="24"/>
      <w:u w:val="none"/>
    </w:rPr>
  </w:style>
  <w:style w:type="character" w:customStyle="1" w:styleId="16">
    <w:name w:val="font11"/>
    <w:uiPriority w:val="0"/>
    <w:rPr>
      <w:rFonts w:hint="eastAsia" w:ascii="宋体" w:hAnsi="宋体" w:eastAsia="宋体" w:cs="宋体"/>
      <w:color w:val="000000"/>
      <w:sz w:val="20"/>
      <w:szCs w:val="20"/>
      <w:u w:val="none"/>
    </w:rPr>
  </w:style>
  <w:style w:type="character" w:customStyle="1" w:styleId="17">
    <w:name w:val="font4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31</Pages>
  <Words>8139</Words>
  <Characters>9814</Characters>
  <Lines>89</Lines>
  <Paragraphs>25</Paragraphs>
  <TotalTime>4</TotalTime>
  <ScaleCrop>false</ScaleCrop>
  <LinksUpToDate>false</LinksUpToDate>
  <CharactersWithSpaces>10605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ahui</cp:lastModifiedBy>
  <cp:lastPrinted>2018-07-26T02:50:00Z</cp:lastPrinted>
  <dcterms:modified xsi:type="dcterms:W3CDTF">2023-09-13T02:32:50Z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1F0A26D0C0424CE7BEDDC27ED7F3C191_13</vt:lpwstr>
  </property>
</Properties>
</file>