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2021年度</w:t>
      </w:r>
    </w:p>
    <w:p>
      <w:pPr>
        <w:jc w:val="center"/>
        <w:rPr>
          <w:rFonts w:hint="eastAsia" w:ascii="黑体" w:hAnsi="黑体" w:eastAsia="黑体" w:cs="黑体"/>
          <w:sz w:val="52"/>
          <w:szCs w:val="52"/>
        </w:rPr>
      </w:pPr>
      <w:r>
        <w:rPr>
          <w:rFonts w:hint="eastAsia" w:ascii="黑体" w:hAnsi="黑体" w:eastAsia="黑体" w:cs="黑体"/>
          <w:sz w:val="52"/>
          <w:szCs w:val="52"/>
        </w:rPr>
        <w:t>许昌市生态环境局（本级）</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许昌市生态环境局概况</w:t>
      </w:r>
    </w:p>
    <w:p>
      <w:pPr>
        <w:numPr>
          <w:ilvl w:val="0"/>
          <w:numId w:val="2"/>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2"/>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许昌市生态环境局（本级）概况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（一）负责建立健全全市生态环境基本制度。</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（二）负责全市重大生态环境问题的统筹协调和监督管理。</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（三）负责监督管理国家、省、市减排目标的落实。</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（四）负责提出生态环境领域固定资产投资规模和方向、国家及省市财政性资金安排意见。</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（五）负责全市生态环境污染防治的监督管理。</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（六）负责生态环境准入的监督管理。</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（七）负责生态环境监测工作。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（八）负责生态环境科技与标准工作。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（九）指导协调和监督生态保护修复工作。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（十）负责核与辐射安全的监督管理。</w:t>
      </w:r>
    </w:p>
    <w:p>
      <w:pPr>
        <w:widowControl/>
        <w:spacing w:line="600" w:lineRule="exact"/>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许昌市生态环境局（本级）内设机构17个，包括：</w:t>
      </w:r>
      <w:r>
        <w:rPr>
          <w:rFonts w:hint="eastAsia" w:ascii="仿宋_GB2312" w:hAnsi="仿宋_GB2312" w:eastAsia="仿宋_GB2312" w:cs="仿宋_GB2312"/>
          <w:sz w:val="32"/>
          <w:szCs w:val="32"/>
        </w:rPr>
        <w:t>办公室、生态环境保护督察办公室（环境应急管理办公室）、综合科、人事科、法规标准科、财务审计科、水生态环境科、大气环境科（应对气候变化科）、土壤与自然生态环境科、宣传教育与科技信息科、固体废物与化学品科、核与辐射安全监管科、环境影响评价与排放管理科（政务服务科）、生态环境监测科、移动源污染监管科、机关党委、离退休干部工作科。</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从决算单位构成看，许昌市生态环境局</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许昌市生态环境局</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7"/>
        <w:tblW w:w="13875" w:type="dxa"/>
        <w:tblInd w:w="93" w:type="dxa"/>
        <w:tblLayout w:type="autofit"/>
        <w:tblCellMar>
          <w:top w:w="0" w:type="dxa"/>
          <w:left w:w="108" w:type="dxa"/>
          <w:bottom w:w="0" w:type="dxa"/>
          <w:right w:w="108" w:type="dxa"/>
        </w:tblCellMar>
      </w:tblPr>
      <w:tblGrid>
        <w:gridCol w:w="4822"/>
        <w:gridCol w:w="847"/>
        <w:gridCol w:w="1415"/>
        <w:gridCol w:w="4538"/>
        <w:gridCol w:w="847"/>
        <w:gridCol w:w="1413"/>
      </w:tblGrid>
      <w:tr>
        <w:tblPrEx>
          <w:tblCellMar>
            <w:top w:w="0" w:type="dxa"/>
            <w:left w:w="108" w:type="dxa"/>
            <w:bottom w:w="0" w:type="dxa"/>
            <w:right w:w="108" w:type="dxa"/>
          </w:tblCellMar>
        </w:tblPrEx>
        <w:trPr>
          <w:trHeight w:val="390" w:hRule="atLeast"/>
        </w:trPr>
        <w:tc>
          <w:tcPr>
            <w:tcW w:w="13882" w:type="dxa"/>
            <w:gridSpan w:val="6"/>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公开01表</w:t>
            </w:r>
          </w:p>
        </w:tc>
      </w:tr>
      <w:tr>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3,322.65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5,648.81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3,322.65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2,592.00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7"/>
        <w:tblW w:w="14081" w:type="dxa"/>
        <w:tblInd w:w="93" w:type="dxa"/>
        <w:tblLayout w:type="fixed"/>
        <w:tblCellMar>
          <w:top w:w="0" w:type="dxa"/>
          <w:left w:w="108" w:type="dxa"/>
          <w:bottom w:w="0" w:type="dxa"/>
          <w:right w:w="108" w:type="dxa"/>
        </w:tblCellMar>
      </w:tblPr>
      <w:tblGrid>
        <w:gridCol w:w="243"/>
        <w:gridCol w:w="245"/>
        <w:gridCol w:w="614"/>
        <w:gridCol w:w="4991"/>
        <w:gridCol w:w="1944"/>
        <w:gridCol w:w="1770"/>
        <w:gridCol w:w="1190"/>
        <w:gridCol w:w="709"/>
        <w:gridCol w:w="717"/>
        <w:gridCol w:w="878"/>
        <w:gridCol w:w="780"/>
      </w:tblGrid>
      <w:tr>
        <w:tblPrEx>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55" w:hRule="atLeast"/>
        </w:trPr>
        <w:tc>
          <w:tcPr>
            <w:tcW w:w="243" w:type="dxa"/>
            <w:tcBorders>
              <w:top w:val="nil"/>
              <w:left w:val="nil"/>
              <w:bottom w:val="nil"/>
              <w:right w:val="nil"/>
            </w:tcBorders>
            <w:noWrap/>
            <w:vAlign w:val="bottom"/>
          </w:tcPr>
          <w:p>
            <w:pPr>
              <w:rPr>
                <w:rFonts w:hint="eastAsia" w:ascii="Arial" w:hAnsi="Arial" w:cs="Arial"/>
                <w:color w:val="000000"/>
                <w:sz w:val="18"/>
                <w:szCs w:val="18"/>
              </w:rPr>
            </w:pPr>
          </w:p>
        </w:tc>
        <w:tc>
          <w:tcPr>
            <w:tcW w:w="245" w:type="dxa"/>
            <w:tcBorders>
              <w:top w:val="nil"/>
              <w:left w:val="nil"/>
              <w:bottom w:val="nil"/>
              <w:right w:val="nil"/>
            </w:tcBorders>
            <w:noWrap/>
            <w:vAlign w:val="bottom"/>
          </w:tcPr>
          <w:p>
            <w:pPr>
              <w:rPr>
                <w:rFonts w:ascii="Arial" w:hAnsi="Arial" w:cs="Arial"/>
                <w:color w:val="000000"/>
                <w:sz w:val="18"/>
                <w:szCs w:val="18"/>
              </w:rPr>
            </w:pPr>
          </w:p>
        </w:tc>
        <w:tc>
          <w:tcPr>
            <w:tcW w:w="614" w:type="dxa"/>
            <w:tcBorders>
              <w:top w:val="nil"/>
              <w:left w:val="nil"/>
              <w:bottom w:val="nil"/>
              <w:right w:val="nil"/>
            </w:tcBorders>
            <w:noWrap/>
            <w:vAlign w:val="bottom"/>
          </w:tcPr>
          <w:p>
            <w:pPr>
              <w:rPr>
                <w:rFonts w:ascii="Arial" w:hAnsi="Arial" w:cs="Arial"/>
                <w:color w:val="000000"/>
                <w:sz w:val="18"/>
                <w:szCs w:val="18"/>
              </w:rPr>
            </w:pPr>
          </w:p>
        </w:tc>
        <w:tc>
          <w:tcPr>
            <w:tcW w:w="4991" w:type="dxa"/>
            <w:tcBorders>
              <w:top w:val="nil"/>
              <w:left w:val="nil"/>
              <w:bottom w:val="nil"/>
              <w:right w:val="nil"/>
            </w:tcBorders>
            <w:noWrap/>
            <w:vAlign w:val="bottom"/>
          </w:tcPr>
          <w:p>
            <w:pPr>
              <w:rPr>
                <w:rFonts w:ascii="Arial" w:hAnsi="Arial" w:cs="Arial"/>
                <w:color w:val="000000"/>
                <w:sz w:val="18"/>
                <w:szCs w:val="18"/>
              </w:rPr>
            </w:pPr>
          </w:p>
        </w:tc>
        <w:tc>
          <w:tcPr>
            <w:tcW w:w="1944" w:type="dxa"/>
            <w:tcBorders>
              <w:top w:val="nil"/>
              <w:left w:val="nil"/>
              <w:bottom w:val="nil"/>
              <w:right w:val="nil"/>
            </w:tcBorders>
            <w:noWrap/>
            <w:vAlign w:val="bottom"/>
          </w:tcPr>
          <w:p>
            <w:pPr>
              <w:rPr>
                <w:rFonts w:ascii="Arial" w:hAnsi="Arial" w:cs="Arial"/>
                <w:color w:val="000000"/>
                <w:sz w:val="18"/>
                <w:szCs w:val="18"/>
              </w:rPr>
            </w:pPr>
          </w:p>
        </w:tc>
        <w:tc>
          <w:tcPr>
            <w:tcW w:w="1770" w:type="dxa"/>
            <w:tcBorders>
              <w:top w:val="nil"/>
              <w:left w:val="nil"/>
              <w:bottom w:val="nil"/>
              <w:right w:val="nil"/>
            </w:tcBorders>
            <w:noWrap/>
            <w:vAlign w:val="bottom"/>
          </w:tcPr>
          <w:p>
            <w:pPr>
              <w:rPr>
                <w:rFonts w:ascii="Arial" w:hAnsi="Arial" w:cs="Arial"/>
                <w:color w:val="000000"/>
                <w:sz w:val="18"/>
                <w:szCs w:val="18"/>
              </w:rPr>
            </w:pPr>
          </w:p>
        </w:tc>
        <w:tc>
          <w:tcPr>
            <w:tcW w:w="1190" w:type="dxa"/>
            <w:tcBorders>
              <w:top w:val="nil"/>
              <w:left w:val="nil"/>
              <w:bottom w:val="nil"/>
              <w:right w:val="nil"/>
            </w:tcBorders>
            <w:noWrap/>
            <w:vAlign w:val="bottom"/>
          </w:tcPr>
          <w:p>
            <w:pPr>
              <w:rPr>
                <w:rFonts w:ascii="Arial" w:hAnsi="Arial" w:cs="Arial"/>
                <w:color w:val="000000"/>
                <w:sz w:val="18"/>
                <w:szCs w:val="18"/>
              </w:rPr>
            </w:pPr>
          </w:p>
        </w:tc>
        <w:tc>
          <w:tcPr>
            <w:tcW w:w="709" w:type="dxa"/>
            <w:tcBorders>
              <w:top w:val="nil"/>
              <w:left w:val="nil"/>
              <w:bottom w:val="nil"/>
              <w:right w:val="nil"/>
            </w:tcBorders>
            <w:noWrap/>
            <w:vAlign w:val="bottom"/>
          </w:tcPr>
          <w:p>
            <w:pPr>
              <w:rPr>
                <w:rFonts w:ascii="Arial" w:hAnsi="Arial" w:cs="Arial"/>
                <w:color w:val="000000"/>
                <w:sz w:val="18"/>
                <w:szCs w:val="18"/>
              </w:rPr>
            </w:pPr>
          </w:p>
        </w:tc>
        <w:tc>
          <w:tcPr>
            <w:tcW w:w="717" w:type="dxa"/>
            <w:tcBorders>
              <w:top w:val="nil"/>
              <w:left w:val="nil"/>
              <w:bottom w:val="nil"/>
              <w:right w:val="nil"/>
            </w:tcBorders>
            <w:noWrap/>
            <w:vAlign w:val="bottom"/>
          </w:tcPr>
          <w:p>
            <w:pPr>
              <w:rPr>
                <w:rFonts w:ascii="Arial" w:hAnsi="Arial" w:cs="Arial"/>
                <w:color w:val="000000"/>
                <w:sz w:val="18"/>
                <w:szCs w:val="18"/>
              </w:rPr>
            </w:pPr>
          </w:p>
        </w:tc>
        <w:tc>
          <w:tcPr>
            <w:tcW w:w="1658"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公开02表</w:t>
            </w:r>
          </w:p>
        </w:tc>
      </w:tr>
      <w:tr>
        <w:tblPrEx>
          <w:tblCellMar>
            <w:top w:w="0" w:type="dxa"/>
            <w:left w:w="108" w:type="dxa"/>
            <w:bottom w:w="0" w:type="dxa"/>
            <w:right w:w="108" w:type="dxa"/>
          </w:tblCellMar>
        </w:tblPrEx>
        <w:trPr>
          <w:trHeight w:val="255" w:hRule="atLeast"/>
        </w:trPr>
        <w:tc>
          <w:tcPr>
            <w:tcW w:w="8037" w:type="dxa"/>
            <w:gridSpan w:val="5"/>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1770" w:type="dxa"/>
            <w:tcBorders>
              <w:top w:val="nil"/>
              <w:left w:val="nil"/>
              <w:bottom w:val="nil"/>
              <w:right w:val="nil"/>
            </w:tcBorders>
            <w:noWrap/>
            <w:vAlign w:val="bottom"/>
          </w:tcPr>
          <w:p>
            <w:pPr>
              <w:rPr>
                <w:rFonts w:ascii="Arial" w:hAnsi="Arial" w:cs="Arial"/>
                <w:color w:val="000000"/>
                <w:sz w:val="18"/>
                <w:szCs w:val="18"/>
              </w:rPr>
            </w:pPr>
          </w:p>
        </w:tc>
        <w:tc>
          <w:tcPr>
            <w:tcW w:w="1190" w:type="dxa"/>
            <w:tcBorders>
              <w:top w:val="nil"/>
              <w:left w:val="nil"/>
              <w:bottom w:val="nil"/>
              <w:right w:val="nil"/>
            </w:tcBorders>
            <w:noWrap/>
            <w:vAlign w:val="bottom"/>
          </w:tcPr>
          <w:p>
            <w:pPr>
              <w:rPr>
                <w:rFonts w:ascii="Arial" w:hAnsi="Arial" w:cs="Arial"/>
                <w:color w:val="000000"/>
                <w:sz w:val="18"/>
                <w:szCs w:val="18"/>
              </w:rPr>
            </w:pPr>
          </w:p>
        </w:tc>
        <w:tc>
          <w:tcPr>
            <w:tcW w:w="709" w:type="dxa"/>
            <w:tcBorders>
              <w:top w:val="nil"/>
              <w:left w:val="nil"/>
              <w:bottom w:val="nil"/>
              <w:right w:val="nil"/>
            </w:tcBorders>
            <w:noWrap/>
            <w:vAlign w:val="bottom"/>
          </w:tcPr>
          <w:p>
            <w:pPr>
              <w:rPr>
                <w:rFonts w:ascii="Arial" w:hAnsi="Arial" w:cs="Arial"/>
                <w:color w:val="000000"/>
                <w:sz w:val="18"/>
                <w:szCs w:val="18"/>
              </w:rPr>
            </w:pPr>
          </w:p>
        </w:tc>
        <w:tc>
          <w:tcPr>
            <w:tcW w:w="717" w:type="dxa"/>
            <w:tcBorders>
              <w:top w:val="nil"/>
              <w:left w:val="nil"/>
              <w:bottom w:val="nil"/>
              <w:right w:val="nil"/>
            </w:tcBorders>
            <w:noWrap/>
            <w:vAlign w:val="bottom"/>
          </w:tcPr>
          <w:p>
            <w:pPr>
              <w:rPr>
                <w:rFonts w:ascii="Arial" w:hAnsi="Arial" w:cs="Arial"/>
                <w:color w:val="000000"/>
                <w:sz w:val="18"/>
                <w:szCs w:val="18"/>
              </w:rPr>
            </w:pPr>
          </w:p>
        </w:tc>
        <w:tc>
          <w:tcPr>
            <w:tcW w:w="1658"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609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9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77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119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70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71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87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7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1102"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4991"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9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10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99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9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10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99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9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6093"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9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77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70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1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87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7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6093"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3,322.65</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3,322.65</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人大事务</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2010101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119.79</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119.79</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119.79</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119.79</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92.96</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92.96</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26.83</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26.83</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28.63</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28.63</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28.63</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28.63</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13.17</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13.17</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15.46</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15.46</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节能环保支出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3,073.21</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3,073.21</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环境保护管理事务</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615.83</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615.83</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529.40</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529.40</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2110102</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86.43</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86.43</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污染防治</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2,440.00</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2,440.00</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2110301</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大气</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2,440.00</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2,440.00</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21199</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其他节能环保支出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2119999</w:t>
            </w:r>
          </w:p>
        </w:tc>
        <w:tc>
          <w:tcPr>
            <w:tcW w:w="499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其他节能环保支出</w:t>
            </w:r>
          </w:p>
        </w:tc>
        <w:tc>
          <w:tcPr>
            <w:tcW w:w="19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17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0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90" w:type="dxa"/>
        <w:tblInd w:w="93" w:type="dxa"/>
        <w:tblLayout w:type="autofit"/>
        <w:tblCellMar>
          <w:top w:w="0" w:type="dxa"/>
          <w:left w:w="108" w:type="dxa"/>
          <w:bottom w:w="0" w:type="dxa"/>
          <w:right w:w="108" w:type="dxa"/>
        </w:tblCellMar>
      </w:tblPr>
      <w:tblGrid>
        <w:gridCol w:w="329"/>
        <w:gridCol w:w="329"/>
        <w:gridCol w:w="329"/>
        <w:gridCol w:w="4817"/>
        <w:gridCol w:w="1652"/>
        <w:gridCol w:w="1538"/>
        <w:gridCol w:w="1641"/>
        <w:gridCol w:w="1120"/>
        <w:gridCol w:w="953"/>
        <w:gridCol w:w="1364"/>
      </w:tblGrid>
      <w:tr>
        <w:tblPrEx>
          <w:tblCellMar>
            <w:top w:w="0" w:type="dxa"/>
            <w:left w:w="108" w:type="dxa"/>
            <w:bottom w:w="0" w:type="dxa"/>
            <w:right w:w="108" w:type="dxa"/>
          </w:tblCellMar>
        </w:tblPrEx>
        <w:trPr>
          <w:trHeight w:val="390" w:hRule="atLeast"/>
        </w:trPr>
        <w:tc>
          <w:tcPr>
            <w:tcW w:w="13895"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公开03表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61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6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59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40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12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611"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6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9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40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8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843.89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5,070.76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人大事务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35.84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5,648.81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5,070.76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环境保护管理事务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污染防治</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4,859.04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4,859.04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大气</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水体</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05" w:type="dxa"/>
        <w:tblInd w:w="93" w:type="dxa"/>
        <w:tblLayout w:type="autofit"/>
        <w:tblCellMar>
          <w:top w:w="0" w:type="dxa"/>
          <w:left w:w="108" w:type="dxa"/>
          <w:bottom w:w="0" w:type="dxa"/>
          <w:right w:w="108" w:type="dxa"/>
        </w:tblCellMar>
      </w:tblPr>
      <w:tblGrid>
        <w:gridCol w:w="3076"/>
        <w:gridCol w:w="570"/>
        <w:gridCol w:w="1198"/>
        <w:gridCol w:w="3516"/>
        <w:gridCol w:w="570"/>
        <w:gridCol w:w="1096"/>
        <w:gridCol w:w="1284"/>
        <w:gridCol w:w="1302"/>
        <w:gridCol w:w="1295"/>
      </w:tblGrid>
      <w:tr>
        <w:tblPrEx>
          <w:tblCellMar>
            <w:top w:w="0" w:type="dxa"/>
            <w:left w:w="108" w:type="dxa"/>
            <w:bottom w:w="0" w:type="dxa"/>
            <w:right w:w="108" w:type="dxa"/>
          </w:tblCellMar>
        </w:tblPrEx>
        <w:trPr>
          <w:trHeight w:val="390" w:hRule="atLeast"/>
        </w:trPr>
        <w:tc>
          <w:tcPr>
            <w:tcW w:w="13907"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公开04表</w:t>
            </w:r>
          </w:p>
        </w:tc>
      </w:tr>
      <w:tr>
        <w:tblPrEx>
          <w:tblCellMar>
            <w:top w:w="0" w:type="dxa"/>
            <w:left w:w="108" w:type="dxa"/>
            <w:bottom w:w="0" w:type="dxa"/>
            <w:right w:w="108" w:type="dxa"/>
          </w:tblCellMar>
        </w:tblPrEx>
        <w:trPr>
          <w:trHeight w:val="255" w:hRule="atLeast"/>
        </w:trPr>
        <w:tc>
          <w:tcPr>
            <w:tcW w:w="4832" w:type="dxa"/>
            <w:gridSpan w:val="3"/>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06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19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29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28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30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43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0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2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2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3,322.65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5,648.81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5,648.81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3,322.65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2,592.00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2,592.00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585" w:hRule="atLeast"/>
        </w:trPr>
        <w:tc>
          <w:tcPr>
            <w:tcW w:w="13907" w:type="dxa"/>
            <w:gridSpan w:val="9"/>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00" w:type="dxa"/>
        <w:tblInd w:w="93" w:type="dxa"/>
        <w:tblLayout w:type="autofit"/>
        <w:tblCellMar>
          <w:top w:w="0" w:type="dxa"/>
          <w:left w:w="108" w:type="dxa"/>
          <w:bottom w:w="0" w:type="dxa"/>
          <w:right w:w="108" w:type="dxa"/>
        </w:tblCellMar>
      </w:tblPr>
      <w:tblGrid>
        <w:gridCol w:w="329"/>
        <w:gridCol w:w="329"/>
        <w:gridCol w:w="329"/>
        <w:gridCol w:w="5324"/>
        <w:gridCol w:w="2616"/>
        <w:gridCol w:w="2467"/>
        <w:gridCol w:w="2499"/>
      </w:tblGrid>
      <w:tr>
        <w:tblPrEx>
          <w:tblCellMar>
            <w:top w:w="0" w:type="dxa"/>
            <w:left w:w="108" w:type="dxa"/>
            <w:bottom w:w="0" w:type="dxa"/>
            <w:right w:w="108" w:type="dxa"/>
          </w:tblCellMar>
        </w:tblPrEx>
        <w:trPr>
          <w:trHeight w:val="390" w:hRule="atLeast"/>
        </w:trPr>
        <w:tc>
          <w:tcPr>
            <w:tcW w:w="13803" w:type="dxa"/>
            <w:gridSpan w:val="7"/>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公开05表</w:t>
            </w:r>
          </w:p>
        </w:tc>
      </w:tr>
      <w:tr>
        <w:trPr>
          <w:trHeight w:val="255" w:hRule="atLeast"/>
        </w:trPr>
        <w:tc>
          <w:tcPr>
            <w:tcW w:w="0" w:type="auto"/>
            <w:gridSpan w:val="5"/>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8178"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1145"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78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278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261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114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7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7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6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14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7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7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6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5,914.65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843.89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5,070.76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人大事务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35.84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5,648.81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5,070.76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环境保护管理事务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194.35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578.05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194.35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污染防治</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4,859.04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4,859.04</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大气</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4,389.04</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水体</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470.00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17.38</w:t>
            </w: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Layout w:type="fixed"/>
        <w:tblCellMar>
          <w:top w:w="0" w:type="dxa"/>
          <w:left w:w="108" w:type="dxa"/>
          <w:bottom w:w="0" w:type="dxa"/>
          <w:right w:w="108" w:type="dxa"/>
        </w:tblCellMar>
      </w:tblPr>
      <w:tblGrid>
        <w:gridCol w:w="810"/>
        <w:gridCol w:w="2937"/>
        <w:gridCol w:w="990"/>
        <w:gridCol w:w="915"/>
        <w:gridCol w:w="2005"/>
        <w:gridCol w:w="920"/>
        <w:gridCol w:w="810"/>
        <w:gridCol w:w="3780"/>
        <w:gridCol w:w="914"/>
      </w:tblGrid>
      <w:tr>
        <w:tblPrEx>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55" w:hRule="atLeast"/>
        </w:trPr>
        <w:tc>
          <w:tcPr>
            <w:tcW w:w="810" w:type="dxa"/>
            <w:tcBorders>
              <w:top w:val="nil"/>
              <w:left w:val="nil"/>
              <w:bottom w:val="nil"/>
              <w:right w:val="nil"/>
            </w:tcBorders>
            <w:noWrap/>
            <w:vAlign w:val="bottom"/>
          </w:tcPr>
          <w:p>
            <w:pPr>
              <w:rPr>
                <w:rFonts w:hint="eastAsia" w:ascii="Arial" w:hAnsi="Arial" w:cs="Arial"/>
                <w:color w:val="000000"/>
                <w:sz w:val="18"/>
                <w:szCs w:val="18"/>
              </w:rPr>
            </w:pPr>
          </w:p>
        </w:tc>
        <w:tc>
          <w:tcPr>
            <w:tcW w:w="2937" w:type="dxa"/>
            <w:tcBorders>
              <w:top w:val="nil"/>
              <w:left w:val="nil"/>
              <w:bottom w:val="nil"/>
              <w:right w:val="nil"/>
            </w:tcBorders>
            <w:noWrap/>
            <w:vAlign w:val="bottom"/>
          </w:tcPr>
          <w:p>
            <w:pPr>
              <w:rPr>
                <w:rFonts w:ascii="Arial" w:hAnsi="Arial" w:cs="Arial"/>
                <w:color w:val="000000"/>
                <w:sz w:val="18"/>
                <w:szCs w:val="18"/>
              </w:rPr>
            </w:pP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15" w:type="dxa"/>
            <w:tcBorders>
              <w:top w:val="nil"/>
              <w:left w:val="nil"/>
              <w:bottom w:val="nil"/>
              <w:right w:val="nil"/>
            </w:tcBorders>
            <w:noWrap/>
            <w:vAlign w:val="bottom"/>
          </w:tcPr>
          <w:p>
            <w:pPr>
              <w:rPr>
                <w:rFonts w:ascii="Arial" w:hAnsi="Arial" w:cs="Arial"/>
                <w:color w:val="000000"/>
                <w:sz w:val="18"/>
                <w:szCs w:val="18"/>
              </w:rPr>
            </w:pPr>
          </w:p>
        </w:tc>
        <w:tc>
          <w:tcPr>
            <w:tcW w:w="2005" w:type="dxa"/>
            <w:tcBorders>
              <w:top w:val="nil"/>
              <w:left w:val="nil"/>
              <w:bottom w:val="nil"/>
              <w:right w:val="nil"/>
            </w:tcBorders>
            <w:noWrap/>
            <w:vAlign w:val="bottom"/>
          </w:tcPr>
          <w:p>
            <w:pPr>
              <w:rPr>
                <w:rFonts w:ascii="Arial" w:hAnsi="Arial" w:cs="Arial"/>
                <w:color w:val="000000"/>
                <w:sz w:val="18"/>
                <w:szCs w:val="18"/>
              </w:rPr>
            </w:pPr>
          </w:p>
        </w:tc>
        <w:tc>
          <w:tcPr>
            <w:tcW w:w="920" w:type="dxa"/>
            <w:tcBorders>
              <w:top w:val="nil"/>
              <w:left w:val="nil"/>
              <w:bottom w:val="nil"/>
              <w:right w:val="nil"/>
            </w:tcBorders>
            <w:noWrap/>
            <w:vAlign w:val="bottom"/>
          </w:tcPr>
          <w:p>
            <w:pPr>
              <w:rPr>
                <w:rFonts w:ascii="Arial" w:hAnsi="Arial" w:cs="Arial"/>
                <w:color w:val="000000"/>
                <w:sz w:val="18"/>
                <w:szCs w:val="18"/>
              </w:rPr>
            </w:pPr>
          </w:p>
        </w:tc>
        <w:tc>
          <w:tcPr>
            <w:tcW w:w="810" w:type="dxa"/>
            <w:tcBorders>
              <w:top w:val="nil"/>
              <w:left w:val="nil"/>
              <w:bottom w:val="nil"/>
              <w:right w:val="nil"/>
            </w:tcBorders>
            <w:noWrap/>
            <w:vAlign w:val="bottom"/>
          </w:tcPr>
          <w:p>
            <w:pPr>
              <w:rPr>
                <w:rFonts w:ascii="Arial" w:hAnsi="Arial" w:cs="Arial"/>
                <w:color w:val="000000"/>
                <w:sz w:val="18"/>
                <w:szCs w:val="18"/>
              </w:rPr>
            </w:pPr>
          </w:p>
        </w:tc>
        <w:tc>
          <w:tcPr>
            <w:tcW w:w="4694"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rPr>
          <w:trHeight w:val="255" w:hRule="atLeast"/>
        </w:trPr>
        <w:tc>
          <w:tcPr>
            <w:tcW w:w="4737" w:type="dxa"/>
            <w:gridSpan w:val="3"/>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915" w:type="dxa"/>
            <w:tcBorders>
              <w:top w:val="nil"/>
              <w:left w:val="nil"/>
              <w:bottom w:val="nil"/>
              <w:right w:val="nil"/>
            </w:tcBorders>
            <w:noWrap/>
            <w:vAlign w:val="bottom"/>
          </w:tcPr>
          <w:p>
            <w:pPr>
              <w:rPr>
                <w:rFonts w:ascii="Arial" w:hAnsi="Arial" w:cs="Arial"/>
                <w:color w:val="000000"/>
                <w:sz w:val="18"/>
                <w:szCs w:val="18"/>
              </w:rPr>
            </w:pPr>
          </w:p>
        </w:tc>
        <w:tc>
          <w:tcPr>
            <w:tcW w:w="2005" w:type="dxa"/>
            <w:tcBorders>
              <w:top w:val="nil"/>
              <w:left w:val="nil"/>
              <w:bottom w:val="nil"/>
              <w:right w:val="nil"/>
            </w:tcBorders>
            <w:noWrap/>
            <w:vAlign w:val="bottom"/>
          </w:tcPr>
          <w:p>
            <w:pPr>
              <w:rPr>
                <w:rFonts w:ascii="Arial" w:hAnsi="Arial" w:cs="Arial"/>
                <w:color w:val="000000"/>
                <w:sz w:val="18"/>
                <w:szCs w:val="18"/>
              </w:rPr>
            </w:pPr>
          </w:p>
        </w:tc>
        <w:tc>
          <w:tcPr>
            <w:tcW w:w="920" w:type="dxa"/>
            <w:tcBorders>
              <w:top w:val="nil"/>
              <w:left w:val="nil"/>
              <w:bottom w:val="nil"/>
              <w:right w:val="nil"/>
            </w:tcBorders>
            <w:noWrap/>
            <w:vAlign w:val="bottom"/>
          </w:tcPr>
          <w:p>
            <w:pPr>
              <w:rPr>
                <w:rFonts w:ascii="Arial" w:hAnsi="Arial" w:cs="Arial"/>
                <w:color w:val="000000"/>
                <w:sz w:val="18"/>
                <w:szCs w:val="18"/>
              </w:rPr>
            </w:pPr>
          </w:p>
        </w:tc>
        <w:tc>
          <w:tcPr>
            <w:tcW w:w="810" w:type="dxa"/>
            <w:tcBorders>
              <w:top w:val="nil"/>
              <w:left w:val="nil"/>
              <w:bottom w:val="nil"/>
              <w:right w:val="nil"/>
            </w:tcBorders>
            <w:noWrap/>
            <w:vAlign w:val="bottom"/>
          </w:tcPr>
          <w:p>
            <w:pPr>
              <w:rPr>
                <w:rFonts w:ascii="Arial" w:hAnsi="Arial" w:cs="Arial"/>
                <w:color w:val="000000"/>
                <w:sz w:val="18"/>
                <w:szCs w:val="18"/>
              </w:rPr>
            </w:pPr>
          </w:p>
        </w:tc>
        <w:tc>
          <w:tcPr>
            <w:tcW w:w="4694"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73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9344"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81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93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91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0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2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8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78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1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8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9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641.22</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104.00</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170.67</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28.93</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163.94</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0.37</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149.40</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41.33</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3.86</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20.24</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19.12</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0.46</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10.13</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75.37</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1.88</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0.67</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98.68</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95.49</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公务接待费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0.76</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27.73</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6.14</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2.94</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1.05</w:t>
            </w:r>
          </w:p>
        </w:tc>
        <w:tc>
          <w:tcPr>
            <w:tcW w:w="81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37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16.14</w:t>
            </w:r>
          </w:p>
        </w:tc>
        <w:tc>
          <w:tcPr>
            <w:tcW w:w="810"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3780"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29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3.19</w:t>
            </w: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3780"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937"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200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0.85</w:t>
            </w:r>
          </w:p>
        </w:tc>
        <w:tc>
          <w:tcPr>
            <w:tcW w:w="810"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3780"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747"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739.89</w:t>
            </w:r>
          </w:p>
        </w:tc>
        <w:tc>
          <w:tcPr>
            <w:tcW w:w="8430" w:type="dxa"/>
            <w:gridSpan w:val="5"/>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91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104.00</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31" w:type="dxa"/>
        <w:tblInd w:w="93" w:type="dxa"/>
        <w:tblLayout w:type="fixed"/>
        <w:tblCellMar>
          <w:top w:w="0" w:type="dxa"/>
          <w:left w:w="108" w:type="dxa"/>
          <w:bottom w:w="0" w:type="dxa"/>
          <w:right w:w="108" w:type="dxa"/>
        </w:tblCellMar>
      </w:tblPr>
      <w:tblGrid>
        <w:gridCol w:w="1324"/>
        <w:gridCol w:w="1083"/>
        <w:gridCol w:w="1238"/>
        <w:gridCol w:w="1028"/>
        <w:gridCol w:w="1255"/>
        <w:gridCol w:w="1324"/>
        <w:gridCol w:w="1410"/>
        <w:gridCol w:w="980"/>
        <w:gridCol w:w="1278"/>
        <w:gridCol w:w="699"/>
        <w:gridCol w:w="1206"/>
        <w:gridCol w:w="1206"/>
      </w:tblGrid>
      <w:tr>
        <w:tblPrEx>
          <w:tblCellMar>
            <w:top w:w="0" w:type="dxa"/>
            <w:left w:w="108" w:type="dxa"/>
            <w:bottom w:w="0" w:type="dxa"/>
            <w:right w:w="108" w:type="dxa"/>
          </w:tblCellMar>
        </w:tblPrEx>
        <w:trPr>
          <w:trHeight w:val="580" w:hRule="atLeast"/>
        </w:trPr>
        <w:tc>
          <w:tcPr>
            <w:tcW w:w="14031" w:type="dxa"/>
            <w:gridSpan w:val="12"/>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1324" w:type="dxa"/>
            <w:tcBorders>
              <w:top w:val="nil"/>
              <w:left w:val="nil"/>
              <w:bottom w:val="nil"/>
              <w:right w:val="nil"/>
            </w:tcBorders>
            <w:noWrap/>
            <w:vAlign w:val="bottom"/>
          </w:tcPr>
          <w:p>
            <w:pPr>
              <w:rPr>
                <w:rFonts w:hint="eastAsia" w:ascii="Arial" w:hAnsi="Arial" w:cs="Arial"/>
                <w:color w:val="000000"/>
                <w:sz w:val="18"/>
                <w:szCs w:val="18"/>
              </w:rPr>
            </w:pPr>
          </w:p>
        </w:tc>
        <w:tc>
          <w:tcPr>
            <w:tcW w:w="1083" w:type="dxa"/>
            <w:tcBorders>
              <w:top w:val="nil"/>
              <w:left w:val="nil"/>
              <w:bottom w:val="nil"/>
              <w:right w:val="nil"/>
            </w:tcBorders>
            <w:noWrap/>
            <w:vAlign w:val="bottom"/>
          </w:tcPr>
          <w:p>
            <w:pPr>
              <w:rPr>
                <w:rFonts w:ascii="Arial" w:hAnsi="Arial" w:cs="Arial"/>
                <w:color w:val="000000"/>
                <w:sz w:val="18"/>
                <w:szCs w:val="18"/>
              </w:rPr>
            </w:pPr>
          </w:p>
        </w:tc>
        <w:tc>
          <w:tcPr>
            <w:tcW w:w="1238" w:type="dxa"/>
            <w:tcBorders>
              <w:top w:val="nil"/>
              <w:left w:val="nil"/>
              <w:bottom w:val="nil"/>
              <w:right w:val="nil"/>
            </w:tcBorders>
            <w:noWrap/>
            <w:vAlign w:val="bottom"/>
          </w:tcPr>
          <w:p>
            <w:pPr>
              <w:rPr>
                <w:rFonts w:ascii="Arial" w:hAnsi="Arial" w:cs="Arial"/>
                <w:color w:val="000000"/>
                <w:sz w:val="18"/>
                <w:szCs w:val="18"/>
              </w:rPr>
            </w:pPr>
          </w:p>
        </w:tc>
        <w:tc>
          <w:tcPr>
            <w:tcW w:w="1028" w:type="dxa"/>
            <w:tcBorders>
              <w:top w:val="nil"/>
              <w:left w:val="nil"/>
              <w:bottom w:val="nil"/>
              <w:right w:val="nil"/>
            </w:tcBorders>
            <w:noWrap/>
            <w:vAlign w:val="bottom"/>
          </w:tcPr>
          <w:p>
            <w:pPr>
              <w:rPr>
                <w:rFonts w:ascii="Arial" w:hAnsi="Arial" w:cs="Arial"/>
                <w:color w:val="000000"/>
                <w:sz w:val="18"/>
                <w:szCs w:val="18"/>
              </w:rPr>
            </w:pPr>
          </w:p>
        </w:tc>
        <w:tc>
          <w:tcPr>
            <w:tcW w:w="1255" w:type="dxa"/>
            <w:tcBorders>
              <w:top w:val="nil"/>
              <w:left w:val="nil"/>
              <w:bottom w:val="nil"/>
              <w:right w:val="nil"/>
            </w:tcBorders>
            <w:noWrap/>
            <w:vAlign w:val="bottom"/>
          </w:tcPr>
          <w:p>
            <w:pPr>
              <w:rPr>
                <w:rFonts w:ascii="Arial" w:hAnsi="Arial" w:cs="Arial"/>
                <w:color w:val="000000"/>
                <w:sz w:val="18"/>
                <w:szCs w:val="18"/>
              </w:rPr>
            </w:pPr>
          </w:p>
        </w:tc>
        <w:tc>
          <w:tcPr>
            <w:tcW w:w="1324" w:type="dxa"/>
            <w:tcBorders>
              <w:top w:val="nil"/>
              <w:left w:val="nil"/>
              <w:bottom w:val="nil"/>
              <w:right w:val="nil"/>
            </w:tcBorders>
            <w:noWrap/>
            <w:vAlign w:val="bottom"/>
          </w:tcPr>
          <w:p>
            <w:pPr>
              <w:rPr>
                <w:rFonts w:ascii="Arial" w:hAnsi="Arial" w:cs="Arial"/>
                <w:color w:val="000000"/>
                <w:sz w:val="18"/>
                <w:szCs w:val="18"/>
              </w:rPr>
            </w:pPr>
          </w:p>
        </w:tc>
        <w:tc>
          <w:tcPr>
            <w:tcW w:w="1410" w:type="dxa"/>
            <w:tcBorders>
              <w:top w:val="nil"/>
              <w:left w:val="nil"/>
              <w:bottom w:val="nil"/>
              <w:right w:val="nil"/>
            </w:tcBorders>
            <w:noWrap/>
            <w:vAlign w:val="bottom"/>
          </w:tcPr>
          <w:p>
            <w:pPr>
              <w:rPr>
                <w:rFonts w:ascii="Arial" w:hAnsi="Arial" w:cs="Arial"/>
                <w:color w:val="000000"/>
                <w:sz w:val="18"/>
                <w:szCs w:val="18"/>
              </w:rPr>
            </w:pPr>
          </w:p>
        </w:tc>
        <w:tc>
          <w:tcPr>
            <w:tcW w:w="980" w:type="dxa"/>
            <w:tcBorders>
              <w:top w:val="nil"/>
              <w:left w:val="nil"/>
              <w:bottom w:val="nil"/>
              <w:right w:val="nil"/>
            </w:tcBorders>
            <w:noWrap/>
            <w:vAlign w:val="bottom"/>
          </w:tcPr>
          <w:p>
            <w:pPr>
              <w:rPr>
                <w:rFonts w:ascii="Arial" w:hAnsi="Arial" w:cs="Arial"/>
                <w:color w:val="000000"/>
                <w:sz w:val="18"/>
                <w:szCs w:val="18"/>
              </w:rPr>
            </w:pPr>
          </w:p>
        </w:tc>
        <w:tc>
          <w:tcPr>
            <w:tcW w:w="1278" w:type="dxa"/>
            <w:tcBorders>
              <w:top w:val="nil"/>
              <w:left w:val="nil"/>
              <w:bottom w:val="nil"/>
              <w:right w:val="nil"/>
            </w:tcBorders>
            <w:noWrap/>
            <w:vAlign w:val="bottom"/>
          </w:tcPr>
          <w:p>
            <w:pPr>
              <w:rPr>
                <w:rFonts w:ascii="Arial" w:hAnsi="Arial" w:cs="Arial"/>
                <w:color w:val="000000"/>
                <w:sz w:val="18"/>
                <w:szCs w:val="18"/>
              </w:rPr>
            </w:pPr>
          </w:p>
        </w:tc>
        <w:tc>
          <w:tcPr>
            <w:tcW w:w="3111" w:type="dxa"/>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公开07表</w:t>
            </w:r>
          </w:p>
        </w:tc>
      </w:tr>
      <w:tr>
        <w:trPr>
          <w:trHeight w:val="255" w:hRule="atLeast"/>
        </w:trPr>
        <w:tc>
          <w:tcPr>
            <w:tcW w:w="4673" w:type="dxa"/>
            <w:gridSpan w:val="4"/>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1255" w:type="dxa"/>
            <w:tcBorders>
              <w:top w:val="nil"/>
              <w:left w:val="nil"/>
              <w:bottom w:val="nil"/>
              <w:right w:val="nil"/>
            </w:tcBorders>
            <w:noWrap/>
            <w:vAlign w:val="bottom"/>
          </w:tcPr>
          <w:p>
            <w:pPr>
              <w:rPr>
                <w:rFonts w:ascii="Arial" w:hAnsi="Arial" w:cs="Arial"/>
                <w:color w:val="000000"/>
                <w:sz w:val="18"/>
                <w:szCs w:val="18"/>
              </w:rPr>
            </w:pPr>
          </w:p>
        </w:tc>
        <w:tc>
          <w:tcPr>
            <w:tcW w:w="1324" w:type="dxa"/>
            <w:tcBorders>
              <w:top w:val="nil"/>
              <w:left w:val="nil"/>
              <w:bottom w:val="nil"/>
              <w:right w:val="nil"/>
            </w:tcBorders>
            <w:noWrap/>
            <w:vAlign w:val="bottom"/>
          </w:tcPr>
          <w:p>
            <w:pPr>
              <w:rPr>
                <w:rFonts w:ascii="Arial" w:hAnsi="Arial" w:cs="Arial"/>
                <w:color w:val="000000"/>
                <w:sz w:val="18"/>
                <w:szCs w:val="18"/>
              </w:rPr>
            </w:pPr>
          </w:p>
        </w:tc>
        <w:tc>
          <w:tcPr>
            <w:tcW w:w="1410" w:type="dxa"/>
            <w:tcBorders>
              <w:top w:val="nil"/>
              <w:left w:val="nil"/>
              <w:bottom w:val="nil"/>
              <w:right w:val="nil"/>
            </w:tcBorders>
            <w:noWrap/>
            <w:vAlign w:val="bottom"/>
          </w:tcPr>
          <w:p>
            <w:pPr>
              <w:rPr>
                <w:rFonts w:ascii="Arial" w:hAnsi="Arial" w:cs="Arial"/>
                <w:color w:val="000000"/>
                <w:sz w:val="18"/>
                <w:szCs w:val="18"/>
              </w:rPr>
            </w:pPr>
          </w:p>
        </w:tc>
        <w:tc>
          <w:tcPr>
            <w:tcW w:w="980" w:type="dxa"/>
            <w:tcBorders>
              <w:top w:val="nil"/>
              <w:left w:val="nil"/>
              <w:bottom w:val="nil"/>
              <w:right w:val="nil"/>
            </w:tcBorders>
            <w:noWrap/>
            <w:vAlign w:val="bottom"/>
          </w:tcPr>
          <w:p>
            <w:pPr>
              <w:rPr>
                <w:rFonts w:ascii="Arial" w:hAnsi="Arial" w:cs="Arial"/>
                <w:color w:val="000000"/>
                <w:sz w:val="18"/>
                <w:szCs w:val="18"/>
              </w:rPr>
            </w:pPr>
          </w:p>
        </w:tc>
        <w:tc>
          <w:tcPr>
            <w:tcW w:w="1278" w:type="dxa"/>
            <w:tcBorders>
              <w:top w:val="nil"/>
              <w:left w:val="nil"/>
              <w:bottom w:val="nil"/>
              <w:right w:val="nil"/>
            </w:tcBorders>
            <w:noWrap/>
            <w:vAlign w:val="bottom"/>
          </w:tcPr>
          <w:p>
            <w:pPr>
              <w:rPr>
                <w:rFonts w:ascii="Arial" w:hAnsi="Arial" w:cs="Arial"/>
                <w:color w:val="000000"/>
                <w:sz w:val="18"/>
                <w:szCs w:val="18"/>
              </w:rPr>
            </w:pPr>
          </w:p>
        </w:tc>
        <w:tc>
          <w:tcPr>
            <w:tcW w:w="3111" w:type="dxa"/>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7252"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6779"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32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08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521"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32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4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98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183"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20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32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3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02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25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3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69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20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2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492" w:hRule="atLeast"/>
        </w:trPr>
        <w:tc>
          <w:tcPr>
            <w:tcW w:w="132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8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23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2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5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2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9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27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69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20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20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582" w:hRule="atLeast"/>
        </w:trPr>
        <w:tc>
          <w:tcPr>
            <w:tcW w:w="1324" w:type="dxa"/>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6.00</w:t>
            </w:r>
          </w:p>
        </w:tc>
        <w:tc>
          <w:tcPr>
            <w:tcW w:w="108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w:t>
            </w:r>
          </w:p>
        </w:tc>
        <w:tc>
          <w:tcPr>
            <w:tcW w:w="13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2.00</w:t>
            </w:r>
          </w:p>
        </w:tc>
        <w:tc>
          <w:tcPr>
            <w:tcW w:w="14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1.05</w:t>
            </w:r>
          </w:p>
        </w:tc>
        <w:tc>
          <w:tcPr>
            <w:tcW w:w="69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0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1.05</w:t>
            </w:r>
          </w:p>
        </w:tc>
        <w:tc>
          <w:tcPr>
            <w:tcW w:w="120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1.39</w:t>
            </w:r>
          </w:p>
        </w:tc>
      </w:tr>
      <w:tr>
        <w:tblPrEx>
          <w:tblCellMar>
            <w:top w:w="0" w:type="dxa"/>
            <w:left w:w="108" w:type="dxa"/>
            <w:bottom w:w="0" w:type="dxa"/>
            <w:right w:w="108" w:type="dxa"/>
          </w:tblCellMar>
        </w:tblPrEx>
        <w:trPr>
          <w:trHeight w:val="615" w:hRule="atLeast"/>
        </w:trPr>
        <w:tc>
          <w:tcPr>
            <w:tcW w:w="14031"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830" w:type="dxa"/>
        <w:tblInd w:w="93" w:type="dxa"/>
        <w:tblLayout w:type="autofit"/>
        <w:tblCellMar>
          <w:top w:w="0" w:type="dxa"/>
          <w:left w:w="108" w:type="dxa"/>
          <w:bottom w:w="0" w:type="dxa"/>
          <w:right w:w="108" w:type="dxa"/>
        </w:tblCellMar>
      </w:tblPr>
      <w:tblGrid>
        <w:gridCol w:w="395"/>
        <w:gridCol w:w="395"/>
        <w:gridCol w:w="395"/>
        <w:gridCol w:w="1952"/>
        <w:gridCol w:w="1991"/>
        <w:gridCol w:w="1706"/>
        <w:gridCol w:w="1503"/>
        <w:gridCol w:w="1731"/>
        <w:gridCol w:w="1884"/>
        <w:gridCol w:w="1886"/>
      </w:tblGrid>
      <w:tr>
        <w:tblPrEx>
          <w:tblCellMar>
            <w:top w:w="0" w:type="dxa"/>
            <w:left w:w="108" w:type="dxa"/>
            <w:bottom w:w="0" w:type="dxa"/>
            <w:right w:w="108" w:type="dxa"/>
          </w:tblCellMar>
        </w:tblPrEx>
        <w:trPr>
          <w:trHeight w:val="390" w:hRule="atLeast"/>
        </w:trPr>
        <w:tc>
          <w:tcPr>
            <w:tcW w:w="13838"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公开08表</w:t>
            </w:r>
          </w:p>
        </w:tc>
      </w:tr>
      <w:tr>
        <w:trPr>
          <w:trHeight w:val="255" w:hRule="atLeast"/>
        </w:trPr>
        <w:tc>
          <w:tcPr>
            <w:tcW w:w="0" w:type="auto"/>
            <w:gridSpan w:val="6"/>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：许昌市生态环境局（本级）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4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4440"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5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50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68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本年度政府性基金预算财政拨款收入、支出及结转和结余情况。本表金额转换为万元时，因四舍五入可能存在尾差。</w:t>
            </w:r>
          </w:p>
        </w:tc>
      </w:tr>
    </w:tbl>
    <w:p>
      <w:pPr>
        <w:pStyle w:val="3"/>
        <w:numPr>
          <w:ilvl w:val="0"/>
          <w:numId w:val="0"/>
        </w:num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val="en-US"/>
        </w:rPr>
        <w:t>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rPr>
        <w:t>没有</w:t>
      </w:r>
      <w:bookmarkStart w:id="0" w:name="_GoBack"/>
      <w:bookmarkEnd w:id="0"/>
      <w:r>
        <w:rPr>
          <w:rFonts w:hint="eastAsia" w:ascii="仿宋_GB2312" w:hAnsi="仿宋_GB2312" w:eastAsia="仿宋_GB2312" w:cs="仿宋_GB2312"/>
          <w:sz w:val="32"/>
          <w:szCs w:val="32"/>
          <w:lang w:val="en-US"/>
        </w:rPr>
        <w:t>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sz w:val="32"/>
          <w:szCs w:val="24"/>
        </w:rPr>
        <w:t>2021年度收、支总计均为5914.65万元。与上年度相比，收、支总计各减少1971.07万元，下降25.00%。主要原因是2021年度上级下达的专项资金减少。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sz w:val="32"/>
          <w:szCs w:val="24"/>
        </w:rPr>
        <w:t>2021年度收入合计3322.65万元，其中：财政拨款收入3322.65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2021年度支出合计5914.65万元，其中：基本支出843.89万元，占14.27%；项目支出5070.76万元，占85.73%；上缴上级支出0.00万元，占0.00%；经营支出0.00万元，占0.00%；对附属单位补助支出0.00万元，占0.00%。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2021年度财政拨款收、支总计均为5914.65万元。与上年度相比，财政拨款收、支总计各减少1971.06万元，下降25.00%。主要原因是2021年度上级下达的专项资金减少。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ind w:firstLine="640" w:firstLineChars="200"/>
        <w:jc w:val="left"/>
        <w:rPr>
          <w:rFonts w:hint="eastAsia" w:ascii="宋体" w:hAnsi="宋体"/>
          <w:kern w:val="0"/>
          <w:sz w:val="18"/>
          <w:szCs w:val="24"/>
          <w:lang w:val="zh-CN"/>
        </w:rPr>
      </w:pPr>
      <w:r>
        <w:rPr>
          <w:rFonts w:hint="eastAsia" w:ascii="仿宋_GB2312" w:hAnsi="仿宋_GB2312" w:eastAsia="仿宋_GB2312"/>
          <w:sz w:val="32"/>
          <w:szCs w:val="24"/>
        </w:rPr>
        <w:t>2021年度一般公共预算财政拨款支出5914.65万元，占支出合计的100%。与上年度相比，一般公共预算财政拨款支出增加3529.23万元，增长147.95%。主要原因是</w:t>
      </w:r>
      <w:r>
        <w:rPr>
          <w:rFonts w:hint="eastAsia" w:ascii="仿宋_GB2312" w:hAnsi="仿宋_GB2312" w:eastAsia="仿宋_GB2312" w:cs="仿宋_GB2312"/>
          <w:sz w:val="32"/>
          <w:szCs w:val="32"/>
        </w:rPr>
        <w:t>2021年项目资金支出增多</w:t>
      </w:r>
      <w:r>
        <w:rPr>
          <w:rFonts w:hint="eastAsia" w:ascii="仿宋_GB2312" w:hAnsi="仿宋_GB2312" w:eastAsia="仿宋_GB2312"/>
          <w:sz w:val="32"/>
          <w:szCs w:val="24"/>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sz w:val="32"/>
          <w:szCs w:val="24"/>
        </w:rPr>
        <w:t>5914.65</w:t>
      </w:r>
      <w:r>
        <w:rPr>
          <w:rFonts w:hint="eastAsia" w:ascii="仿宋_GB2312" w:hAnsi="仿宋_GB2312" w:eastAsia="仿宋_GB2312" w:cs="仿宋_GB2312"/>
          <w:sz w:val="32"/>
          <w:szCs w:val="32"/>
        </w:rPr>
        <w:t>万元，主要用于以下方面：一般公共服务（类）支出101.02万元，占1.71%；社会保障和就业（类）支出131.00万元，占2.21%；卫生健康（类）支出33.82万元，占0.57%；节能环保（类）支出5648.81万元，占95.51%。</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spacing w:line="590" w:lineRule="exact"/>
        <w:ind w:firstLine="640"/>
        <w:rPr>
          <w:rFonts w:eastAsia="Times New Roman"/>
          <w:sz w:val="32"/>
          <w:szCs w:val="24"/>
        </w:rPr>
      </w:pPr>
      <w:r>
        <w:rPr>
          <w:rFonts w:hint="eastAsia" w:ascii="仿宋_GB2312" w:hAnsi="仿宋_GB2312" w:eastAsia="仿宋_GB2312"/>
          <w:sz w:val="32"/>
          <w:szCs w:val="24"/>
        </w:rPr>
        <w:t>2021年度一般公共预算财政拨款支出年初预算为815.16万元，支出决算为5914.65万元，完成年初预算的725.58%。其中：</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1.一般公共服务支出（类）人大事务（款）行政运行（项）。</w:t>
      </w:r>
      <w:r>
        <w:rPr>
          <w:rFonts w:hint="eastAsia" w:ascii="仿宋_GB2312" w:hAnsi="仿宋_GB2312" w:eastAsia="仿宋_GB2312" w:cs="仿宋_GB2312"/>
          <w:sz w:val="32"/>
          <w:szCs w:val="32"/>
        </w:rPr>
        <w:t>年初预算为144.03万元，支出决算为97.81万元，完成年初预算的67.91%。决算数与年初预算数存在差异的主要原因是使用有上年度结转经费。</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2.一般公共服务支出（类）群众团体事务（款）工会事务（项）。</w:t>
      </w:r>
      <w:r>
        <w:rPr>
          <w:rFonts w:hint="eastAsia" w:ascii="仿宋_GB2312" w:hAnsi="仿宋_GB2312" w:eastAsia="仿宋_GB2312" w:cs="仿宋_GB2312"/>
          <w:sz w:val="32"/>
          <w:szCs w:val="32"/>
        </w:rPr>
        <w:t>年初预算为3.21万元，支出决算为3.21万元，完成年初预算的100%。决算数与年初预算数无差异。</w:t>
      </w:r>
    </w:p>
    <w:p>
      <w:pPr>
        <w:widowControl/>
        <w:spacing w:line="590" w:lineRule="exact"/>
        <w:ind w:firstLine="643"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3.社会保障和就业支出（类）行政事业单位养老支出（款）行政单位离退休（项）。</w:t>
      </w:r>
      <w:r>
        <w:rPr>
          <w:rFonts w:hint="eastAsia" w:ascii="仿宋_GB2312" w:hAnsi="仿宋_GB2312" w:eastAsia="仿宋_GB2312" w:cs="仿宋_GB2312"/>
          <w:sz w:val="32"/>
          <w:szCs w:val="32"/>
        </w:rPr>
        <w:t>年初预算为97.20万元，支出决算为95.16万元，完成年初预算的97.90%。决算数与年初预算数存在差异的主要原因是使用有上年度结转经费。</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年初预算为39.25万元，支出决算为35.84万元，完成年初预算的91.31%。决算数与年初预算数存在差异的主要原因是使用有上年度结转经费。</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5．卫生健康支出（类）行政事业单位医疗（款）行政单位医疗（项）。</w:t>
      </w:r>
      <w:r>
        <w:rPr>
          <w:rFonts w:hint="eastAsia" w:ascii="仿宋_GB2312" w:hAnsi="仿宋_GB2312" w:eastAsia="仿宋_GB2312" w:cs="仿宋_GB2312"/>
          <w:sz w:val="32"/>
          <w:szCs w:val="32"/>
        </w:rPr>
        <w:t>年初预算为20.34万元，支出决算为15.66万元，完成年初预算的76.99%。决算数与年初预算数存在差异的主要原因是使用有上年度结转经费。</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年初预算为19.38万元，支出决算为18.16万元，完成年初预算的93.70%。决算数与年初预算数存在差异的主要原因是使用有上年度结转经费。</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7.节能环保支出（类）环境保护管理事务（款）行政运行（项）。</w:t>
      </w:r>
      <w:r>
        <w:rPr>
          <w:rFonts w:hint="eastAsia" w:ascii="仿宋_GB2312" w:hAnsi="仿宋_GB2312" w:eastAsia="仿宋_GB2312" w:cs="仿宋_GB2312"/>
          <w:sz w:val="32"/>
          <w:szCs w:val="32"/>
        </w:rPr>
        <w:t>年初预算为491.75万元，支出决算为578.05万元，完成年初预算的117.55%。决算数与年初预算数存在差异的主要原因是</w:t>
      </w:r>
      <w:r>
        <w:rPr>
          <w:rFonts w:hint="eastAsia" w:ascii="仿宋_GB2312" w:hAnsi="仿宋_GB2312" w:eastAsia="仿宋_GB2312" w:cs="仿宋_GB2312"/>
          <w:sz w:val="32"/>
          <w:szCs w:val="32"/>
          <w:lang w:eastAsia="zh-CN"/>
        </w:rPr>
        <w:t>追加有工作经费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8.节能环保支出（类）环境保护管理事务（款）一般行政管理事务（项）。</w:t>
      </w:r>
      <w:r>
        <w:rPr>
          <w:rFonts w:hint="eastAsia" w:ascii="仿宋_GB2312" w:hAnsi="仿宋_GB2312" w:eastAsia="仿宋_GB2312" w:cs="仿宋_GB2312"/>
          <w:sz w:val="32"/>
          <w:szCs w:val="32"/>
        </w:rPr>
        <w:t>年初预算为0.00万元，支出决算为194.35万元。决算数与年初预算数存在差异的主要原因是本年度有此项目经费支出。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9.节能环保支出（类）污染防治（款）大气（项）。</w:t>
      </w:r>
      <w:r>
        <w:rPr>
          <w:rFonts w:hint="eastAsia" w:ascii="仿宋_GB2312" w:hAnsi="仿宋_GB2312" w:eastAsia="仿宋_GB2312" w:cs="仿宋_GB2312"/>
          <w:sz w:val="32"/>
          <w:szCs w:val="32"/>
        </w:rPr>
        <w:t>年初预算为0.00万元，支出决算为4389.04万元。决算数与年初预算数存在差异的主要原因是本年度有大气污染防治项目支出。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10.节能环保支出（类）污染防治（款）水体（项）。</w:t>
      </w:r>
      <w:r>
        <w:rPr>
          <w:rFonts w:hint="eastAsia" w:ascii="仿宋_GB2312" w:hAnsi="仿宋_GB2312" w:eastAsia="仿宋_GB2312" w:cs="仿宋_GB2312"/>
          <w:sz w:val="32"/>
          <w:szCs w:val="32"/>
        </w:rPr>
        <w:t>年初预算为0.00万元，支出决算为470.00万元。决算数与年初预算数存在差异的主要原因是本年度有水体污染防治项目支出。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11.节能环保支出（类）其他节能环保支出（款）其他节能环保支出（项）。</w:t>
      </w:r>
      <w:r>
        <w:rPr>
          <w:rFonts w:hint="eastAsia" w:ascii="仿宋_GB2312" w:hAnsi="仿宋_GB2312" w:eastAsia="仿宋_GB2312" w:cs="仿宋_GB2312"/>
          <w:sz w:val="32"/>
          <w:szCs w:val="32"/>
        </w:rPr>
        <w:t>年初预算为0.00万元，支出决算为17.38万元。决算数与年初预算数存在差异的主要原因是本年度有其他污染防治项目支出。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sz w:val="32"/>
          <w:szCs w:val="24"/>
        </w:rPr>
        <w:t>2021年度一般公共预算财政拨款基本支出843.89万元。其中：人员经费739.89万元，主要包括：</w:t>
      </w:r>
      <w:r>
        <w:rPr>
          <w:rFonts w:hint="eastAsia" w:ascii="仿宋_GB2312" w:hAnsi="仿宋_GB2312" w:eastAsia="仿宋_GB2312" w:cs="仿宋_GB2312"/>
          <w:sz w:val="32"/>
          <w:szCs w:val="32"/>
        </w:rPr>
        <w:t>基本工资、津贴补贴、奖金、机关事业单位基本养老保险缴费、职工基本医疗保险缴费、公务员医疗补助缴费、其他社会保障缴费、住房公积金、其他工资福利支出、退休费、其他对个人和家庭的补助支出；</w:t>
      </w:r>
      <w:r>
        <w:rPr>
          <w:rFonts w:hint="eastAsia" w:ascii="仿宋_GB2312" w:hAnsi="仿宋_GB2312" w:eastAsia="仿宋_GB2312"/>
          <w:sz w:val="32"/>
          <w:szCs w:val="24"/>
        </w:rPr>
        <w:t>公用经费104.00万元</w:t>
      </w:r>
      <w:r>
        <w:rPr>
          <w:rFonts w:hint="eastAsia" w:ascii="仿宋_GB2312" w:hAnsi="仿宋_GB2312" w:eastAsia="仿宋_GB2312" w:cs="仿宋_GB2312"/>
          <w:sz w:val="32"/>
          <w:szCs w:val="32"/>
        </w:rPr>
        <w:t>，主要包括：办公费、印刷费、邮电费、差旅费、维修（护）费、公务接待费、劳务费、委托业务费、工会经费、福利费、公务用车运行维护费、其他交通费用、其他商品和服务支出。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sz w:val="32"/>
          <w:szCs w:val="24"/>
          <w:lang w:val="zh-CN"/>
        </w:rPr>
      </w:pPr>
      <w:r>
        <w:rPr>
          <w:rFonts w:hint="eastAsia" w:ascii="仿宋_GB2312" w:hAnsi="仿宋_GB2312" w:eastAsia="仿宋_GB2312"/>
          <w:sz w:val="32"/>
          <w:szCs w:val="24"/>
        </w:rPr>
        <w:t>2021年度“三公”经费财政拨款支出预算为6.00万元，支出决算为2.44万元，完成预算的40.67%。2021年度“三公”经费支出决算数与预算数存在差异的主要原因是单位厉行节约，严控三公经费支出。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spacing w:line="590" w:lineRule="exact"/>
        <w:ind w:firstLine="640"/>
        <w:rPr>
          <w:rFonts w:hint="eastAsia" w:ascii="仿宋_GB2312" w:hAnsi="仿宋_GB2312" w:eastAsia="仿宋_GB2312"/>
          <w:sz w:val="32"/>
          <w:szCs w:val="24"/>
        </w:rPr>
      </w:pPr>
      <w:r>
        <w:rPr>
          <w:rFonts w:hint="eastAsia" w:ascii="仿宋_GB2312" w:hAnsi="仿宋_GB2312" w:eastAsia="仿宋_GB2312"/>
          <w:sz w:val="32"/>
          <w:szCs w:val="24"/>
        </w:rPr>
        <w:t>2021年度“三公”经费财政拨款支出决算中，因公出国（境）费支出决算0.00万元；公务用车购置及运行费支出决算1.05万元，完成预算的26.2</w:t>
      </w:r>
      <w:r>
        <w:rPr>
          <w:rFonts w:hint="eastAsia" w:ascii="仿宋_GB2312" w:hAnsi="仿宋_GB2312" w:eastAsia="仿宋_GB2312"/>
          <w:sz w:val="32"/>
          <w:szCs w:val="24"/>
          <w:lang w:val="en-US" w:eastAsia="zh-CN"/>
        </w:rPr>
        <w:t>5</w:t>
      </w:r>
      <w:r>
        <w:rPr>
          <w:rFonts w:hint="eastAsia" w:ascii="仿宋_GB2312" w:hAnsi="仿宋_GB2312" w:eastAsia="仿宋_GB2312"/>
          <w:sz w:val="32"/>
          <w:szCs w:val="24"/>
        </w:rPr>
        <w:t>%，占</w:t>
      </w:r>
      <w:r>
        <w:rPr>
          <w:rFonts w:hint="eastAsia" w:ascii="仿宋_GB2312" w:hAnsi="仿宋_GB2312" w:eastAsia="仿宋_GB2312"/>
          <w:sz w:val="32"/>
          <w:szCs w:val="24"/>
          <w:lang w:val="en-US" w:eastAsia="zh-CN"/>
        </w:rPr>
        <w:t>43.03</w:t>
      </w:r>
      <w:r>
        <w:rPr>
          <w:rFonts w:hint="eastAsia" w:ascii="仿宋_GB2312" w:hAnsi="仿宋_GB2312" w:eastAsia="仿宋_GB2312"/>
          <w:sz w:val="32"/>
          <w:szCs w:val="24"/>
        </w:rPr>
        <w:t>%；公务接待费支出决算1.39万元，完成预算的69.</w:t>
      </w:r>
      <w:r>
        <w:rPr>
          <w:rFonts w:hint="eastAsia" w:ascii="仿宋_GB2312" w:hAnsi="仿宋_GB2312" w:eastAsia="仿宋_GB2312"/>
          <w:sz w:val="32"/>
          <w:szCs w:val="24"/>
          <w:lang w:val="en-US" w:eastAsia="zh-CN"/>
        </w:rPr>
        <w:t>50</w:t>
      </w:r>
      <w:r>
        <w:rPr>
          <w:rFonts w:hint="eastAsia" w:ascii="仿宋_GB2312" w:hAnsi="仿宋_GB2312" w:eastAsia="仿宋_GB2312"/>
          <w:sz w:val="32"/>
          <w:szCs w:val="24"/>
        </w:rPr>
        <w:t>%，占5</w:t>
      </w:r>
      <w:r>
        <w:rPr>
          <w:rFonts w:hint="eastAsia" w:ascii="仿宋_GB2312" w:hAnsi="仿宋_GB2312" w:eastAsia="仿宋_GB2312"/>
          <w:sz w:val="32"/>
          <w:szCs w:val="24"/>
          <w:lang w:val="en-US" w:eastAsia="zh-CN"/>
        </w:rPr>
        <w:t>6.97</w:t>
      </w:r>
      <w:r>
        <w:rPr>
          <w:rFonts w:hint="eastAsia" w:ascii="仿宋_GB2312" w:hAnsi="仿宋_GB2312" w:eastAsia="仿宋_GB2312"/>
          <w:sz w:val="32"/>
          <w:szCs w:val="24"/>
        </w:rPr>
        <w:t>%；具体情况如下：</w:t>
      </w:r>
    </w:p>
    <w:p>
      <w:pPr>
        <w:spacing w:line="590" w:lineRule="exact"/>
        <w:ind w:firstLine="640"/>
        <w:rPr>
          <w:rFonts w:hint="eastAsia" w:ascii="仿宋_GB2312" w:hAnsi="仿宋_GB2312" w:eastAsia="仿宋_GB2312"/>
          <w:sz w:val="32"/>
          <w:szCs w:val="24"/>
          <w:lang w:val="zh-CN"/>
        </w:rPr>
      </w:pPr>
      <w:r>
        <w:rPr>
          <w:rFonts w:hint="eastAsia" w:ascii="仿宋_GB2312" w:hAnsi="仿宋_GB2312" w:eastAsia="仿宋_GB2312"/>
          <w:b/>
          <w:bCs/>
          <w:sz w:val="32"/>
          <w:szCs w:val="24"/>
        </w:rPr>
        <w:t>1．因公出国（境）费</w:t>
      </w:r>
      <w:r>
        <w:rPr>
          <w:rFonts w:hint="eastAsia" w:ascii="仿宋_GB2312" w:hAnsi="仿宋_GB2312" w:eastAsia="仿宋_GB2312"/>
          <w:sz w:val="32"/>
          <w:szCs w:val="24"/>
        </w:rPr>
        <w:t>预算为0.00万元，支出决算为0.00万元。决算数与预算数不存在差异。因公出国（境）团组数0个，因公出国（境）人次数0人。</w:t>
      </w:r>
    </w:p>
    <w:p>
      <w:pPr>
        <w:spacing w:line="590" w:lineRule="exact"/>
        <w:ind w:firstLine="640"/>
        <w:rPr>
          <w:rFonts w:hint="eastAsia" w:ascii="仿宋_GB2312" w:hAnsi="仿宋_GB2312" w:eastAsia="仿宋_GB2312"/>
          <w:sz w:val="32"/>
          <w:szCs w:val="24"/>
        </w:rPr>
      </w:pPr>
      <w:r>
        <w:rPr>
          <w:rFonts w:hint="eastAsia" w:ascii="仿宋_GB2312" w:hAnsi="仿宋_GB2312" w:eastAsia="仿宋_GB2312"/>
          <w:sz w:val="32"/>
          <w:szCs w:val="24"/>
        </w:rPr>
        <w:t>2</w:t>
      </w:r>
      <w:r>
        <w:rPr>
          <w:rFonts w:hint="eastAsia" w:ascii="仿宋_GB2312" w:hAnsi="仿宋_GB2312" w:eastAsia="仿宋_GB2312"/>
          <w:b/>
          <w:bCs/>
          <w:sz w:val="32"/>
          <w:szCs w:val="24"/>
        </w:rPr>
        <w:t>．公务用车购置及运行费</w:t>
      </w:r>
      <w:r>
        <w:rPr>
          <w:rFonts w:hint="eastAsia" w:ascii="仿宋_GB2312" w:hAnsi="仿宋_GB2312" w:eastAsia="仿宋_GB2312"/>
          <w:sz w:val="32"/>
          <w:szCs w:val="24"/>
        </w:rPr>
        <w:t>预算为4.00万元，支出决算为1.05万元，完成预算的26.2</w:t>
      </w:r>
      <w:r>
        <w:rPr>
          <w:rFonts w:hint="eastAsia" w:ascii="仿宋_GB2312" w:hAnsi="仿宋_GB2312" w:eastAsia="仿宋_GB2312"/>
          <w:sz w:val="32"/>
          <w:szCs w:val="24"/>
          <w:lang w:val="en-US" w:eastAsia="zh-CN"/>
        </w:rPr>
        <w:t>5</w:t>
      </w:r>
      <w:r>
        <w:rPr>
          <w:rFonts w:hint="eastAsia" w:ascii="仿宋_GB2312" w:hAnsi="仿宋_GB2312" w:eastAsia="仿宋_GB2312"/>
          <w:sz w:val="32"/>
          <w:szCs w:val="24"/>
        </w:rPr>
        <w:t>%，决算数与预算数存在差异的主要原因是单位厉行节约，严控三公经费支出。其中：</w:t>
      </w:r>
    </w:p>
    <w:p>
      <w:pPr>
        <w:spacing w:line="590" w:lineRule="exact"/>
        <w:ind w:firstLine="640"/>
        <w:rPr>
          <w:rFonts w:hint="eastAsia" w:ascii="仿宋_GB2312" w:hAnsi="仿宋_GB2312" w:eastAsia="仿宋_GB2312"/>
          <w:sz w:val="32"/>
          <w:szCs w:val="24"/>
        </w:rPr>
      </w:pPr>
      <w:r>
        <w:rPr>
          <w:rFonts w:hint="eastAsia" w:ascii="仿宋_GB2312" w:hAnsi="仿宋_GB2312" w:eastAsia="仿宋_GB2312"/>
          <w:b/>
          <w:bCs/>
          <w:sz w:val="32"/>
          <w:szCs w:val="24"/>
        </w:rPr>
        <w:t>公务用车购置支出</w:t>
      </w:r>
      <w:r>
        <w:rPr>
          <w:rFonts w:hint="eastAsia" w:ascii="仿宋_GB2312" w:hAnsi="仿宋_GB2312" w:eastAsia="仿宋_GB2312"/>
          <w:sz w:val="32"/>
          <w:szCs w:val="24"/>
        </w:rPr>
        <w:t>0.00万元，购置车辆0台。</w:t>
      </w:r>
    </w:p>
    <w:p>
      <w:pPr>
        <w:spacing w:line="590" w:lineRule="exact"/>
        <w:ind w:firstLine="640"/>
        <w:rPr>
          <w:rFonts w:hint="eastAsia" w:ascii="仿宋_GB2312" w:hAnsi="仿宋_GB2312" w:eastAsia="仿宋_GB2312"/>
          <w:sz w:val="32"/>
          <w:szCs w:val="24"/>
          <w:lang w:val="zh-CN"/>
        </w:rPr>
      </w:pPr>
      <w:r>
        <w:rPr>
          <w:rFonts w:hint="eastAsia" w:ascii="仿宋_GB2312" w:hAnsi="仿宋_GB2312" w:eastAsia="仿宋_GB2312"/>
          <w:b/>
          <w:bCs/>
          <w:sz w:val="32"/>
          <w:szCs w:val="24"/>
        </w:rPr>
        <w:t>公务用车运行支出</w:t>
      </w:r>
      <w:r>
        <w:rPr>
          <w:rFonts w:hint="eastAsia" w:ascii="仿宋_GB2312" w:hAnsi="仿宋_GB2312" w:eastAsia="仿宋_GB2312"/>
          <w:sz w:val="32"/>
          <w:szCs w:val="24"/>
        </w:rPr>
        <w:t>1.05万元。主要用于燃油费、保险费、修理费。2021年期末，</w:t>
      </w:r>
      <w:r>
        <w:rPr>
          <w:rFonts w:hint="eastAsia" w:ascii="仿宋_GB2312" w:hAnsi="仿宋_GB2312" w:eastAsia="仿宋_GB2312"/>
          <w:sz w:val="32"/>
          <w:szCs w:val="24"/>
          <w:lang w:eastAsia="zh-CN"/>
        </w:rPr>
        <w:t>单位</w:t>
      </w:r>
      <w:r>
        <w:rPr>
          <w:rFonts w:hint="eastAsia" w:ascii="仿宋_GB2312" w:hAnsi="仿宋_GB2312" w:eastAsia="仿宋_GB2312"/>
          <w:sz w:val="32"/>
          <w:szCs w:val="24"/>
        </w:rPr>
        <w:t>开支财政拨款的公务用车保有量为1辆。</w:t>
      </w:r>
    </w:p>
    <w:p>
      <w:pPr>
        <w:spacing w:line="590" w:lineRule="exact"/>
        <w:ind w:firstLine="640"/>
        <w:rPr>
          <w:rFonts w:hint="eastAsia" w:ascii="仿宋_GB2312" w:hAnsi="仿宋_GB2312" w:eastAsia="仿宋_GB2312"/>
          <w:sz w:val="32"/>
          <w:szCs w:val="24"/>
        </w:rPr>
      </w:pPr>
      <w:r>
        <w:rPr>
          <w:rFonts w:hint="eastAsia" w:ascii="仿宋_GB2312" w:hAnsi="仿宋_GB2312" w:eastAsia="仿宋_GB2312"/>
          <w:b/>
          <w:bCs/>
          <w:sz w:val="32"/>
          <w:szCs w:val="24"/>
        </w:rPr>
        <w:t>3.公务接待费</w:t>
      </w:r>
      <w:r>
        <w:rPr>
          <w:rFonts w:hint="eastAsia" w:ascii="仿宋_GB2312" w:hAnsi="仿宋_GB2312" w:eastAsia="仿宋_GB2312"/>
          <w:sz w:val="32"/>
          <w:szCs w:val="24"/>
        </w:rPr>
        <w:t>预算为2.00万元，支出决算为1.39万元，完成预算的69.</w:t>
      </w:r>
      <w:r>
        <w:rPr>
          <w:rFonts w:hint="eastAsia" w:ascii="仿宋_GB2312" w:hAnsi="仿宋_GB2312" w:eastAsia="仿宋_GB2312"/>
          <w:sz w:val="32"/>
          <w:szCs w:val="24"/>
          <w:lang w:val="en-US" w:eastAsia="zh-CN"/>
        </w:rPr>
        <w:t>50</w:t>
      </w:r>
      <w:r>
        <w:rPr>
          <w:rFonts w:hint="eastAsia" w:ascii="仿宋_GB2312" w:hAnsi="仿宋_GB2312" w:eastAsia="仿宋_GB2312"/>
          <w:sz w:val="32"/>
          <w:szCs w:val="24"/>
        </w:rPr>
        <w:t>%。决算数与预算数存在差异的主要原因是单位厉行节约，严控三公经费支出。其中：</w:t>
      </w:r>
    </w:p>
    <w:p>
      <w:pPr>
        <w:spacing w:line="590" w:lineRule="exact"/>
        <w:ind w:firstLine="640"/>
        <w:rPr>
          <w:rFonts w:hint="eastAsia" w:ascii="仿宋_GB2312" w:hAnsi="仿宋_GB2312" w:eastAsia="仿宋_GB2312"/>
          <w:sz w:val="32"/>
          <w:szCs w:val="24"/>
        </w:rPr>
      </w:pPr>
      <w:r>
        <w:rPr>
          <w:rFonts w:hint="eastAsia" w:ascii="仿宋_GB2312" w:hAnsi="仿宋_GB2312" w:eastAsia="仿宋_GB2312"/>
          <w:b/>
          <w:bCs/>
          <w:sz w:val="32"/>
          <w:szCs w:val="24"/>
        </w:rPr>
        <w:t>外宾接待支出</w:t>
      </w:r>
      <w:r>
        <w:rPr>
          <w:rFonts w:hint="eastAsia" w:ascii="仿宋_GB2312" w:hAnsi="仿宋_GB2312" w:eastAsia="仿宋_GB2312"/>
          <w:sz w:val="32"/>
          <w:szCs w:val="24"/>
        </w:rPr>
        <w:t>0.00万元。2021年共接待国（境）外来访团组0个、来访外宾0人次（不包括陪同人员）。</w:t>
      </w:r>
    </w:p>
    <w:p>
      <w:pPr>
        <w:spacing w:line="590" w:lineRule="exact"/>
        <w:ind w:firstLine="640"/>
        <w:rPr>
          <w:rFonts w:hint="eastAsia" w:ascii="仿宋_GB2312" w:hAnsi="仿宋_GB2312" w:eastAsia="仿宋_GB2312"/>
          <w:sz w:val="32"/>
          <w:szCs w:val="24"/>
          <w:lang w:val="zh-CN"/>
        </w:rPr>
      </w:pPr>
      <w:r>
        <w:rPr>
          <w:rFonts w:hint="eastAsia" w:ascii="仿宋_GB2312" w:hAnsi="仿宋_GB2312" w:eastAsia="仿宋_GB2312"/>
          <w:b/>
          <w:bCs/>
          <w:sz w:val="32"/>
          <w:szCs w:val="24"/>
        </w:rPr>
        <w:t>其他国内公务接待支出</w:t>
      </w:r>
      <w:r>
        <w:rPr>
          <w:rFonts w:hint="eastAsia" w:ascii="仿宋_GB2312" w:hAnsi="仿宋_GB2312" w:eastAsia="仿宋_GB2312"/>
          <w:sz w:val="32"/>
          <w:szCs w:val="24"/>
        </w:rPr>
        <w:t>1.39万元。主要用于生态环境部、生态环境厅来访的专家接待等。2021年共接待国内来访团组19个、来宾103人次（不包括陪同人员）。</w:t>
      </w:r>
    </w:p>
    <w:p>
      <w:pPr>
        <w:spacing w:line="590" w:lineRule="exact"/>
        <w:ind w:firstLine="640"/>
        <w:rPr>
          <w:rFonts w:eastAsia="Times New Roman"/>
          <w:sz w:val="32"/>
          <w:szCs w:val="24"/>
        </w:rPr>
      </w:pPr>
      <w:r>
        <w:rPr>
          <w:rFonts w:hint="eastAsia" w:ascii="黑体" w:hAnsi="黑体" w:eastAsia="黑体"/>
          <w:sz w:val="32"/>
          <w:szCs w:val="24"/>
        </w:rPr>
        <w:t>八、政府性基金预算财政拨款支出决算情况说明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cs="仿宋_GB2312"/>
          <w:sz w:val="32"/>
          <w:szCs w:val="32"/>
        </w:rPr>
        <w:t>2021年度政府性基金预算财政拨款支出年初预算为0.00万元，支出决算为0.00万元。</w:t>
      </w:r>
      <w:r>
        <w:rPr>
          <w:rFonts w:hint="eastAsia" w:ascii="仿宋_GB2312" w:hAnsi="仿宋_GB2312" w:eastAsia="仿宋_GB2312" w:cs="仿宋_GB2312"/>
          <w:sz w:val="32"/>
          <w:szCs w:val="32"/>
          <w:lang w:val="en-US" w:eastAsia="zh-CN"/>
        </w:rPr>
        <w:t>不存在项目年末结转和结余资金数额较大。情况说明：</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spacing w:line="590" w:lineRule="exact"/>
        <w:ind w:firstLine="640"/>
        <w:rPr>
          <w:rFonts w:eastAsia="Times New Roman"/>
          <w:sz w:val="32"/>
          <w:szCs w:val="24"/>
        </w:rPr>
      </w:pPr>
      <w:r>
        <w:rPr>
          <w:rFonts w:hint="eastAsia" w:ascii="黑体" w:hAnsi="黑体" w:eastAsia="黑体"/>
          <w:sz w:val="32"/>
          <w:szCs w:val="24"/>
        </w:rPr>
        <w:t>九、机关运行经费支出情况说明</w:t>
      </w:r>
    </w:p>
    <w:p>
      <w:pPr>
        <w:spacing w:line="590" w:lineRule="exact"/>
        <w:ind w:firstLine="640"/>
        <w:rPr>
          <w:rFonts w:hint="eastAsia" w:ascii="仿宋_GB2312" w:hAnsi="仿宋_GB2312" w:eastAsia="仿宋_GB2312"/>
          <w:sz w:val="32"/>
          <w:szCs w:val="24"/>
        </w:rPr>
      </w:pPr>
      <w:r>
        <w:rPr>
          <w:rFonts w:hint="eastAsia" w:ascii="仿宋_GB2312" w:hAnsi="仿宋_GB2312" w:eastAsia="仿宋_GB2312"/>
          <w:sz w:val="32"/>
          <w:szCs w:val="24"/>
        </w:rPr>
        <w:t>2021年度机关运行经费年初预算为108.44万元，支出决算为104.00万元，完成年初预算的95.91%。决算数与年初预算数存在差异的主要原因是厉行节约</w:t>
      </w:r>
      <w:r>
        <w:rPr>
          <w:rFonts w:hint="eastAsia" w:ascii="仿宋_GB2312" w:hAnsi="仿宋_GB2312" w:eastAsia="仿宋_GB2312"/>
          <w:sz w:val="32"/>
          <w:szCs w:val="24"/>
          <w:lang w:eastAsia="zh-CN"/>
        </w:rPr>
        <w:t>，减少办公经费支出</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黑体" w:hAnsi="黑体" w:eastAsia="黑体"/>
          <w:sz w:val="32"/>
          <w:szCs w:val="24"/>
        </w:rPr>
        <w:t>十、政府采购支出情况说明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2021年度政府采购支出总额0.00万元，其中：政府采购货物支出0.00万元、政府采购工程支出0.00万元、政府采购服务支出0.00万元。授予中小企业合同金额0.00万元</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其中：授予小微企业合同金额0.00万元。</w:t>
      </w:r>
    </w:p>
    <w:p>
      <w:pPr>
        <w:spacing w:line="590" w:lineRule="exact"/>
        <w:ind w:firstLine="640"/>
        <w:rPr>
          <w:rFonts w:eastAsia="Times New Roman"/>
          <w:sz w:val="32"/>
          <w:szCs w:val="24"/>
        </w:rPr>
      </w:pPr>
      <w:r>
        <w:rPr>
          <w:rFonts w:hint="eastAsia" w:ascii="黑体" w:hAnsi="黑体" w:eastAsia="黑体"/>
          <w:sz w:val="32"/>
          <w:szCs w:val="24"/>
        </w:rPr>
        <w:t>十一、国有资产占用情况说明</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eastAsia="Times New Roman"/>
          <w:kern w:val="0"/>
          <w:sz w:val="18"/>
          <w:szCs w:val="24"/>
        </w:rPr>
      </w:pPr>
      <w:r>
        <w:rPr>
          <w:rFonts w:hint="eastAsia" w:ascii="仿宋_GB2312" w:hAnsi="仿宋_GB2312" w:eastAsia="仿宋_GB2312"/>
          <w:sz w:val="32"/>
          <w:szCs w:val="24"/>
        </w:rPr>
        <w:t>2021年期末，我单位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（一）绩效管理工作开展情况。</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24"/>
          <w:highlight w:val="none"/>
        </w:rPr>
      </w:pPr>
      <w:r>
        <w:rPr>
          <w:rFonts w:hint="eastAsia" w:ascii="仿宋_GB2312" w:hAnsi="仿宋_GB2312" w:eastAsia="仿宋_GB2312"/>
          <w:sz w:val="32"/>
          <w:szCs w:val="24"/>
          <w:highlight w:val="none"/>
        </w:rPr>
        <w:t>我</w:t>
      </w:r>
      <w:r>
        <w:rPr>
          <w:rFonts w:hint="eastAsia" w:ascii="仿宋_GB2312" w:hAnsi="仿宋_GB2312" w:eastAsia="仿宋_GB2312"/>
          <w:sz w:val="32"/>
          <w:szCs w:val="24"/>
          <w:highlight w:val="none"/>
          <w:lang w:eastAsia="zh-CN"/>
        </w:rPr>
        <w:t>单位</w:t>
      </w:r>
      <w:r>
        <w:rPr>
          <w:rFonts w:hint="eastAsia" w:ascii="仿宋_GB2312" w:hAnsi="仿宋_GB2312" w:eastAsia="仿宋_GB2312"/>
          <w:sz w:val="32"/>
          <w:szCs w:val="24"/>
          <w:highlight w:val="none"/>
        </w:rPr>
        <w:t>按照《中共许昌市委 许昌市人民政府关于全面实施预算绩效管理的实施意见》（许发〔2021〕13号）文件要求，对本</w:t>
      </w:r>
      <w:r>
        <w:rPr>
          <w:rFonts w:hint="eastAsia" w:ascii="仿宋_GB2312" w:hAnsi="仿宋_GB2312" w:eastAsia="仿宋_GB2312"/>
          <w:sz w:val="32"/>
          <w:szCs w:val="24"/>
          <w:highlight w:val="none"/>
          <w:lang w:eastAsia="zh-CN"/>
        </w:rPr>
        <w:t>单位</w:t>
      </w:r>
      <w:r>
        <w:rPr>
          <w:rFonts w:hint="eastAsia" w:ascii="仿宋_GB2312" w:hAnsi="仿宋_GB2312" w:eastAsia="仿宋_GB2312"/>
          <w:sz w:val="32"/>
          <w:szCs w:val="24"/>
          <w:highlight w:val="none"/>
        </w:rPr>
        <w:t>整体支出和项目支出开展全过程预算绩效管理。2021年我单位纳入预算绩效管理的支出总额为</w:t>
      </w:r>
      <w:r>
        <w:rPr>
          <w:rFonts w:hint="eastAsia" w:ascii="仿宋_GB2312" w:hAnsi="仿宋_GB2312" w:eastAsia="仿宋_GB2312"/>
          <w:sz w:val="32"/>
          <w:szCs w:val="24"/>
          <w:highlight w:val="none"/>
          <w:lang w:val="en-US" w:eastAsia="zh-CN"/>
        </w:rPr>
        <w:t>947.72</w:t>
      </w:r>
      <w:r>
        <w:rPr>
          <w:rFonts w:hint="eastAsia" w:ascii="仿宋_GB2312" w:hAnsi="仿宋_GB2312" w:eastAsia="仿宋_GB2312"/>
          <w:sz w:val="32"/>
          <w:szCs w:val="24"/>
          <w:highlight w:val="none"/>
        </w:rPr>
        <w:t>万元，其中：基本支出843.89万元；支出项目7个，支出金额103.83万元。开展项目绩效自评项目7个，自评金额103.83万元；纳入重点绩效评价</w:t>
      </w:r>
      <w:r>
        <w:rPr>
          <w:rFonts w:hint="eastAsia" w:ascii="仿宋_GB2312" w:hAnsi="仿宋_GB2312" w:eastAsia="仿宋_GB2312"/>
          <w:sz w:val="32"/>
          <w:szCs w:val="24"/>
          <w:highlight w:val="none"/>
          <w:lang w:val="en-US" w:eastAsia="zh-CN"/>
        </w:rPr>
        <w:t>1</w:t>
      </w:r>
      <w:r>
        <w:rPr>
          <w:rFonts w:hint="eastAsia" w:ascii="仿宋_GB2312" w:hAnsi="仿宋_GB2312" w:eastAsia="仿宋_GB2312"/>
          <w:sz w:val="32"/>
          <w:szCs w:val="24"/>
          <w:highlight w:val="none"/>
        </w:rPr>
        <w:t>个，评价金额</w:t>
      </w:r>
      <w:r>
        <w:rPr>
          <w:rFonts w:hint="eastAsia" w:ascii="仿宋_GB2312" w:hAnsi="仿宋_GB2312" w:eastAsia="仿宋_GB2312"/>
          <w:sz w:val="32"/>
          <w:szCs w:val="24"/>
          <w:highlight w:val="none"/>
          <w:lang w:val="en-US" w:eastAsia="zh-CN"/>
        </w:rPr>
        <w:t>460.25</w:t>
      </w:r>
      <w:r>
        <w:rPr>
          <w:rFonts w:hint="eastAsia" w:ascii="仿宋_GB2312" w:hAnsi="仿宋_GB2312" w:eastAsia="仿宋_GB2312"/>
          <w:sz w:val="32"/>
          <w:szCs w:val="24"/>
          <w:highlight w:val="none"/>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（二）单位整体和项目绩效自评结果。</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highlight w:val="none"/>
        </w:rPr>
        <w:t>按照《许昌市财政局关于开展2021年度市级预算绩效自评工作的通知》（许财效〔202</w:t>
      </w:r>
      <w:r>
        <w:rPr>
          <w:rFonts w:hint="eastAsia"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rPr>
        <w:t>〕1号）等文件精神，我</w:t>
      </w:r>
      <w:r>
        <w:rPr>
          <w:rFonts w:hint="eastAsia" w:ascii="仿宋_GB2312" w:hAnsi="仿宋_GB2312" w:eastAsia="仿宋_GB2312"/>
          <w:sz w:val="32"/>
          <w:szCs w:val="24"/>
          <w:highlight w:val="none"/>
          <w:lang w:eastAsia="zh-CN"/>
        </w:rPr>
        <w:t>单位</w:t>
      </w:r>
      <w:r>
        <w:rPr>
          <w:rFonts w:hint="eastAsia" w:ascii="仿宋_GB2312" w:hAnsi="仿宋_GB2312" w:eastAsia="仿宋_GB2312"/>
          <w:sz w:val="32"/>
          <w:szCs w:val="24"/>
          <w:highlight w:val="none"/>
        </w:rPr>
        <w:t>对本单位整体绩效目标和项目支出绩效目标进行了自评。一是</w:t>
      </w:r>
      <w:r>
        <w:rPr>
          <w:rFonts w:hint="eastAsia" w:ascii="仿宋_GB2312" w:hAnsi="仿宋_GB2312" w:eastAsia="仿宋_GB2312"/>
          <w:sz w:val="32"/>
          <w:szCs w:val="24"/>
          <w:highlight w:val="none"/>
          <w:lang w:eastAsia="zh-CN"/>
        </w:rPr>
        <w:t>单位</w:t>
      </w:r>
      <w:r>
        <w:rPr>
          <w:rFonts w:hint="eastAsia" w:ascii="仿宋_GB2312" w:hAnsi="仿宋_GB2312" w:eastAsia="仿宋_GB2312"/>
          <w:sz w:val="32"/>
          <w:szCs w:val="24"/>
          <w:highlight w:val="none"/>
        </w:rPr>
        <w:t>整体绩效自评情况。2021年，许昌市生态环境局年度绩效目标全面完成。目标设置明确、具体可衡量，与工作关系密切，内容合规。设立</w:t>
      </w:r>
      <w:r>
        <w:rPr>
          <w:rFonts w:hint="eastAsia" w:ascii="仿宋_GB2312" w:hAnsi="仿宋_GB2312" w:eastAsia="仿宋_GB2312"/>
          <w:sz w:val="32"/>
          <w:szCs w:val="24"/>
          <w:highlight w:val="none"/>
          <w:lang w:eastAsia="zh-CN"/>
        </w:rPr>
        <w:t>有效</w:t>
      </w:r>
      <w:r>
        <w:rPr>
          <w:rFonts w:hint="eastAsia" w:ascii="仿宋_GB2312" w:hAnsi="仿宋_GB2312" w:eastAsia="仿宋_GB2312"/>
          <w:sz w:val="32"/>
          <w:szCs w:val="24"/>
          <w:highlight w:val="none"/>
        </w:rPr>
        <w:t>目标管理机制，保障工作有效落地。2021年度，我市环境空气质量目标、水环境质量目标和土壤环境保护目标均圆满完成，生态环境质量持续改善。营商环境进一步优化。营商环境考核中“蓝天碧水净土森林覆盖面”指标排名全省第4位。无废城市建设工作全面开花。完成了“无废城市”试点期55项指标，凝练了7个经验模式，成功入选全省深化改革典型案例。2021年市生态环境队伍作风明显好转，素质能力持续提升。生态环境系统信访安全稳定，中央环保督察176件群众举报件全面完成整改并销号，办结率达到100%。二是项目绩效自评情况。我</w:t>
      </w:r>
      <w:r>
        <w:rPr>
          <w:rFonts w:hint="eastAsia" w:ascii="仿宋_GB2312" w:hAnsi="仿宋_GB2312" w:eastAsia="仿宋_GB2312"/>
          <w:sz w:val="32"/>
          <w:szCs w:val="24"/>
          <w:highlight w:val="none"/>
          <w:lang w:eastAsia="zh-CN"/>
        </w:rPr>
        <w:t>单位</w:t>
      </w:r>
      <w:r>
        <w:rPr>
          <w:rFonts w:hint="eastAsia" w:ascii="仿宋_GB2312" w:hAnsi="仿宋_GB2312" w:eastAsia="仿宋_GB2312"/>
          <w:sz w:val="32"/>
          <w:szCs w:val="24"/>
          <w:highlight w:val="none"/>
        </w:rPr>
        <w:t>共有7个项目批复了绩效目标</w:t>
      </w:r>
      <w:r>
        <w:rPr>
          <w:rFonts w:hint="eastAsia" w:ascii="仿宋_GB2312" w:hAnsi="仿宋_GB2312" w:eastAsia="仿宋_GB2312"/>
          <w:sz w:val="32"/>
          <w:szCs w:val="24"/>
          <w:highlight w:val="none"/>
          <w:lang w:eastAsia="zh-CN"/>
        </w:rPr>
        <w:t>，</w:t>
      </w:r>
      <w:r>
        <w:rPr>
          <w:rFonts w:hint="eastAsia" w:ascii="仿宋_GB2312" w:hAnsi="仿宋_GB2312" w:eastAsia="仿宋_GB2312" w:cs="仿宋_GB2312"/>
          <w:color w:val="auto"/>
          <w:sz w:val="32"/>
          <w:szCs w:val="32"/>
          <w:highlight w:val="none"/>
          <w:lang w:val="en-US" w:eastAsia="zh-CN"/>
        </w:rPr>
        <w:t>项目金额103.83万元。其中：</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许昌市生态环境局（本级）7个，项目金额103.83万元。</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24"/>
          <w:highlight w:val="none"/>
        </w:rPr>
      </w:pPr>
      <w:r>
        <w:rPr>
          <w:rFonts w:hint="eastAsia" w:ascii="仿宋_GB2312" w:hAnsi="仿宋_GB2312" w:eastAsia="仿宋_GB2312"/>
          <w:sz w:val="32"/>
          <w:szCs w:val="24"/>
          <w:highlight w:val="none"/>
        </w:rPr>
        <w:t>基于项目预期目标的实现程度，</w:t>
      </w:r>
      <w:r>
        <w:rPr>
          <w:rFonts w:hint="eastAsia" w:ascii="仿宋_GB2312" w:hAnsi="仿宋_GB2312" w:eastAsia="仿宋_GB2312" w:cs="仿宋_GB2312"/>
          <w:color w:val="auto"/>
          <w:sz w:val="32"/>
          <w:szCs w:val="32"/>
          <w:highlight w:val="none"/>
          <w:lang w:val="en-US" w:eastAsia="zh-CN"/>
        </w:rPr>
        <w:t>对2021年度项目支出绩效进行自评，绩效自评平均得分为10分。其中：7个项目评价等级为“优”、0个项目评价等级为“良”、0个项目评价等级为“中”、0个项目评价等级为“差”。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许昌市财政局和我单位主管部门共选取我单位1个项目开展重点绩效评价：0个项目等次为“优”、0个项目等次为“良”，1个项目等次为“中”，0个项目等次为“差”。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mRkODg2YTUzODU2OTRlNGNlYzU1ODY2ZWZlM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E426A"/>
    <w:rsid w:val="0041489C"/>
    <w:rsid w:val="0042585F"/>
    <w:rsid w:val="00445CAC"/>
    <w:rsid w:val="004630C6"/>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65AF1"/>
    <w:rsid w:val="007706D7"/>
    <w:rsid w:val="007879ED"/>
    <w:rsid w:val="007A48A3"/>
    <w:rsid w:val="007C029F"/>
    <w:rsid w:val="007C7F49"/>
    <w:rsid w:val="007D2A21"/>
    <w:rsid w:val="008041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59363D"/>
    <w:rsid w:val="03C75F80"/>
    <w:rsid w:val="0478364D"/>
    <w:rsid w:val="053D4C0D"/>
    <w:rsid w:val="0557532E"/>
    <w:rsid w:val="0799329C"/>
    <w:rsid w:val="08397436"/>
    <w:rsid w:val="086F16A7"/>
    <w:rsid w:val="0A0F7225"/>
    <w:rsid w:val="0A2B7D82"/>
    <w:rsid w:val="0A8E522D"/>
    <w:rsid w:val="0AC43BD6"/>
    <w:rsid w:val="0ADC40E9"/>
    <w:rsid w:val="0AE607F4"/>
    <w:rsid w:val="0B386127"/>
    <w:rsid w:val="0B451598"/>
    <w:rsid w:val="0BEC73F4"/>
    <w:rsid w:val="0C392698"/>
    <w:rsid w:val="10BD36F6"/>
    <w:rsid w:val="11BF0649"/>
    <w:rsid w:val="123E3E08"/>
    <w:rsid w:val="12791770"/>
    <w:rsid w:val="12C50511"/>
    <w:rsid w:val="133212F4"/>
    <w:rsid w:val="13D22E22"/>
    <w:rsid w:val="157C4C2F"/>
    <w:rsid w:val="161C2DFF"/>
    <w:rsid w:val="16373578"/>
    <w:rsid w:val="16D3336B"/>
    <w:rsid w:val="17200028"/>
    <w:rsid w:val="17806C36"/>
    <w:rsid w:val="17A74F62"/>
    <w:rsid w:val="18A47774"/>
    <w:rsid w:val="1A8D28EB"/>
    <w:rsid w:val="1A9F2D78"/>
    <w:rsid w:val="1B2E6FD8"/>
    <w:rsid w:val="1B877D21"/>
    <w:rsid w:val="1C4319A9"/>
    <w:rsid w:val="1DFF5647"/>
    <w:rsid w:val="1E443B4B"/>
    <w:rsid w:val="1E737B8E"/>
    <w:rsid w:val="1E994F4A"/>
    <w:rsid w:val="1EAF0224"/>
    <w:rsid w:val="1F2230A4"/>
    <w:rsid w:val="20210932"/>
    <w:rsid w:val="202448E0"/>
    <w:rsid w:val="20F614FE"/>
    <w:rsid w:val="21302EEA"/>
    <w:rsid w:val="22376FB5"/>
    <w:rsid w:val="23696CBE"/>
    <w:rsid w:val="2388545C"/>
    <w:rsid w:val="23E152D7"/>
    <w:rsid w:val="23EE2489"/>
    <w:rsid w:val="24AA3D15"/>
    <w:rsid w:val="255D43C8"/>
    <w:rsid w:val="26714EF8"/>
    <w:rsid w:val="26876BDD"/>
    <w:rsid w:val="2714632A"/>
    <w:rsid w:val="27541E73"/>
    <w:rsid w:val="275F4462"/>
    <w:rsid w:val="27B0539E"/>
    <w:rsid w:val="29365CF8"/>
    <w:rsid w:val="299469B3"/>
    <w:rsid w:val="2A805789"/>
    <w:rsid w:val="2ADC0D75"/>
    <w:rsid w:val="2B4A0E52"/>
    <w:rsid w:val="2B6B4036"/>
    <w:rsid w:val="2B99791F"/>
    <w:rsid w:val="2C975890"/>
    <w:rsid w:val="2D947395"/>
    <w:rsid w:val="2DEF21BB"/>
    <w:rsid w:val="2E4A2F05"/>
    <w:rsid w:val="2ECC1061"/>
    <w:rsid w:val="2F1548CD"/>
    <w:rsid w:val="2FA476AD"/>
    <w:rsid w:val="30266070"/>
    <w:rsid w:val="303F7540"/>
    <w:rsid w:val="30667805"/>
    <w:rsid w:val="31DD00BF"/>
    <w:rsid w:val="3293174C"/>
    <w:rsid w:val="32BB38D4"/>
    <w:rsid w:val="32C9376D"/>
    <w:rsid w:val="33780472"/>
    <w:rsid w:val="33AF0905"/>
    <w:rsid w:val="34D5735F"/>
    <w:rsid w:val="355932F4"/>
    <w:rsid w:val="355F7EFA"/>
    <w:rsid w:val="35611882"/>
    <w:rsid w:val="35D272C2"/>
    <w:rsid w:val="36242FD6"/>
    <w:rsid w:val="36746FC3"/>
    <w:rsid w:val="368763AE"/>
    <w:rsid w:val="395D59E7"/>
    <w:rsid w:val="39A93932"/>
    <w:rsid w:val="3A915562"/>
    <w:rsid w:val="3AF45AE4"/>
    <w:rsid w:val="3B8D4765"/>
    <w:rsid w:val="3C000DBA"/>
    <w:rsid w:val="3DC045D3"/>
    <w:rsid w:val="3E504FFB"/>
    <w:rsid w:val="3E615CD0"/>
    <w:rsid w:val="3E9C47F6"/>
    <w:rsid w:val="3F012E58"/>
    <w:rsid w:val="3F6FF3F0"/>
    <w:rsid w:val="3F8B0112"/>
    <w:rsid w:val="3FAB3095"/>
    <w:rsid w:val="3FE45947"/>
    <w:rsid w:val="41242965"/>
    <w:rsid w:val="421E34DA"/>
    <w:rsid w:val="435671EA"/>
    <w:rsid w:val="440809E9"/>
    <w:rsid w:val="442407A6"/>
    <w:rsid w:val="44805EA1"/>
    <w:rsid w:val="45710696"/>
    <w:rsid w:val="46142B1B"/>
    <w:rsid w:val="47E60DD0"/>
    <w:rsid w:val="48735039"/>
    <w:rsid w:val="492C684B"/>
    <w:rsid w:val="4933371F"/>
    <w:rsid w:val="49500594"/>
    <w:rsid w:val="49E7604E"/>
    <w:rsid w:val="4BF67CDD"/>
    <w:rsid w:val="4D173441"/>
    <w:rsid w:val="4D603DD6"/>
    <w:rsid w:val="4EBF010F"/>
    <w:rsid w:val="4F471EB0"/>
    <w:rsid w:val="51331326"/>
    <w:rsid w:val="51740A7F"/>
    <w:rsid w:val="51A5541E"/>
    <w:rsid w:val="51C96242"/>
    <w:rsid w:val="53906AE1"/>
    <w:rsid w:val="54A0075A"/>
    <w:rsid w:val="54F46F60"/>
    <w:rsid w:val="55A37BEA"/>
    <w:rsid w:val="56362CD2"/>
    <w:rsid w:val="5784687B"/>
    <w:rsid w:val="57846959"/>
    <w:rsid w:val="578E6A87"/>
    <w:rsid w:val="58594DC0"/>
    <w:rsid w:val="58DE214A"/>
    <w:rsid w:val="5A23031A"/>
    <w:rsid w:val="5A935E2D"/>
    <w:rsid w:val="5AC2203A"/>
    <w:rsid w:val="5CBB3334"/>
    <w:rsid w:val="5D115FAF"/>
    <w:rsid w:val="61463829"/>
    <w:rsid w:val="62811722"/>
    <w:rsid w:val="62E75A72"/>
    <w:rsid w:val="62EE6CB1"/>
    <w:rsid w:val="64571880"/>
    <w:rsid w:val="646A5A4F"/>
    <w:rsid w:val="649125B6"/>
    <w:rsid w:val="652F4C1A"/>
    <w:rsid w:val="666D37F1"/>
    <w:rsid w:val="67087D8F"/>
    <w:rsid w:val="671F687E"/>
    <w:rsid w:val="674347BF"/>
    <w:rsid w:val="67F36AEF"/>
    <w:rsid w:val="67F415F8"/>
    <w:rsid w:val="682640D1"/>
    <w:rsid w:val="683B72E1"/>
    <w:rsid w:val="684B73E5"/>
    <w:rsid w:val="6A047A2A"/>
    <w:rsid w:val="6AD50531"/>
    <w:rsid w:val="6EFB7548"/>
    <w:rsid w:val="6F3831C3"/>
    <w:rsid w:val="6F8B71C1"/>
    <w:rsid w:val="70753482"/>
    <w:rsid w:val="707B522A"/>
    <w:rsid w:val="70A71B73"/>
    <w:rsid w:val="70B321E8"/>
    <w:rsid w:val="70DB1060"/>
    <w:rsid w:val="71696E38"/>
    <w:rsid w:val="73194D05"/>
    <w:rsid w:val="73513D40"/>
    <w:rsid w:val="73A83B0E"/>
    <w:rsid w:val="744D3EF9"/>
    <w:rsid w:val="74794411"/>
    <w:rsid w:val="75867C40"/>
    <w:rsid w:val="75B10B26"/>
    <w:rsid w:val="76432199"/>
    <w:rsid w:val="76F44829"/>
    <w:rsid w:val="7737647F"/>
    <w:rsid w:val="774E635B"/>
    <w:rsid w:val="77A267C0"/>
    <w:rsid w:val="7838619C"/>
    <w:rsid w:val="78660C09"/>
    <w:rsid w:val="78882278"/>
    <w:rsid w:val="78B118A6"/>
    <w:rsid w:val="79135044"/>
    <w:rsid w:val="79681E85"/>
    <w:rsid w:val="7A7D0F99"/>
    <w:rsid w:val="7C413284"/>
    <w:rsid w:val="7E4A0E7C"/>
    <w:rsid w:val="7EA55B36"/>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Cs w:val="32"/>
    </w:rPr>
  </w:style>
  <w:style w:type="paragraph" w:styleId="3">
    <w:name w:val="Body Text 2"/>
    <w:basedOn w:val="1"/>
    <w:qFormat/>
    <w:uiPriority w:val="0"/>
    <w:pPr>
      <w:widowControl/>
      <w:numPr>
        <w:ilvl w:val="0"/>
        <w:numId w:val="1"/>
      </w:numPr>
      <w:tabs>
        <w:tab w:val="clear" w:pos="1440"/>
      </w:tabs>
      <w:spacing w:before="156" w:beforeLines="50" w:line="336" w:lineRule="auto"/>
      <w:ind w:left="0" w:firstLine="0"/>
    </w:pPr>
    <w:rPr>
      <w:rFonts w:eastAsia="黑体"/>
      <w:szCs w:val="20"/>
      <w:lang w:val="en-GB"/>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字符"/>
    <w:link w:val="4"/>
    <w:semiHidden/>
    <w:qFormat/>
    <w:uiPriority w:val="99"/>
    <w:rPr>
      <w:kern w:val="2"/>
      <w:sz w:val="18"/>
      <w:szCs w:val="18"/>
    </w:rPr>
  </w:style>
  <w:style w:type="character" w:customStyle="1" w:styleId="13">
    <w:name w:val="页脚 字符"/>
    <w:link w:val="5"/>
    <w:qFormat/>
    <w:uiPriority w:val="99"/>
    <w:rPr>
      <w:kern w:val="2"/>
      <w:sz w:val="18"/>
      <w:szCs w:val="18"/>
    </w:rPr>
  </w:style>
  <w:style w:type="character" w:customStyle="1" w:styleId="14">
    <w:name w:val="页眉 字符"/>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8968</Words>
  <Characters>11311</Characters>
  <Lines>96</Lines>
  <Paragraphs>27</Paragraphs>
  <TotalTime>8</TotalTime>
  <ScaleCrop>false</ScaleCrop>
  <LinksUpToDate>false</LinksUpToDate>
  <CharactersWithSpaces>11555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李小洁</cp:lastModifiedBy>
  <cp:lastPrinted>2022-09-13T17:21:00Z</cp:lastPrinted>
  <dcterms:modified xsi:type="dcterms:W3CDTF">2023-05-15T08:58:57Z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86115FDCD6D7402A80D46D3A4B2F6FD8</vt:lpwstr>
  </property>
</Properties>
</file>