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许昌市煤炭工业发展服务中心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4"/>
          <w:szCs w:val="44"/>
          <w:highlight w:val="none"/>
        </w:rPr>
        <w:t>二〇二二年</w:t>
      </w:r>
      <w:r>
        <w:rPr>
          <w:rFonts w:hint="eastAsia" w:ascii="黑体" w:hAnsi="黑体" w:eastAsia="黑体" w:cs="黑体"/>
          <w:sz w:val="44"/>
          <w:szCs w:val="44"/>
          <w:highlight w:val="none"/>
          <w:lang w:eastAsia="zh-CN"/>
        </w:rPr>
        <w:t>九</w:t>
      </w:r>
      <w:r>
        <w:rPr>
          <w:rFonts w:hint="eastAsia" w:ascii="黑体" w:hAnsi="黑体" w:eastAsia="黑体" w:cs="黑体"/>
          <w:sz w:val="44"/>
          <w:szCs w:val="44"/>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许昌市煤炭工业发展服务中心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w:t>
      </w:r>
      <w:r>
        <w:rPr>
          <w:rFonts w:hint="eastAsia" w:ascii="宋体" w:hAnsi="宋体" w:cs="宋体"/>
          <w:sz w:val="32"/>
          <w:szCs w:val="32"/>
          <w:highlight w:val="none"/>
          <w:lang w:val="en-US" w:eastAsia="zh-CN"/>
        </w:rPr>
        <w:t>出决算总</w:t>
      </w:r>
      <w:r>
        <w:rPr>
          <w:rFonts w:hint="eastAsia" w:ascii="宋体" w:hAnsi="宋体" w:cs="宋体"/>
          <w:sz w:val="32"/>
          <w:szCs w:val="32"/>
          <w:highlight w:val="none"/>
        </w:rPr>
        <w:t>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许昌市煤炭工业发展服务</w:t>
      </w:r>
    </w:p>
    <w:p>
      <w:pPr>
        <w:widowControl/>
        <w:numPr>
          <w:ilvl w:val="0"/>
          <w:numId w:val="0"/>
        </w:numPr>
        <w:ind w:firstLine="3840" w:firstLineChars="800"/>
        <w:jc w:val="both"/>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lang w:eastAsia="zh-CN"/>
        </w:rPr>
        <w:t>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lang w:val="en-US" w:eastAsia="zh-CN"/>
        </w:rPr>
        <w:t>协助机关做好全市煤炭行业运行发展、服务等方面的事务性工作；承担全市煤炭行业技术交流、科技研究及成果推广应用工作；保障全市洁净型煤供需平衡；承担煤矿安全监管技术性、事务性等支持与辅助性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许昌市煤炭工业发展服务中心内设机构1个，即办公室。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从决算单位构成看，许昌市煤炭工业发展服务中心部门决算包括：本级决算。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纳入本单位2021年度部门决算编制范围的单位共1个，具体是：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1.许昌市煤炭工业发展服务中心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sectPr>
          <w:pgSz w:w="11906" w:h="16838"/>
          <w:pgMar w:top="1440" w:right="1800" w:bottom="1440" w:left="1800" w:header="720" w:footer="720" w:gutter="0"/>
          <w:pgNumType w:fmt="numberInDash"/>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8"/>
        <w:gridCol w:w="839"/>
        <w:gridCol w:w="1123"/>
        <w:gridCol w:w="4504"/>
        <w:gridCol w:w="839"/>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89" w:type="pct"/>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9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89"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32"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89" w:type="pct"/>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color w:val="000000"/>
                <w:kern w:val="0"/>
                <w:sz w:val="18"/>
                <w:szCs w:val="18"/>
              </w:rPr>
              <w:t>单位</w:t>
            </w:r>
            <w:r>
              <w:rPr>
                <w:rFonts w:hint="eastAsia" w:ascii="宋体" w:hAnsi="宋体" w:eastAsia="宋体" w:cs="宋体"/>
                <w:i w:val="0"/>
                <w:iCs w:val="0"/>
                <w:color w:val="000000"/>
                <w:kern w:val="0"/>
                <w:sz w:val="20"/>
                <w:szCs w:val="20"/>
                <w:u w:val="none"/>
                <w:lang w:val="en-US" w:eastAsia="zh-CN"/>
              </w:rPr>
              <w:t>：许昌市煤炭工业发展服务中心</w:t>
            </w:r>
          </w:p>
        </w:tc>
        <w:tc>
          <w:tcPr>
            <w:tcW w:w="29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89"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32"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81"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2618" w:type="pct"/>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395"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1589"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732"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96" w:type="pct"/>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89"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96" w:type="pct"/>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2"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95"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189.79</w:t>
            </w: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73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73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73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73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395"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189.79</w:t>
            </w:r>
          </w:p>
        </w:tc>
        <w:tc>
          <w:tcPr>
            <w:tcW w:w="1589"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73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395"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36.00</w:t>
            </w:r>
          </w:p>
        </w:tc>
        <w:tc>
          <w:tcPr>
            <w:tcW w:w="158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73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395"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89"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732"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296" w:type="pct"/>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395"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225.79</w:t>
            </w:r>
          </w:p>
        </w:tc>
        <w:tc>
          <w:tcPr>
            <w:tcW w:w="1589"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29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73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13"/>
        <w:gridCol w:w="241"/>
        <w:gridCol w:w="241"/>
        <w:gridCol w:w="4300"/>
        <w:gridCol w:w="975"/>
        <w:gridCol w:w="975"/>
        <w:gridCol w:w="488"/>
        <w:gridCol w:w="488"/>
        <w:gridCol w:w="488"/>
        <w:gridCol w:w="488"/>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10" w:type="pct"/>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17"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4"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4"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21"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10" w:type="pct"/>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color w:val="000000"/>
                <w:kern w:val="0"/>
                <w:sz w:val="18"/>
                <w:szCs w:val="18"/>
              </w:rPr>
              <w:t>单位</w:t>
            </w:r>
            <w:r>
              <w:rPr>
                <w:rFonts w:hint="eastAsia" w:ascii="宋体" w:hAnsi="宋体" w:eastAsia="宋体" w:cs="宋体"/>
                <w:i w:val="0"/>
                <w:iCs w:val="0"/>
                <w:color w:val="000000"/>
                <w:kern w:val="0"/>
                <w:sz w:val="20"/>
                <w:szCs w:val="20"/>
                <w:u w:val="none"/>
                <w:lang w:val="en-US" w:eastAsia="zh-CN"/>
              </w:rPr>
              <w:t>：许昌市煤炭工业发展服务中心</w:t>
            </w:r>
          </w:p>
        </w:tc>
        <w:tc>
          <w:tcPr>
            <w:tcW w:w="8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17"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4"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4"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21"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97"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344"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344"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72"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72"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72"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72"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621"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517"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344"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21"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7"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21"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7"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21"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97" w:type="pct"/>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344"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44"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72"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72"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72"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72"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621"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97" w:type="pct"/>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189.79</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189.79</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27.05</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27.05</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27.05</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27.05</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5.01</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5.01</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10.47</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10.47</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灾害防治及应急管理支出</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158.14</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158.14</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应急管理事务</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158.14</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158.14</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2240101</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68.33</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68.33</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2240150</w:t>
            </w:r>
          </w:p>
        </w:tc>
        <w:tc>
          <w:tcPr>
            <w:tcW w:w="151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89.82</w:t>
            </w:r>
          </w:p>
        </w:tc>
        <w:tc>
          <w:tcPr>
            <w:tcW w:w="344"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89.82</w:t>
            </w: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39"/>
        <w:gridCol w:w="238"/>
        <w:gridCol w:w="241"/>
        <w:gridCol w:w="4334"/>
        <w:gridCol w:w="1070"/>
        <w:gridCol w:w="1217"/>
        <w:gridCol w:w="436"/>
        <w:gridCol w:w="559"/>
        <w:gridCol w:w="559"/>
        <w:gridCol w:w="1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320" w:type="pct"/>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29"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78"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0"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8"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8"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26"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0" w:type="pct"/>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color w:val="000000"/>
                <w:kern w:val="0"/>
                <w:sz w:val="18"/>
                <w:szCs w:val="18"/>
              </w:rPr>
              <w:t>单位</w:t>
            </w:r>
            <w:r>
              <w:rPr>
                <w:rFonts w:hint="eastAsia" w:ascii="宋体" w:hAnsi="宋体" w:eastAsia="宋体" w:cs="宋体"/>
                <w:i w:val="0"/>
                <w:iCs w:val="0"/>
                <w:color w:val="000000"/>
                <w:kern w:val="0"/>
                <w:sz w:val="20"/>
                <w:szCs w:val="20"/>
                <w:u w:val="none"/>
                <w:lang w:val="en-US" w:eastAsia="zh-CN"/>
              </w:rPr>
              <w:t>：许昌市煤炭工业发展服务中心</w:t>
            </w:r>
          </w:p>
        </w:tc>
        <w:tc>
          <w:tcPr>
            <w:tcW w:w="8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29"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78"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0"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8"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8"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26"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21"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378"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430"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4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98"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98"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62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529"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37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0"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6"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9"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0"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6"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9"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0"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6"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8"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21" w:type="pct"/>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378"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30"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98"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98"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2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21" w:type="pct"/>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225.79</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225.79</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8.45</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8.45</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13.69</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13.69</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灾害防治及应急管理支出</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应急管理事务</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2240101</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68.33</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68.33</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91"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2240150</w:t>
            </w:r>
          </w:p>
        </w:tc>
        <w:tc>
          <w:tcPr>
            <w:tcW w:w="152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378"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117.09</w:t>
            </w:r>
          </w:p>
        </w:tc>
        <w:tc>
          <w:tcPr>
            <w:tcW w:w="430"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117.09</w:t>
            </w:r>
          </w:p>
        </w:tc>
        <w:tc>
          <w:tcPr>
            <w:tcW w:w="1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4"/>
        <w:tblpPr w:leftFromText="180" w:rightFromText="180" w:vertAnchor="text" w:horzAnchor="page" w:tblpX="1581" w:tblpY="56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06"/>
        <w:gridCol w:w="584"/>
        <w:gridCol w:w="972"/>
        <w:gridCol w:w="3609"/>
        <w:gridCol w:w="584"/>
        <w:gridCol w:w="899"/>
        <w:gridCol w:w="1369"/>
        <w:gridCol w:w="981"/>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kern w:val="0"/>
                <w:sz w:val="30"/>
                <w:szCs w:val="30"/>
                <w:u w:val="none"/>
                <w:lang w:val="en-US" w:eastAsia="zh-CN"/>
              </w:rPr>
            </w:pPr>
          </w:p>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7" w:type="pct"/>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0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3"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17"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83"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6"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7" w:type="pct"/>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color w:val="000000"/>
                <w:kern w:val="0"/>
                <w:sz w:val="18"/>
                <w:szCs w:val="18"/>
              </w:rPr>
              <w:t>单位</w:t>
            </w:r>
            <w:r>
              <w:rPr>
                <w:rFonts w:hint="eastAsia" w:ascii="宋体" w:hAnsi="宋体" w:eastAsia="宋体" w:cs="宋体"/>
                <w:i w:val="0"/>
                <w:iCs w:val="0"/>
                <w:color w:val="000000"/>
                <w:kern w:val="0"/>
                <w:sz w:val="20"/>
                <w:szCs w:val="20"/>
                <w:u w:val="none"/>
                <w:lang w:val="en-US" w:eastAsia="zh-CN"/>
              </w:rPr>
              <w:t>：许昌市煤炭工业发展服务中心</w:t>
            </w:r>
          </w:p>
        </w:tc>
        <w:tc>
          <w:tcPr>
            <w:tcW w:w="20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3"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17"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83"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6"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8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3213" w:type="pct"/>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237"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206"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342"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1273"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206"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317"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483"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346"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586"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37"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6"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3"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6"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3"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6"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06" w:type="pct"/>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73"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06" w:type="pct"/>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483"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34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58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189.79</w:t>
            </w: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31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48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31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48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31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48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31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48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189.79</w:t>
            </w:r>
          </w:p>
        </w:tc>
        <w:tc>
          <w:tcPr>
            <w:tcW w:w="1273"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31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225.79</w:t>
            </w:r>
          </w:p>
        </w:tc>
        <w:tc>
          <w:tcPr>
            <w:tcW w:w="48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225.79</w:t>
            </w: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36.00</w:t>
            </w:r>
          </w:p>
        </w:tc>
        <w:tc>
          <w:tcPr>
            <w:tcW w:w="127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36.00</w:t>
            </w:r>
          </w:p>
        </w:tc>
        <w:tc>
          <w:tcPr>
            <w:tcW w:w="1273"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3"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317"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7" w:type="pc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206" w:type="pct"/>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225.79</w:t>
            </w:r>
          </w:p>
        </w:tc>
        <w:tc>
          <w:tcPr>
            <w:tcW w:w="1273"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206"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31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225.79</w:t>
            </w:r>
          </w:p>
        </w:tc>
        <w:tc>
          <w:tcPr>
            <w:tcW w:w="48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225.79</w:t>
            </w:r>
          </w:p>
        </w:tc>
        <w:tc>
          <w:tcPr>
            <w:tcW w:w="34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46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03"/>
        <w:gridCol w:w="261"/>
        <w:gridCol w:w="241"/>
        <w:gridCol w:w="4983"/>
        <w:gridCol w:w="1185"/>
        <w:gridCol w:w="1257"/>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000" w:type="pct"/>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78" w:type="pct"/>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94"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9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3"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64"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78" w:type="pct"/>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color w:val="000000"/>
                <w:kern w:val="0"/>
                <w:sz w:val="18"/>
                <w:szCs w:val="18"/>
              </w:rPr>
              <w:t>单位</w:t>
            </w:r>
            <w:r>
              <w:rPr>
                <w:rFonts w:hint="eastAsia" w:ascii="宋体" w:hAnsi="宋体" w:eastAsia="宋体" w:cs="宋体"/>
                <w:i w:val="0"/>
                <w:iCs w:val="0"/>
                <w:color w:val="000000"/>
                <w:kern w:val="0"/>
                <w:sz w:val="20"/>
                <w:szCs w:val="20"/>
                <w:u w:val="none"/>
                <w:lang w:val="en-US" w:eastAsia="zh-CN"/>
              </w:rPr>
              <w:t>：许昌市煤炭工业发展服务中心</w:t>
            </w:r>
          </w:p>
        </w:tc>
        <w:tc>
          <w:tcPr>
            <w:tcW w:w="94"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95"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3"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64"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54"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45" w:type="pct"/>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795"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427"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453"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664"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95"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4"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95"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3"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4"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54" w:type="pct"/>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427"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3"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64" w:type="pc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54" w:type="pct"/>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225.79</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225.79</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33.71</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8.45</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8.45</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13.69</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13.69</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灾害防治及应急管理支出</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应急管理事务</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185.41</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2240101</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68.33</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68.33</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9" w:type="pct"/>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2240150</w:t>
            </w:r>
          </w:p>
        </w:tc>
        <w:tc>
          <w:tcPr>
            <w:tcW w:w="1795"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427"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117.09</w:t>
            </w:r>
          </w:p>
        </w:tc>
        <w:tc>
          <w:tcPr>
            <w:tcW w:w="45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117.09</w:t>
            </w:r>
          </w:p>
        </w:tc>
        <w:tc>
          <w:tcPr>
            <w:tcW w:w="664"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sectPr>
          <w:pgSz w:w="16838" w:h="11906" w:orient="landscape"/>
          <w:pgMar w:top="1803" w:right="0" w:bottom="1803" w:left="1984" w:header="720" w:footer="720" w:gutter="0"/>
          <w:pgNumType w:fmt="numberInDash"/>
          <w:cols w:space="720" w:num="1"/>
          <w:docGrid w:type="lines" w:linePitch="312" w:charSpace="0"/>
        </w:sectPr>
      </w:pPr>
    </w:p>
    <w:tbl>
      <w:tblPr>
        <w:tblStyle w:val="4"/>
        <w:tblW w:w="49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7"/>
        <w:gridCol w:w="2553"/>
        <w:gridCol w:w="959"/>
        <w:gridCol w:w="787"/>
        <w:gridCol w:w="2936"/>
        <w:gridCol w:w="964"/>
        <w:gridCol w:w="825"/>
        <w:gridCol w:w="2109"/>
        <w:gridCol w:w="1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7" w:type="pct"/>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907"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1"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79"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44"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3"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49"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33"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15" w:type="pct"/>
            <w:gridSpan w:val="2"/>
            <w:tcBorders>
              <w:top w:val="nil"/>
              <w:left w:val="nil"/>
              <w:bottom w:val="nil"/>
              <w:right w:val="nil"/>
            </w:tcBorders>
            <w:vAlign w:val="bottom"/>
          </w:tcPr>
          <w:p>
            <w:pPr>
              <w:rPr>
                <w:rFonts w:hint="default" w:ascii="Arial" w:hAnsi="Arial" w:cs="Arial"/>
                <w:i w:val="0"/>
                <w:iCs w:val="0"/>
                <w:color w:val="000000"/>
                <w:sz w:val="20"/>
                <w:szCs w:val="20"/>
                <w:u w:val="none"/>
              </w:rPr>
            </w:pPr>
            <w:r>
              <w:rPr>
                <w:rFonts w:hint="eastAsia" w:ascii="宋体" w:hAnsi="宋体" w:cs="宋体"/>
                <w:color w:val="000000"/>
                <w:kern w:val="0"/>
                <w:sz w:val="18"/>
                <w:szCs w:val="18"/>
              </w:rPr>
              <w:t>单位</w:t>
            </w:r>
            <w:r>
              <w:rPr>
                <w:rFonts w:hint="eastAsia" w:ascii="宋体" w:hAnsi="宋体" w:eastAsia="宋体" w:cs="宋体"/>
                <w:i w:val="0"/>
                <w:iCs w:val="0"/>
                <w:color w:val="000000"/>
                <w:kern w:val="0"/>
                <w:sz w:val="20"/>
                <w:szCs w:val="20"/>
                <w:u w:val="none"/>
                <w:lang w:val="en-US" w:eastAsia="zh-CN"/>
              </w:rPr>
              <w:t>：许昌市煤炭工业发展服务中心</w:t>
            </w:r>
          </w:p>
        </w:tc>
        <w:tc>
          <w:tcPr>
            <w:tcW w:w="341"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79"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44"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3"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49" w:type="pct"/>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33" w:type="pct"/>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3343" w:type="pct"/>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907"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341"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279"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1044"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342"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293"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749"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633" w:type="pct"/>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7"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1"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44"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3"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49"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33" w:type="pct"/>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190.95</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12.16</w:t>
            </w: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68.33</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w:t>
            </w: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25.51</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0.16</w:t>
            </w: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44.63</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0.70</w:t>
            </w: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15.84</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13.69</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0.14</w:t>
            </w: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0.20</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6.97</w:t>
            </w: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10.29</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6.76</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22.68</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5.02</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17.41</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w:t>
            </w: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74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341"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342"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49"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907"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0.25</w:t>
            </w:r>
          </w:p>
        </w:tc>
        <w:tc>
          <w:tcPr>
            <w:tcW w:w="279"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1044" w:type="pct"/>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342"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1.10</w:t>
            </w:r>
          </w:p>
        </w:tc>
        <w:tc>
          <w:tcPr>
            <w:tcW w:w="293"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49" w:type="pct"/>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33" w:type="pct"/>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5" w:type="pct"/>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341"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213.63</w:t>
            </w:r>
          </w:p>
        </w:tc>
        <w:tc>
          <w:tcPr>
            <w:tcW w:w="2709" w:type="pct"/>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633" w:type="pct"/>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5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1125"/>
        <w:gridCol w:w="778"/>
        <w:gridCol w:w="778"/>
        <w:gridCol w:w="778"/>
        <w:gridCol w:w="778"/>
        <w:gridCol w:w="778"/>
        <w:gridCol w:w="1125"/>
        <w:gridCol w:w="778"/>
        <w:gridCol w:w="778"/>
        <w:gridCol w:w="77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6"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1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color w:val="000000"/>
                <w:kern w:val="0"/>
                <w:sz w:val="18"/>
                <w:szCs w:val="18"/>
              </w:rPr>
              <w:t>单位</w:t>
            </w:r>
            <w:r>
              <w:rPr>
                <w:rFonts w:hint="eastAsia" w:ascii="宋体" w:hAnsi="宋体" w:eastAsia="宋体" w:cs="宋体"/>
                <w:i w:val="0"/>
                <w:iCs w:val="0"/>
                <w:color w:val="000000"/>
                <w:kern w:val="0"/>
                <w:sz w:val="20"/>
                <w:szCs w:val="20"/>
                <w:u w:val="none"/>
                <w:lang w:val="en-US" w:eastAsia="zh-CN"/>
              </w:rPr>
              <w:t>：许昌市煤炭工业发展服务中心</w:t>
            </w:r>
          </w:p>
        </w:tc>
        <w:tc>
          <w:tcPr>
            <w:tcW w:w="11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585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233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7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7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233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7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06"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charSpace="0"/>
        </w:sectPr>
      </w:pPr>
    </w:p>
    <w:tbl>
      <w:tblPr>
        <w:tblStyle w:val="4"/>
        <w:tblW w:w="13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1096"/>
        <w:gridCol w:w="1325"/>
        <w:gridCol w:w="1325"/>
        <w:gridCol w:w="1325"/>
        <w:gridCol w:w="1325"/>
        <w:gridCol w:w="132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97"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color w:val="000000"/>
                <w:kern w:val="0"/>
                <w:sz w:val="18"/>
                <w:szCs w:val="18"/>
              </w:rPr>
              <w:t>单位</w:t>
            </w:r>
            <w:r>
              <w:rPr>
                <w:rFonts w:hint="eastAsia" w:ascii="宋体" w:hAnsi="宋体" w:eastAsia="宋体" w:cs="宋体"/>
                <w:i w:val="0"/>
                <w:iCs w:val="0"/>
                <w:color w:val="000000"/>
                <w:kern w:val="0"/>
                <w:sz w:val="20"/>
                <w:szCs w:val="20"/>
                <w:u w:val="none"/>
                <w:lang w:val="en-US" w:eastAsia="zh-CN"/>
              </w:rPr>
              <w:t>：许昌市煤炭工业发展服务中心</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3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397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3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3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7"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说明：我</w:t>
      </w:r>
      <w:r>
        <w:rPr>
          <w:rFonts w:hint="eastAsia" w:ascii="宋体" w:hAnsi="宋体" w:cs="宋体"/>
          <w:color w:val="000000"/>
          <w:sz w:val="22"/>
          <w:szCs w:val="22"/>
          <w:highlight w:val="none"/>
          <w:lang w:eastAsia="zh-CN"/>
        </w:rPr>
        <w:t>单位</w:t>
      </w:r>
      <w:r>
        <w:rPr>
          <w:rFonts w:hint="eastAsia" w:ascii="宋体" w:hAnsi="宋体" w:cs="宋体"/>
          <w:color w:val="000000"/>
          <w:sz w:val="22"/>
          <w:szCs w:val="22"/>
          <w:highlight w:val="none"/>
          <w:lang w:val="en-US" w:eastAsia="zh-CN"/>
        </w:rPr>
        <w:t>没有政府性基金收入，也没有使用政府性基金安排的支出，故本表无数据</w:t>
      </w:r>
      <w:r>
        <w:rPr>
          <w:rFonts w:hint="eastAsia" w:ascii="宋体" w:hAnsi="宋体" w:cs="宋体"/>
          <w:color w:val="000000"/>
          <w:sz w:val="22"/>
          <w:szCs w:val="22"/>
          <w:highlight w:val="none"/>
        </w:rPr>
        <w:t>。</w:t>
      </w:r>
    </w:p>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225.79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13.41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5.61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在职人员调出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189.79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189.79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225.79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225.79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225.79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13.41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5.61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在职人员调出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225.79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12.06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补发各类人员津补贴</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225.79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0.96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33.71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14.93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5.70万元，占2.52%；灾害防治及应急管理（类）支出185.41万元，占82.12%</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207.57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225.79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108.78</w:t>
      </w:r>
      <w:r>
        <w:rPr>
          <w:rFonts w:hint="eastAsia" w:ascii="仿宋_GB2312" w:hAnsi="仿宋_GB2312" w:eastAsia="仿宋_GB2312" w:cs="仿宋_GB2312"/>
          <w:sz w:val="32"/>
          <w:szCs w:val="32"/>
          <w:highlight w:val="none"/>
        </w:rPr>
        <w:t>%。其中：</w:t>
      </w:r>
    </w:p>
    <w:p>
      <w:pPr>
        <w:widowControl/>
        <w:numPr>
          <w:ilvl w:val="0"/>
          <w:numId w:val="3"/>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w:t>
      </w:r>
      <w:r>
        <w:rPr>
          <w:rFonts w:hint="eastAsia" w:ascii="仿宋_GB2312" w:hAnsi="仿宋_GB2312" w:eastAsia="仿宋_GB2312" w:cs="仿宋_GB2312"/>
          <w:b/>
          <w:bCs/>
          <w:sz w:val="32"/>
          <w:szCs w:val="32"/>
          <w:highlight w:val="none"/>
          <w:lang w:val="en-US" w:eastAsia="zh-CN"/>
        </w:rPr>
        <w:t>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0.96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96.42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存在差异的主要原因是</w:t>
      </w:r>
      <w:r>
        <w:rPr>
          <w:rFonts w:hint="eastAsia" w:ascii="仿宋_GB2312" w:hAnsi="仿宋_GB2312" w:eastAsia="仿宋_GB2312" w:cs="仿宋_GB2312"/>
          <w:color w:val="auto"/>
          <w:sz w:val="32"/>
          <w:szCs w:val="32"/>
          <w:highlight w:val="none"/>
          <w:lang w:val="en-US" w:eastAsia="zh-CN"/>
        </w:rPr>
        <w:t>在职人员年末调出</w:t>
      </w:r>
      <w:r>
        <w:rPr>
          <w:rFonts w:hint="eastAsia" w:ascii="仿宋_GB2312" w:hAnsi="仿宋_GB2312" w:eastAsia="仿宋_GB2312" w:cs="仿宋_GB2312"/>
          <w:color w:val="0000FF"/>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8.45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335.32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退休人员落实正式待遇，补发各类津补贴</w:t>
      </w:r>
      <w:r>
        <w:rPr>
          <w:rFonts w:hint="eastAsia" w:ascii="仿宋_GB2312" w:hAnsi="仿宋_GB2312" w:eastAsia="仿宋_GB2312" w:cs="仿宋_GB2312"/>
          <w:color w:val="FF0000"/>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13.69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137.59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在职人员补缴以前年度养老保险</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lang w:eastAsia="zh-CN"/>
        </w:rPr>
        <w:t>灾害防治及应急管理支出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应急管理事务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w:t>
      </w:r>
      <w:r>
        <w:rPr>
          <w:rFonts w:hint="eastAsia" w:ascii="仿宋_GB2312" w:hAnsi="仿宋_GB2312" w:eastAsia="仿宋_GB2312" w:cs="仿宋_GB2312"/>
          <w:b/>
          <w:bCs/>
          <w:sz w:val="32"/>
          <w:szCs w:val="32"/>
          <w:highlight w:val="none"/>
          <w:lang w:eastAsia="zh-CN"/>
        </w:rPr>
        <w:t>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68.33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68.33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lang w:eastAsia="zh-CN"/>
        </w:rPr>
        <w:t>灾害防治及应急管理支出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应急管理事务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107.68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117.09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108.74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存在差异的主要原因是</w:t>
      </w:r>
      <w:r>
        <w:rPr>
          <w:rFonts w:hint="eastAsia" w:ascii="仿宋_GB2312" w:hAnsi="仿宋_GB2312" w:eastAsia="仿宋_GB2312" w:cs="仿宋_GB2312"/>
          <w:sz w:val="32"/>
          <w:szCs w:val="32"/>
          <w:highlight w:val="none"/>
          <w:lang w:val="en-US" w:eastAsia="zh-CN"/>
        </w:rPr>
        <w:t>在职及退休人员补发各项津贴。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225.79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213.63</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其他社会保障缴费、住房公积金、</w:t>
      </w:r>
      <w:r>
        <w:rPr>
          <w:rFonts w:hint="eastAsia" w:ascii="仿宋_GB2312" w:hAnsi="仿宋_GB2312" w:eastAsia="仿宋_GB2312" w:cs="仿宋_GB2312"/>
          <w:sz w:val="32"/>
          <w:szCs w:val="32"/>
          <w:highlight w:val="none"/>
        </w:rPr>
        <w:t>其他工资福利支出、离休费、退休费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对个人和家庭的补助支出；公用经费</w:t>
      </w:r>
      <w:r>
        <w:rPr>
          <w:rFonts w:hint="eastAsia" w:ascii="仿宋_GB2312" w:hAnsi="仿宋_GB2312" w:eastAsia="仿宋_GB2312" w:cs="仿宋_GB2312"/>
          <w:sz w:val="32"/>
          <w:szCs w:val="32"/>
          <w:highlight w:val="none"/>
          <w:lang w:val="en-US" w:eastAsia="zh-CN"/>
        </w:rPr>
        <w:t>12.16</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办公费、印刷费、咨询费、邮电费、差旅费、</w:t>
      </w:r>
      <w:r>
        <w:rPr>
          <w:rFonts w:hint="eastAsia" w:ascii="仿宋_GB2312" w:hAnsi="仿宋_GB2312" w:eastAsia="仿宋_GB2312" w:cs="仿宋_GB2312"/>
          <w:sz w:val="32"/>
          <w:szCs w:val="32"/>
          <w:highlight w:val="none"/>
          <w:lang w:val="en-US" w:eastAsia="zh-CN"/>
        </w:rPr>
        <w:t>工会经费、</w:t>
      </w:r>
      <w:r>
        <w:rPr>
          <w:rFonts w:hint="eastAsia" w:ascii="仿宋_GB2312" w:hAnsi="仿宋_GB2312" w:eastAsia="仿宋_GB2312" w:cs="仿宋_GB2312"/>
          <w:sz w:val="32"/>
          <w:szCs w:val="32"/>
          <w:highlight w:val="none"/>
        </w:rPr>
        <w:t>福利费、其他商品和服务支出。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4"/>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情况说明：我</w:t>
      </w:r>
      <w:r>
        <w:rPr>
          <w:rFonts w:hint="eastAsia" w:ascii="仿宋_GB2312" w:hAnsi="仿宋_GB2312" w:eastAsia="仿宋_GB2312" w:cs="仿宋_GB2312"/>
          <w:sz w:val="32"/>
          <w:szCs w:val="32"/>
          <w:highlight w:val="none"/>
          <w:lang w:val="en-US" w:eastAsia="zh-CN"/>
        </w:rPr>
        <w:t>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我单位按照《中共许昌市委 许昌市人民政府关于全面实施预算绩效管理的实施意见》（许发〔2021〕13号）文件要求，对本单位整体支出和</w:t>
      </w:r>
      <w:r>
        <w:rPr>
          <w:rFonts w:hint="eastAsia" w:ascii="仿宋_GB2312" w:hAnsi="仿宋_GB2312" w:eastAsia="仿宋_GB2312" w:cs="仿宋_GB2312"/>
          <w:color w:val="auto"/>
          <w:sz w:val="32"/>
          <w:szCs w:val="32"/>
          <w:highlight w:val="none"/>
          <w:lang w:val="en-US" w:eastAsia="zh-CN"/>
        </w:rPr>
        <w:t xml:space="preserve">项目支出开展全过程预算绩效管理。2021年度，我单位以绩效目标实现为导向，进一步加强组织建设，提升自评质量，为提高预算绩效管理水平成效奠定了组织基础。我单位成立了绩效自评工作小组，主要工作任务：加强绩效目标管理，全面设置绩效目标；实施绩效监控管理，跟踪强化过程监控并强化评价结果应用，对发现的问题及时改进，加强评价结果与项目资金安排对接。按照《许昌市市级部门预算绩效管理办法》要求，建立健全了包括目标管理、运行监控、绩效自评、信息公开操作细则，为预算绩效管理工作的开展提供了工作指南，确保每一个程序、每一个环节、每一个要素的科学化、规范化、合理化、高效化。为提高我单位相关工作人员的绩效管理的理念意识，我单位积极参加市财政局组织的预算编制培训会，并向上级部门请教交流工作中遇到的难题。此外，我单位还积极与此项工作开展得较好的部门学习交流，借鉴其经验和做法，对预算绩效管理工作开展以来遇到的瓶颈和短板进行梳理。使得我单位绩效评价工作认识及能力逐步提升，为进一步开展绩效评价工作奠定坚实基础。  </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w:t>
      </w:r>
      <w:bookmarkStart w:id="0" w:name="_GoBack"/>
      <w:bookmarkEnd w:id="0"/>
      <w:r>
        <w:rPr>
          <w:rFonts w:hint="eastAsia" w:ascii="仿宋_GB2312" w:hAnsi="仿宋_GB2312" w:eastAsia="仿宋_GB2312" w:cs="仿宋_GB2312"/>
          <w:color w:val="auto"/>
          <w:sz w:val="32"/>
          <w:szCs w:val="32"/>
          <w:highlight w:val="none"/>
          <w:lang w:val="en-US" w:eastAsia="zh-CN"/>
        </w:rPr>
        <w:t>〔2022〕1号）等文件精神，</w:t>
      </w:r>
      <w:r>
        <w:rPr>
          <w:rFonts w:hint="eastAsia" w:ascii="仿宋_GB2312" w:hAnsi="仿宋_GB2312" w:eastAsia="仿宋_GB2312" w:cs="仿宋_GB2312"/>
          <w:sz w:val="32"/>
          <w:szCs w:val="32"/>
        </w:rPr>
        <w:t>我单位对本单位整体绩效目标和项目支出绩效目标进行了自评。</w:t>
      </w:r>
      <w:r>
        <w:rPr>
          <w:rFonts w:hint="eastAsia" w:ascii="仿宋_GB2312" w:hAnsi="仿宋_GB2312" w:eastAsia="仿宋_GB2312" w:cs="仿宋_GB2312"/>
          <w:color w:val="auto"/>
          <w:sz w:val="32"/>
          <w:szCs w:val="32"/>
          <w:highlight w:val="none"/>
          <w:lang w:val="en-US" w:eastAsia="zh-CN"/>
        </w:rPr>
        <w:t>2021年我单位纳入预算绩效管理的支出总额为225.79万元，其中：基本支出225.79万元；支出项目0个，支出金额0.00万元。开展项目绩效自评项目0个，自评金额0.00万元；纳入重点绩效评价0个，评价金额0.00万元。</w:t>
      </w:r>
    </w:p>
    <w:p>
      <w:pPr>
        <w:widowControl/>
        <w:wordWrap/>
        <w:adjustRightInd/>
        <w:snapToGrid/>
        <w:spacing w:line="360" w:lineRule="auto"/>
        <w:ind w:right="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基于项目预期目标的实现程度，对2021年度项目支出绩效进行自评，绩效自评平均得分为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分。其中：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个项目评价等级为“优”、0个项目评价等级为“良”、0个项目评价等级为“中”、0个项目评价等级为“差”。</w:t>
      </w:r>
      <w:r>
        <w:rPr>
          <w:rFonts w:hint="eastAsia" w:ascii="仿宋_GB2312" w:hAnsi="仿宋_GB2312" w:eastAsia="仿宋_GB2312" w:cs="仿宋_GB2312"/>
          <w:color w:val="auto"/>
          <w:sz w:val="32"/>
          <w:szCs w:val="32"/>
          <w:highlight w:val="none"/>
          <w:lang w:val="en-US" w:eastAsia="zh-CN"/>
        </w:rPr>
        <w:t>一是单位整体绩效自评情况为优。二是项目绩效自评情况。我单位共有0个项目批复了绩效目标。</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jc w:val="left"/>
        <w:rPr>
          <w:rFonts w:hint="eastAsia" w:ascii="黑体" w:hAnsi="宋体" w:eastAsia="黑体" w:cs="宋体"/>
          <w:kern w:val="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r>
        <w:rPr>
          <w:rFonts w:hint="eastAsia" w:ascii="黑体" w:hAnsi="宋体" w:eastAsia="黑体" w:cs="宋体"/>
          <w:kern w:val="0"/>
          <w:sz w:val="28"/>
          <w:szCs w:val="28"/>
          <w:highlight w:val="none"/>
          <w:lang w:val="en-US" w:eastAsia="zh-CN"/>
        </w:rPr>
        <w:t>。</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10983799"/>
    <w:multiLevelType w:val="singleLevel"/>
    <w:tmpl w:val="10983799"/>
    <w:lvl w:ilvl="0" w:tentative="0">
      <w:start w:val="1"/>
      <w:numFmt w:val="chineseCounting"/>
      <w:suff w:val="space"/>
      <w:lvlText w:val="第%1部分"/>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MDBmM2U3OTRlNTI5YmU2N2U4MDYzOWFlYjcwMGEifQ=="/>
  </w:docVars>
  <w:rsids>
    <w:rsidRoot w:val="00000000"/>
    <w:rsid w:val="02763BA1"/>
    <w:rsid w:val="02A14B54"/>
    <w:rsid w:val="038D51E3"/>
    <w:rsid w:val="056D79C4"/>
    <w:rsid w:val="06110369"/>
    <w:rsid w:val="0C2448DD"/>
    <w:rsid w:val="0F2729AB"/>
    <w:rsid w:val="12FC58B1"/>
    <w:rsid w:val="1457788F"/>
    <w:rsid w:val="17327FF0"/>
    <w:rsid w:val="177D6695"/>
    <w:rsid w:val="1BAF421C"/>
    <w:rsid w:val="1CC02AF3"/>
    <w:rsid w:val="206F6530"/>
    <w:rsid w:val="22546FBA"/>
    <w:rsid w:val="2D4364D4"/>
    <w:rsid w:val="31125185"/>
    <w:rsid w:val="35EE5683"/>
    <w:rsid w:val="361433DA"/>
    <w:rsid w:val="37105707"/>
    <w:rsid w:val="378D51F2"/>
    <w:rsid w:val="37A97611"/>
    <w:rsid w:val="39B747A8"/>
    <w:rsid w:val="445102DF"/>
    <w:rsid w:val="45C613E6"/>
    <w:rsid w:val="460A470C"/>
    <w:rsid w:val="4704097C"/>
    <w:rsid w:val="491D3D79"/>
    <w:rsid w:val="4C1E4213"/>
    <w:rsid w:val="4D1E25F9"/>
    <w:rsid w:val="4D4828C8"/>
    <w:rsid w:val="514472BF"/>
    <w:rsid w:val="52204B13"/>
    <w:rsid w:val="53725D23"/>
    <w:rsid w:val="56757125"/>
    <w:rsid w:val="57255E92"/>
    <w:rsid w:val="589457F1"/>
    <w:rsid w:val="58BC67CE"/>
    <w:rsid w:val="591E7DE3"/>
    <w:rsid w:val="59D979CB"/>
    <w:rsid w:val="5FFF8197"/>
    <w:rsid w:val="60D1764E"/>
    <w:rsid w:val="67A45ABC"/>
    <w:rsid w:val="68790CF7"/>
    <w:rsid w:val="720555E9"/>
    <w:rsid w:val="72B017B9"/>
    <w:rsid w:val="775546DD"/>
    <w:rsid w:val="7A971C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kern w:val="2"/>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kern w:val="2"/>
      <w:sz w:val="18"/>
      <w:szCs w:val="18"/>
    </w:rPr>
  </w:style>
  <w:style w:type="character" w:styleId="6">
    <w:name w:val="FollowedHyperlink"/>
    <w:qFormat/>
    <w:uiPriority w:val="0"/>
    <w:rPr>
      <w:color w:val="800080"/>
      <w:u w:val="single"/>
    </w:rPr>
  </w:style>
  <w:style w:type="character" w:styleId="7">
    <w:name w:val="Hyperlink"/>
    <w:qFormat/>
    <w:uiPriority w:val="0"/>
    <w:rPr>
      <w:color w:val="0000FF"/>
      <w:u w:val="single"/>
    </w:rPr>
  </w:style>
  <w:style w:type="paragraph" w:customStyle="1" w:styleId="8">
    <w:name w:val="批注框文本 Char Char"/>
    <w:basedOn w:val="1"/>
    <w:qFormat/>
    <w:uiPriority w:val="0"/>
    <w:rPr>
      <w:kern w:val="2"/>
      <w:sz w:val="18"/>
      <w:szCs w:val="18"/>
    </w:rPr>
  </w:style>
  <w:style w:type="character" w:customStyle="1" w:styleId="9">
    <w:name w:val="页脚 Char Char"/>
    <w:link w:val="2"/>
    <w:semiHidden/>
    <w:qFormat/>
    <w:uiPriority w:val="0"/>
    <w:rPr>
      <w:kern w:val="2"/>
      <w:sz w:val="18"/>
      <w:szCs w:val="18"/>
    </w:rPr>
  </w:style>
  <w:style w:type="character" w:customStyle="1" w:styleId="10">
    <w:name w:val="页眉 Char Char"/>
    <w:link w:val="3"/>
    <w:semiHidden/>
    <w:qFormat/>
    <w:uiPriority w:val="0"/>
    <w:rPr>
      <w:kern w:val="2"/>
      <w:sz w:val="18"/>
      <w:szCs w:val="18"/>
    </w:rPr>
  </w:style>
  <w:style w:type="character" w:customStyle="1" w:styleId="11">
    <w:name w:val="font01"/>
    <w:qFormat/>
    <w:uiPriority w:val="0"/>
    <w:rPr>
      <w:rFonts w:hint="eastAsia" w:ascii="宋体" w:hAnsi="宋体" w:eastAsia="宋体" w:cs="宋体"/>
      <w:color w:val="000000"/>
      <w:sz w:val="22"/>
      <w:szCs w:val="22"/>
      <w:u w:val="none"/>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7986</Words>
  <Characters>9664</Characters>
  <Lines>60</Lines>
  <Paragraphs>16</Paragraphs>
  <TotalTime>3</TotalTime>
  <ScaleCrop>false</ScaleCrop>
  <LinksUpToDate>false</LinksUpToDate>
  <CharactersWithSpaces>9890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李阳</cp:lastModifiedBy>
  <cp:lastPrinted>2023-02-22T15:19:00Z</cp:lastPrinted>
  <dcterms:modified xsi:type="dcterms:W3CDTF">2023-05-22T15:59:52Z</dcterms:modified>
  <dc:title>悟の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1F5AAF266BB8489AA504F1D0D010E2F9</vt:lpwstr>
  </property>
</Properties>
</file>