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许昌市港航海事中心单位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许昌市港航海事中心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许昌市港航海事中心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kern w:val="0"/>
          <w:sz w:val="32"/>
          <w:szCs w:val="32"/>
          <w:highlight w:val="none"/>
        </w:rPr>
        <w:t>职责</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（一）负责本辖区水上安全监督管理，调查处理水上交通事故；</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（二）承担全市渡口设置、撤除的审核，对全市渡船、客船、游船、货运船只的检验发证及船员的培训工作；负责水上安全执法监督工作；</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（三）负责水上安全执法监督工作。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许昌市港航海事中心内设机构2个，包括：综合科、安全监督科。</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从决算单位构成看，许昌市港航海事中心单位决算包括：本级决算（1个）。</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纳入本单位2021年度单位决算编制范围的单位共1个。具体是：</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许昌市港航海事中心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63"/>
        <w:gridCol w:w="723"/>
        <w:gridCol w:w="893"/>
        <w:gridCol w:w="5125"/>
        <w:gridCol w:w="723"/>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8" w:hRule="atLeast"/>
        </w:trPr>
        <w:tc>
          <w:tcPr>
            <w:tcW w:w="13820" w:type="dxa"/>
            <w:gridSpan w:val="6"/>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546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000000"/>
                <w:sz w:val="18"/>
                <w:szCs w:val="18"/>
                <w:u w:val="none"/>
              </w:rPr>
            </w:pPr>
          </w:p>
        </w:tc>
        <w:tc>
          <w:tcPr>
            <w:tcW w:w="72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000000"/>
                <w:sz w:val="18"/>
                <w:szCs w:val="18"/>
                <w:u w:val="none"/>
              </w:rPr>
            </w:pPr>
          </w:p>
        </w:tc>
        <w:tc>
          <w:tcPr>
            <w:tcW w:w="89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000000"/>
                <w:sz w:val="18"/>
                <w:szCs w:val="18"/>
                <w:u w:val="none"/>
              </w:rPr>
            </w:pPr>
          </w:p>
        </w:tc>
        <w:tc>
          <w:tcPr>
            <w:tcW w:w="512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61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7079"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单位：许昌市港航海事中心</w:t>
            </w:r>
          </w:p>
        </w:tc>
        <w:tc>
          <w:tcPr>
            <w:tcW w:w="512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61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70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74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76.11</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76.11</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23" w:type="dxa"/>
            <w:tcBorders>
              <w:top w:val="nil"/>
              <w:left w:val="nil"/>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7" w:hRule="atLeast"/>
        </w:trPr>
        <w:tc>
          <w:tcPr>
            <w:tcW w:w="13820"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
        <w:gridCol w:w="41"/>
        <w:gridCol w:w="923"/>
        <w:gridCol w:w="5539"/>
        <w:gridCol w:w="1545"/>
        <w:gridCol w:w="1575"/>
        <w:gridCol w:w="990"/>
        <w:gridCol w:w="1005"/>
        <w:gridCol w:w="777"/>
        <w:gridCol w:w="777"/>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7" w:hRule="atLeast"/>
        </w:trPr>
        <w:tc>
          <w:tcPr>
            <w:tcW w:w="41"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u w:val="none"/>
              </w:rPr>
            </w:pPr>
          </w:p>
        </w:tc>
        <w:tc>
          <w:tcPr>
            <w:tcW w:w="4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92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553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5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57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3334"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6544"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：许昌市港航海事中心</w:t>
            </w:r>
          </w:p>
        </w:tc>
        <w:tc>
          <w:tcPr>
            <w:tcW w:w="15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57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3334"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65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0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77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77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7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53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3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3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6544"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6544"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76.11</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76.11</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2140131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海事管理</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61.60</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61.60</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179" w:right="1440" w:bottom="1179" w:left="1440" w:header="720" w:footer="720" w:gutter="0"/>
          <w:pgNumType w:fmt="numberInDash"/>
          <w:cols w:space="720" w:num="1"/>
          <w:rtlGutter w:val="0"/>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
        <w:gridCol w:w="83"/>
        <w:gridCol w:w="678"/>
        <w:gridCol w:w="6246"/>
        <w:gridCol w:w="1360"/>
        <w:gridCol w:w="1398"/>
        <w:gridCol w:w="1231"/>
        <w:gridCol w:w="959"/>
        <w:gridCol w:w="959"/>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83"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u w:val="none"/>
              </w:rPr>
            </w:pPr>
          </w:p>
        </w:tc>
        <w:tc>
          <w:tcPr>
            <w:tcW w:w="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678"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6246"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36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398"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23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2909"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7090"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：许昌市港航海事中心</w:t>
            </w:r>
          </w:p>
        </w:tc>
        <w:tc>
          <w:tcPr>
            <w:tcW w:w="136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398"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23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2909"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70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6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39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3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5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5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99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624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4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4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7090"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7090"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91.85</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88.53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77.77</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74.45</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77.77</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74.45</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2140102</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2140131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海事管理</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71.92</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09"/>
        <w:gridCol w:w="705"/>
        <w:gridCol w:w="1050"/>
        <w:gridCol w:w="3435"/>
        <w:gridCol w:w="690"/>
        <w:gridCol w:w="1065"/>
        <w:gridCol w:w="1185"/>
        <w:gridCol w:w="141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3879" w:type="dxa"/>
            <w:gridSpan w:val="9"/>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109"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u w:val="none"/>
              </w:rPr>
            </w:pPr>
          </w:p>
        </w:tc>
        <w:tc>
          <w:tcPr>
            <w:tcW w:w="70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343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6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4890"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4864"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：许昌市港航海事中心</w:t>
            </w:r>
          </w:p>
        </w:tc>
        <w:tc>
          <w:tcPr>
            <w:tcW w:w="343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6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4890"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8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015"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 w:hRule="atLeast"/>
        </w:trPr>
        <w:tc>
          <w:tcPr>
            <w:tcW w:w="310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4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41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2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310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76.11</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77.77</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77.77</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76.11</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05" w:type="dxa"/>
            <w:tcBorders>
              <w:top w:val="nil"/>
              <w:left w:val="nil"/>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91.85</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3879"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
        <w:gridCol w:w="37"/>
        <w:gridCol w:w="1280"/>
        <w:gridCol w:w="7665"/>
        <w:gridCol w:w="1815"/>
        <w:gridCol w:w="1575"/>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3702" w:type="dxa"/>
            <w:gridSpan w:val="7"/>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7"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u w:val="none"/>
              </w:rPr>
            </w:pPr>
          </w:p>
        </w:tc>
        <w:tc>
          <w:tcPr>
            <w:tcW w:w="3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28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766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81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2868"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9019"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：许昌市港航海事中心</w:t>
            </w:r>
          </w:p>
        </w:tc>
        <w:tc>
          <w:tcPr>
            <w:tcW w:w="181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2868"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901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68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76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1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9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7" w:hRule="atLeast"/>
        </w:trPr>
        <w:tc>
          <w:tcPr>
            <w:tcW w:w="135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901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901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91.85</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88.53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74.45</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74.45</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2140102</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2140131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海事管理</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71.92</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702"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3"/>
        <w:gridCol w:w="3438"/>
        <w:gridCol w:w="769"/>
        <w:gridCol w:w="965"/>
        <w:gridCol w:w="2307"/>
        <w:gridCol w:w="663"/>
        <w:gridCol w:w="919"/>
        <w:gridCol w:w="2750"/>
        <w:gridCol w:w="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13320" w:type="dxa"/>
            <w:gridSpan w:val="9"/>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92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000000"/>
                <w:sz w:val="18"/>
                <w:szCs w:val="18"/>
                <w:u w:val="none"/>
              </w:rPr>
            </w:pPr>
          </w:p>
        </w:tc>
        <w:tc>
          <w:tcPr>
            <w:tcW w:w="3438"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000000"/>
                <w:sz w:val="18"/>
                <w:szCs w:val="18"/>
                <w:u w:val="none"/>
              </w:rPr>
            </w:pPr>
          </w:p>
        </w:tc>
        <w:tc>
          <w:tcPr>
            <w:tcW w:w="769"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000000"/>
                <w:sz w:val="18"/>
                <w:szCs w:val="18"/>
                <w:u w:val="none"/>
              </w:rPr>
            </w:pPr>
          </w:p>
        </w:tc>
        <w:tc>
          <w:tcPr>
            <w:tcW w:w="96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230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66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333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5130"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单位：许昌市港航海事中心</w:t>
            </w:r>
          </w:p>
        </w:tc>
        <w:tc>
          <w:tcPr>
            <w:tcW w:w="96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230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66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333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51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19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92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43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6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30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66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1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58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 w:hRule="atLeast"/>
        </w:trPr>
        <w:tc>
          <w:tcPr>
            <w:tcW w:w="92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3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64.69</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0.67</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5"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0.63</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4361"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75.17</w:t>
            </w:r>
          </w:p>
        </w:tc>
        <w:tc>
          <w:tcPr>
            <w:tcW w:w="7604" w:type="dxa"/>
            <w:gridSpan w:val="5"/>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32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8"/>
        <w:gridCol w:w="1325"/>
        <w:gridCol w:w="1194"/>
        <w:gridCol w:w="1194"/>
        <w:gridCol w:w="1194"/>
        <w:gridCol w:w="834"/>
        <w:gridCol w:w="883"/>
        <w:gridCol w:w="1341"/>
        <w:gridCol w:w="965"/>
        <w:gridCol w:w="1226"/>
        <w:gridCol w:w="1195"/>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7" w:hRule="atLeast"/>
        </w:trPr>
        <w:tc>
          <w:tcPr>
            <w:tcW w:w="13660" w:type="dxa"/>
            <w:gridSpan w:val="1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1308"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u w:val="none"/>
              </w:rPr>
            </w:pPr>
          </w:p>
        </w:tc>
        <w:tc>
          <w:tcPr>
            <w:tcW w:w="132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83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34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4387"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3827"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：许昌市港航海事中心</w:t>
            </w: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83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8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34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4387"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7" w:hRule="atLeast"/>
        </w:trPr>
        <w:tc>
          <w:tcPr>
            <w:tcW w:w="70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611"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7" w:hRule="atLeast"/>
        </w:trPr>
        <w:tc>
          <w:tcPr>
            <w:tcW w:w="130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82"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83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88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4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8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0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13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83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0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7" w:hRule="atLeast"/>
        </w:trPr>
        <w:tc>
          <w:tcPr>
            <w:tcW w:w="130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4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2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0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7" w:hRule="atLeast"/>
        </w:trPr>
        <w:tc>
          <w:tcPr>
            <w:tcW w:w="130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132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83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8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134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122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100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9" w:hRule="atLeast"/>
        </w:trPr>
        <w:tc>
          <w:tcPr>
            <w:tcW w:w="1366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
        <w:gridCol w:w="57"/>
        <w:gridCol w:w="869"/>
        <w:gridCol w:w="2684"/>
        <w:gridCol w:w="1410"/>
        <w:gridCol w:w="1586"/>
        <w:gridCol w:w="1773"/>
        <w:gridCol w:w="1773"/>
        <w:gridCol w:w="1778"/>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3773" w:type="dxa"/>
            <w:gridSpan w:val="10"/>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7"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u w:val="none"/>
              </w:rPr>
            </w:pPr>
          </w:p>
        </w:tc>
        <w:tc>
          <w:tcPr>
            <w:tcW w:w="5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86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268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586"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3564"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667"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Theme="majorEastAsia" w:hAnsiTheme="majorEastAsia" w:eastAsiaTheme="majorEastAsia" w:cstheme="majorEastAsia"/>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：许昌市港航海事中心</w:t>
            </w:r>
          </w:p>
        </w:tc>
        <w:tc>
          <w:tcPr>
            <w:tcW w:w="141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586"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u w:val="none"/>
              </w:rPr>
            </w:pPr>
          </w:p>
        </w:tc>
        <w:tc>
          <w:tcPr>
            <w:tcW w:w="3564"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66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1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58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324"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78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983"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68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77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7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7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983"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8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983"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8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667"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667"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3773"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6"/>
          <w:szCs w:val="36"/>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6"/>
          <w:szCs w:val="36"/>
          <w:highlight w:val="none"/>
          <w:lang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val="0"/>
        <w:autoSpaceDE w:val="0"/>
        <w:autoSpaceDN w:val="0"/>
        <w:spacing w:line="590" w:lineRule="exact"/>
        <w:ind w:firstLine="64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kern w:val="2"/>
          <w:sz w:val="32"/>
        </w:rPr>
        <w:t>2021年度收、支总计均为91.85万元。与上年度相比，收、支总计各减少11.59万元，下降11.21%</w:t>
      </w:r>
      <w:r>
        <w:rPr>
          <w:rFonts w:hint="eastAsia" w:ascii="仿宋_GB2312" w:hAnsi="仿宋_GB2312" w:eastAsia="仿宋_GB2312"/>
          <w:kern w:val="2"/>
          <w:sz w:val="32"/>
          <w:lang w:eastAsia="zh-CN"/>
        </w:rPr>
        <w:t>。</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val="0"/>
        <w:autoSpaceDE w:val="0"/>
        <w:autoSpaceDN w:val="0"/>
        <w:spacing w:line="590" w:lineRule="exact"/>
        <w:ind w:firstLine="640"/>
        <w:jc w:val="both"/>
        <w:rPr>
          <w:rFonts w:hint="eastAsia" w:ascii="仿宋_GB2312" w:hAnsi="仿宋_GB2312" w:eastAsia="仿宋_GB2312"/>
          <w:kern w:val="2"/>
          <w:sz w:val="32"/>
          <w:lang w:val="en-US"/>
        </w:rPr>
      </w:pPr>
      <w:r>
        <w:rPr>
          <w:rFonts w:hint="eastAsia" w:ascii="仿宋_GB2312" w:hAnsi="仿宋_GB2312" w:eastAsia="仿宋_GB2312"/>
          <w:kern w:val="2"/>
          <w:sz w:val="32"/>
          <w:lang w:val="en-US"/>
        </w:rPr>
        <w:t>2021年度收入合计76.11万元，其中：财政拨款收入76.11万元，占100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%；上级补助收入0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%；事业收入0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%；经营收入0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%；附属单位上缴收入0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%；其他收入0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val="0"/>
        <w:autoSpaceDE w:val="0"/>
        <w:autoSpaceDN w:val="0"/>
        <w:spacing w:line="590" w:lineRule="exact"/>
        <w:ind w:firstLine="640"/>
        <w:jc w:val="both"/>
        <w:rPr>
          <w:rFonts w:hint="default" w:ascii="Times New Roman" w:hAnsi="Times New Roman" w:eastAsia="Times New Roman"/>
          <w:sz w:val="18"/>
          <w:lang w:val="zh-CN"/>
        </w:rPr>
      </w:pPr>
      <w:r>
        <w:rPr>
          <w:rFonts w:hint="eastAsia" w:ascii="仿宋_GB2312" w:hAnsi="仿宋_GB2312" w:eastAsia="仿宋_GB2312"/>
          <w:kern w:val="2"/>
          <w:sz w:val="32"/>
          <w:lang w:val="en-US"/>
        </w:rPr>
        <w:t>2021年度支出合计91.85万元，其中：基本支出88.53万元，占96.39%；项目支出3.32万元，占3.61%；上缴上级支出0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%；经营支出0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%；对附属单位补助支出0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kern w:val="2"/>
          <w:sz w:val="32"/>
          <w:lang w:val="en-US"/>
        </w:rPr>
        <w:t>2021年度财政拨款收、支总计均为91.85万元。与上年度相比，财政拨款收、支总计各减少11.</w:t>
      </w:r>
      <w:r>
        <w:rPr>
          <w:rFonts w:hint="eastAsia" w:ascii="仿宋_GB2312" w:hAnsi="仿宋_GB2312" w:eastAsia="仿宋_GB2312"/>
          <w:kern w:val="2"/>
          <w:sz w:val="32"/>
          <w:lang w:val="en-US" w:eastAsia="zh-CN"/>
        </w:rPr>
        <w:t>60</w:t>
      </w:r>
      <w:r>
        <w:rPr>
          <w:rFonts w:hint="eastAsia" w:ascii="仿宋_GB2312" w:hAnsi="仿宋_GB2312" w:eastAsia="仿宋_GB2312"/>
          <w:kern w:val="2"/>
          <w:sz w:val="32"/>
          <w:lang w:val="en-US"/>
        </w:rPr>
        <w:t>万元，下降11.21%。</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kern w:val="2"/>
          <w:sz w:val="32"/>
          <w:lang w:val="en-US"/>
        </w:rPr>
      </w:pPr>
      <w:r>
        <w:rPr>
          <w:rFonts w:hint="eastAsia" w:ascii="仿宋_GB2312" w:hAnsi="仿宋_GB2312" w:eastAsia="仿宋_GB2312"/>
          <w:kern w:val="2"/>
          <w:sz w:val="32"/>
          <w:lang w:val="en-US"/>
        </w:rPr>
        <w:t>2021年度一般公共预算财政拨款支出91.85万元，占支出合计的100%。与上年度相比，一般公共预算财政拨款支出增加6.04万元，增长7.04%。主要原因是</w:t>
      </w:r>
      <w:r>
        <w:rPr>
          <w:rFonts w:hint="eastAsia" w:ascii="仿宋_GB2312" w:hAnsi="仿宋_GB2312" w:eastAsia="仿宋_GB2312"/>
          <w:kern w:val="2"/>
          <w:sz w:val="32"/>
          <w:lang w:val="en-US" w:eastAsia="zh-CN"/>
        </w:rPr>
        <w:t>人员经费提升，新增临时项目经费支出调整预算</w:t>
      </w:r>
      <w:r>
        <w:rPr>
          <w:rFonts w:hint="eastAsia" w:ascii="仿宋_GB2312" w:hAnsi="仿宋_GB2312" w:eastAsia="仿宋_GB2312"/>
          <w:kern w:val="2"/>
          <w:sz w:val="32"/>
          <w:lang w:val="en-US"/>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val="0"/>
        <w:autoSpaceDE w:val="0"/>
        <w:autoSpaceDN w:val="0"/>
        <w:spacing w:line="590" w:lineRule="exact"/>
        <w:ind w:firstLine="640"/>
        <w:jc w:val="both"/>
        <w:rPr>
          <w:rFonts w:hint="eastAsia" w:ascii="仿宋_GB2312" w:hAnsi="仿宋_GB2312" w:eastAsia="仿宋_GB2312"/>
          <w:kern w:val="2"/>
          <w:sz w:val="32"/>
          <w:lang w:val="en-US"/>
        </w:rPr>
      </w:pPr>
      <w:r>
        <w:rPr>
          <w:rFonts w:hint="eastAsia" w:ascii="仿宋_GB2312" w:hAnsi="仿宋_GB2312" w:eastAsia="仿宋_GB2312"/>
          <w:kern w:val="2"/>
          <w:sz w:val="32"/>
          <w:lang w:val="en-US"/>
        </w:rPr>
        <w:t>2021年度一般公共预算财政拨款支出91.85万元，主要用于以下方面：一般公共服务（类）支出</w:t>
      </w:r>
      <w:r>
        <w:rPr>
          <w:rFonts w:hint="eastAsia" w:ascii="仿宋_GB2312" w:hAnsi="仿宋_GB2312" w:eastAsia="仿宋_GB2312"/>
          <w:kern w:val="2"/>
          <w:sz w:val="32"/>
          <w:lang w:val="en-US" w:eastAsia="zh-CN"/>
        </w:rPr>
        <w:t>0.33</w:t>
      </w:r>
      <w:r>
        <w:rPr>
          <w:rFonts w:hint="eastAsia" w:ascii="仿宋_GB2312" w:hAnsi="仿宋_GB2312" w:eastAsia="仿宋_GB2312"/>
          <w:kern w:val="2"/>
          <w:sz w:val="32"/>
          <w:lang w:val="en-US"/>
        </w:rPr>
        <w:t>万元，占</w:t>
      </w:r>
      <w:r>
        <w:rPr>
          <w:rFonts w:hint="eastAsia" w:ascii="仿宋_GB2312" w:hAnsi="仿宋_GB2312" w:eastAsia="仿宋_GB2312"/>
          <w:kern w:val="2"/>
          <w:sz w:val="32"/>
          <w:lang w:val="en-US" w:eastAsia="zh-CN"/>
        </w:rPr>
        <w:t>0.36</w:t>
      </w:r>
      <w:r>
        <w:rPr>
          <w:rFonts w:hint="eastAsia" w:ascii="仿宋_GB2312" w:hAnsi="仿宋_GB2312" w:eastAsia="仿宋_GB2312"/>
          <w:kern w:val="2"/>
          <w:sz w:val="32"/>
          <w:lang w:val="en-US"/>
        </w:rPr>
        <w:t>%；社会保障和就业（类）支出</w:t>
      </w:r>
      <w:r>
        <w:rPr>
          <w:rFonts w:hint="eastAsia" w:ascii="仿宋_GB2312" w:hAnsi="仿宋_GB2312" w:eastAsia="仿宋_GB2312"/>
          <w:kern w:val="2"/>
          <w:sz w:val="32"/>
          <w:lang w:val="en-US" w:eastAsia="zh-CN"/>
        </w:rPr>
        <w:t>12.19</w:t>
      </w:r>
      <w:r>
        <w:rPr>
          <w:rFonts w:hint="eastAsia" w:ascii="仿宋_GB2312" w:hAnsi="仿宋_GB2312" w:eastAsia="仿宋_GB2312"/>
          <w:kern w:val="2"/>
          <w:sz w:val="32"/>
          <w:lang w:val="en-US"/>
        </w:rPr>
        <w:t>万元，占</w:t>
      </w:r>
      <w:r>
        <w:rPr>
          <w:rFonts w:hint="eastAsia" w:ascii="仿宋_GB2312" w:hAnsi="仿宋_GB2312" w:eastAsia="仿宋_GB2312"/>
          <w:kern w:val="2"/>
          <w:sz w:val="32"/>
          <w:lang w:val="en-US" w:eastAsia="zh-CN"/>
        </w:rPr>
        <w:t>13.27</w:t>
      </w:r>
      <w:r>
        <w:rPr>
          <w:rFonts w:hint="eastAsia" w:ascii="仿宋_GB2312" w:hAnsi="仿宋_GB2312" w:eastAsia="仿宋_GB2312"/>
          <w:kern w:val="2"/>
          <w:sz w:val="32"/>
          <w:lang w:val="en-US"/>
        </w:rPr>
        <w:t>%；卫生健康（类）支出</w:t>
      </w:r>
      <w:r>
        <w:rPr>
          <w:rFonts w:hint="eastAsia" w:ascii="仿宋_GB2312" w:hAnsi="仿宋_GB2312" w:eastAsia="仿宋_GB2312"/>
          <w:kern w:val="2"/>
          <w:sz w:val="32"/>
          <w:lang w:val="en-US" w:eastAsia="zh-CN"/>
        </w:rPr>
        <w:t>1.56</w:t>
      </w:r>
      <w:r>
        <w:rPr>
          <w:rFonts w:hint="eastAsia" w:ascii="仿宋_GB2312" w:hAnsi="仿宋_GB2312" w:eastAsia="仿宋_GB2312"/>
          <w:kern w:val="2"/>
          <w:sz w:val="32"/>
          <w:lang w:val="en-US"/>
        </w:rPr>
        <w:t>万元，占</w:t>
      </w:r>
      <w:r>
        <w:rPr>
          <w:rFonts w:hint="eastAsia" w:ascii="仿宋_GB2312" w:hAnsi="仿宋_GB2312" w:eastAsia="仿宋_GB2312"/>
          <w:kern w:val="2"/>
          <w:sz w:val="32"/>
          <w:lang w:val="en-US" w:eastAsia="zh-CN"/>
        </w:rPr>
        <w:t>1.70</w:t>
      </w:r>
      <w:r>
        <w:rPr>
          <w:rFonts w:hint="eastAsia" w:ascii="仿宋_GB2312" w:hAnsi="仿宋_GB2312" w:eastAsia="仿宋_GB2312"/>
          <w:kern w:val="2"/>
          <w:sz w:val="32"/>
          <w:lang w:val="en-US"/>
        </w:rPr>
        <w:t>%；交通运输（类）支出</w:t>
      </w:r>
      <w:r>
        <w:rPr>
          <w:rFonts w:hint="eastAsia" w:ascii="仿宋_GB2312" w:hAnsi="仿宋_GB2312" w:eastAsia="仿宋_GB2312"/>
          <w:kern w:val="2"/>
          <w:sz w:val="32"/>
          <w:lang w:val="en-US" w:eastAsia="zh-CN"/>
        </w:rPr>
        <w:t>77.77</w:t>
      </w:r>
      <w:r>
        <w:rPr>
          <w:rFonts w:hint="eastAsia" w:ascii="仿宋_GB2312" w:hAnsi="仿宋_GB2312" w:eastAsia="仿宋_GB2312"/>
          <w:kern w:val="2"/>
          <w:sz w:val="32"/>
          <w:lang w:val="en-US"/>
        </w:rPr>
        <w:t>万元，占</w:t>
      </w:r>
      <w:r>
        <w:rPr>
          <w:rFonts w:hint="eastAsia" w:ascii="仿宋_GB2312" w:hAnsi="仿宋_GB2312" w:eastAsia="仿宋_GB2312"/>
          <w:kern w:val="2"/>
          <w:sz w:val="32"/>
          <w:lang w:val="en-US" w:eastAsia="zh-CN"/>
        </w:rPr>
        <w:t>84.67</w:t>
      </w:r>
      <w:r>
        <w:rPr>
          <w:rFonts w:hint="eastAsia" w:ascii="仿宋_GB2312" w:hAnsi="仿宋_GB2312" w:eastAsia="仿宋_GB2312"/>
          <w:kern w:val="2"/>
          <w:sz w:val="32"/>
          <w:lang w:val="en-US"/>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val="0"/>
        <w:autoSpaceDE w:val="0"/>
        <w:autoSpaceDN w:val="0"/>
        <w:spacing w:line="590" w:lineRule="exact"/>
        <w:ind w:firstLine="640"/>
        <w:jc w:val="both"/>
        <w:rPr>
          <w:rFonts w:hint="default" w:ascii="Times New Roman" w:hAnsi="Times New Roman" w:eastAsia="Times New Roman"/>
          <w:kern w:val="2"/>
          <w:sz w:val="32"/>
          <w:lang w:val="en-US"/>
        </w:rPr>
      </w:pPr>
      <w:r>
        <w:rPr>
          <w:rFonts w:hint="eastAsia" w:ascii="仿宋_GB2312" w:hAnsi="仿宋_GB2312" w:eastAsia="仿宋_GB2312"/>
          <w:kern w:val="2"/>
          <w:sz w:val="32"/>
          <w:lang w:val="en-US"/>
        </w:rPr>
        <w:t>2021年度一般公共预算财政拨款支出年初预算为90.14万元，支出决算为91.85万元，完成年初预算的101.9%。其中：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年初预算为0.33万元，支出决算为0.33万元，完成年初预算的100.00%。决算数与年初预算数不存在差异。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年初预算为5.97万元，支出决算为6.27万元，完成年初预算的105.03%。决算数与年初预算数存在差异的主要原因是使用年初结转结余资金额度，调整预算支出。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年初预算为2.04万元，支出决算为2.58万元，完成年初预算的126.47%。。决算数与年初预算数存在差异的主要原因是使用年初结转结余资金额度，调整预算支出。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年初预算为3.92万元，支出决算为3.34万元，完成年初预算的85.20%。决算数与年初预算数存在差异的主要原因是调整预算支出。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年初预算为1.87万元，支出决算为1.56万元，完成年初预算的83.42%。决算数与年初预算数存在差异的主要原因是调整预算支出。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年初预算为0.00万元，支出决算为0.54万元。决算数与年初预算数存在差异的主要原因是使用年初结转结余资金额度。</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7．交通运输支出（类）公路水路运输（款）一般行政管理事务（项）。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年初预算为0.00万元，支出决算为0.04万元。决算数与年初预算数存在差异的主要原因是使用年初结转结余资金额度。</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8．交通运输支出（类）公路水路运输（款）海事管理（项）。</w:t>
      </w:r>
      <w:r>
        <w:rPr>
          <w:rFonts w:hint="eastAsia" w:ascii="仿宋_GB2312" w:hAnsi="仿宋_GB2312" w:eastAsia="仿宋_GB2312" w:cs="仿宋_GB2312"/>
          <w:color w:val="auto"/>
          <w:sz w:val="32"/>
          <w:szCs w:val="32"/>
          <w:highlight w:val="none"/>
          <w:lang w:val="en-US" w:eastAsia="zh-CN"/>
        </w:rPr>
        <w:t>年初预算为76.01万元，支出决算为75.24万元，完成年初预算的98.99%。决算数与年初预算数存在差异的主要原因是贯彻落实上级过紧日子要求，厉行节约，压减支出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9．交通运输支出（类）公路水路运输（款） 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年初预算为0.00万元，支出决算为1.95万元。决算数与年初预算数存在差异的主要原因是使用年初结转结余资金。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val="0"/>
        <w:autoSpaceDE w:val="0"/>
        <w:autoSpaceDN w:val="0"/>
        <w:spacing w:line="590" w:lineRule="exact"/>
        <w:ind w:firstLine="640"/>
        <w:jc w:val="both"/>
        <w:rPr>
          <w:rFonts w:hint="default" w:ascii="Times New Roman" w:hAnsi="Times New Roman" w:eastAsia="Times New Roman"/>
          <w:sz w:val="18"/>
          <w:lang w:val="zh-CN"/>
        </w:rPr>
      </w:pPr>
      <w:r>
        <w:rPr>
          <w:rFonts w:hint="eastAsia" w:ascii="仿宋_GB2312" w:hAnsi="仿宋_GB2312" w:eastAsia="仿宋_GB2312"/>
          <w:kern w:val="2"/>
          <w:sz w:val="32"/>
          <w:lang w:val="en-US"/>
        </w:rPr>
        <w:t>2021年度一般公共预算财政拨款基本支出88.53万元。其中：人员经费75.17万元，主要包括：基本工资、津贴补贴、</w:t>
      </w:r>
      <w:r>
        <w:rPr>
          <w:rFonts w:hint="eastAsia" w:ascii="仿宋_GB2312" w:hAnsi="仿宋_GB2312" w:eastAsia="仿宋_GB2312"/>
          <w:kern w:val="2"/>
          <w:sz w:val="32"/>
          <w:lang w:val="en-US" w:eastAsia="zh-CN"/>
        </w:rPr>
        <w:t>奖金、</w:t>
      </w:r>
      <w:r>
        <w:rPr>
          <w:rFonts w:hint="eastAsia" w:ascii="仿宋_GB2312" w:hAnsi="仿宋_GB2312" w:eastAsia="仿宋_GB2312"/>
          <w:kern w:val="2"/>
          <w:sz w:val="32"/>
          <w:lang w:val="en-US"/>
        </w:rPr>
        <w:t>绩效工资、机关事业单位基本养老保险缴费</w:t>
      </w:r>
      <w:r>
        <w:rPr>
          <w:rFonts w:hint="eastAsia" w:ascii="仿宋_GB2312" w:hAnsi="仿宋_GB2312" w:eastAsia="仿宋_GB2312"/>
          <w:kern w:val="2"/>
          <w:sz w:val="32"/>
          <w:lang w:val="en-US" w:eastAsia="zh-CN"/>
        </w:rPr>
        <w:t>、职工基本医疗保险缴费、</w:t>
      </w:r>
      <w:r>
        <w:rPr>
          <w:rFonts w:hint="eastAsia" w:ascii="仿宋_GB2312" w:hAnsi="仿宋_GB2312" w:eastAsia="仿宋_GB2312"/>
          <w:kern w:val="2"/>
          <w:sz w:val="32"/>
          <w:lang w:val="en-US"/>
        </w:rPr>
        <w:t>住房公积金、其他社会保障缴费</w:t>
      </w:r>
      <w:r>
        <w:rPr>
          <w:rFonts w:hint="eastAsia" w:ascii="仿宋_GB2312" w:hAnsi="仿宋_GB2312" w:eastAsia="仿宋_GB2312"/>
          <w:kern w:val="2"/>
          <w:sz w:val="32"/>
          <w:lang w:val="en-US" w:eastAsia="zh-CN"/>
        </w:rPr>
        <w:t>、</w:t>
      </w:r>
      <w:r>
        <w:rPr>
          <w:rFonts w:hint="eastAsia" w:ascii="仿宋_GB2312" w:hAnsi="仿宋_GB2312" w:eastAsia="仿宋_GB2312"/>
          <w:kern w:val="2"/>
          <w:sz w:val="32"/>
          <w:lang w:val="en-US"/>
        </w:rPr>
        <w:t>其他工资福利支出、退休费；公用经费13.37万元，主要包括：办公费、邮电费、差旅费、维修（护）费、培训费、公务接待费</w:t>
      </w:r>
      <w:r>
        <w:rPr>
          <w:rFonts w:hint="eastAsia" w:ascii="仿宋_GB2312" w:hAnsi="仿宋_GB2312" w:eastAsia="仿宋_GB2312"/>
          <w:kern w:val="2"/>
          <w:sz w:val="32"/>
          <w:lang w:val="en-US" w:eastAsia="zh-CN"/>
        </w:rPr>
        <w:t>、</w:t>
      </w:r>
      <w:r>
        <w:rPr>
          <w:rFonts w:hint="eastAsia" w:ascii="仿宋_GB2312" w:hAnsi="仿宋_GB2312" w:eastAsia="仿宋_GB2312"/>
          <w:kern w:val="2"/>
          <w:sz w:val="32"/>
          <w:lang w:val="en-US"/>
        </w:rPr>
        <w:t>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val="0"/>
        <w:autoSpaceDE w:val="0"/>
        <w:autoSpaceDN w:val="0"/>
        <w:spacing w:line="590" w:lineRule="exact"/>
        <w:ind w:firstLine="640"/>
        <w:jc w:val="both"/>
        <w:rPr>
          <w:rFonts w:hint="default" w:ascii="Times New Roman" w:hAnsi="Times New Roman" w:eastAsia="Times New Roman"/>
          <w:b/>
          <w:kern w:val="2"/>
          <w:sz w:val="32"/>
          <w:lang w:val="en-US"/>
        </w:rPr>
      </w:pPr>
      <w:r>
        <w:rPr>
          <w:rFonts w:hint="eastAsia" w:ascii="楷体_GB2312" w:hAnsi="楷体_GB2312" w:eastAsia="楷体_GB2312"/>
          <w:b/>
          <w:kern w:val="2"/>
          <w:sz w:val="32"/>
          <w:lang w:val="en-US"/>
        </w:rPr>
        <w:t>（一）</w:t>
      </w:r>
      <w:r>
        <w:rPr>
          <w:rFonts w:hint="default" w:ascii="Times New Roman" w:hAnsi="Times New Roman" w:eastAsia="Times New Roman"/>
          <w:b/>
          <w:kern w:val="2"/>
          <w:sz w:val="32"/>
          <w:lang w:val="en-US"/>
        </w:rPr>
        <w:t>“</w:t>
      </w:r>
      <w:r>
        <w:rPr>
          <w:rFonts w:hint="eastAsia" w:ascii="楷体_GB2312" w:hAnsi="楷体_GB2312" w:eastAsia="楷体_GB2312"/>
          <w:b/>
          <w:kern w:val="2"/>
          <w:sz w:val="32"/>
          <w:lang w:val="en-US"/>
        </w:rPr>
        <w:t>三公</w:t>
      </w:r>
      <w:r>
        <w:rPr>
          <w:rFonts w:hint="default" w:ascii="Times New Roman" w:hAnsi="Times New Roman" w:eastAsia="Times New Roman"/>
          <w:b/>
          <w:kern w:val="2"/>
          <w:sz w:val="32"/>
          <w:lang w:val="en-US"/>
        </w:rPr>
        <w:t>”</w:t>
      </w:r>
      <w:r>
        <w:rPr>
          <w:rFonts w:hint="eastAsia" w:ascii="楷体_GB2312" w:hAnsi="楷体_GB2312" w:eastAsia="楷体_GB2312"/>
          <w:b/>
          <w:kern w:val="2"/>
          <w:sz w:val="32"/>
          <w:lang w:val="en-US"/>
        </w:rPr>
        <w:t>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kern w:val="2"/>
          <w:sz w:val="32"/>
          <w:lang w:val="en-US"/>
        </w:rPr>
        <w:t>2021年度</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三公</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经费财政拨款支出预算为3.24万元，支出决算为3.17万元，完成预算的97.84%。2021年度</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三公</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经费支出决算数与预算数存在差异的主要原因是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widowControl w:val="0"/>
        <w:autoSpaceDE w:val="0"/>
        <w:autoSpaceDN w:val="0"/>
        <w:spacing w:line="590" w:lineRule="exact"/>
        <w:ind w:firstLine="640"/>
        <w:jc w:val="both"/>
        <w:rPr>
          <w:rFonts w:hint="default" w:ascii="Times New Roman" w:hAnsi="Times New Roman" w:eastAsia="Times New Roman"/>
          <w:b/>
          <w:kern w:val="2"/>
          <w:sz w:val="32"/>
          <w:lang w:val="en-US"/>
        </w:rPr>
      </w:pPr>
      <w:r>
        <w:rPr>
          <w:rFonts w:hint="eastAsia" w:ascii="楷体_GB2312" w:hAnsi="楷体_GB2312" w:eastAsia="楷体_GB2312"/>
          <w:b/>
          <w:kern w:val="2"/>
          <w:sz w:val="32"/>
          <w:lang w:val="en-US"/>
        </w:rPr>
        <w:t>（二）</w:t>
      </w:r>
      <w:r>
        <w:rPr>
          <w:rFonts w:hint="default" w:ascii="Times New Roman" w:hAnsi="Times New Roman" w:eastAsia="Times New Roman"/>
          <w:b/>
          <w:kern w:val="2"/>
          <w:sz w:val="32"/>
          <w:lang w:val="en-US"/>
        </w:rPr>
        <w:t>“</w:t>
      </w:r>
      <w:r>
        <w:rPr>
          <w:rFonts w:hint="eastAsia" w:ascii="楷体_GB2312" w:hAnsi="楷体_GB2312" w:eastAsia="楷体_GB2312"/>
          <w:b/>
          <w:kern w:val="2"/>
          <w:sz w:val="32"/>
          <w:lang w:val="en-US"/>
        </w:rPr>
        <w:t>三公</w:t>
      </w:r>
      <w:r>
        <w:rPr>
          <w:rFonts w:hint="default" w:ascii="Times New Roman" w:hAnsi="Times New Roman" w:eastAsia="Times New Roman"/>
          <w:b/>
          <w:kern w:val="2"/>
          <w:sz w:val="32"/>
          <w:lang w:val="en-US"/>
        </w:rPr>
        <w:t>”</w:t>
      </w:r>
      <w:r>
        <w:rPr>
          <w:rFonts w:hint="eastAsia" w:ascii="楷体_GB2312" w:hAnsi="楷体_GB2312" w:eastAsia="楷体_GB2312"/>
          <w:b/>
          <w:kern w:val="2"/>
          <w:sz w:val="32"/>
          <w:lang w:val="en-US"/>
        </w:rPr>
        <w:t>经费财政拨款支出决算具体情况说明。</w:t>
      </w:r>
    </w:p>
    <w:p>
      <w:pPr>
        <w:widowControl w:val="0"/>
        <w:autoSpaceDE w:val="0"/>
        <w:autoSpaceDN w:val="0"/>
        <w:spacing w:line="590" w:lineRule="exact"/>
        <w:ind w:firstLine="640"/>
        <w:jc w:val="both"/>
        <w:rPr>
          <w:rFonts w:hint="default" w:ascii="Times New Roman" w:hAnsi="Times New Roman" w:eastAsia="Times New Roman"/>
          <w:sz w:val="18"/>
          <w:lang w:val="en-US"/>
        </w:rPr>
      </w:pPr>
      <w:r>
        <w:rPr>
          <w:rFonts w:hint="eastAsia" w:ascii="仿宋_GB2312" w:hAnsi="仿宋_GB2312" w:eastAsia="仿宋_GB2312"/>
          <w:kern w:val="2"/>
          <w:sz w:val="32"/>
          <w:lang w:val="en-US"/>
        </w:rPr>
        <w:t>2021年度</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三公</w:t>
      </w:r>
      <w:r>
        <w:rPr>
          <w:rFonts w:hint="default" w:ascii="Times New Roman" w:hAnsi="Times New Roman" w:eastAsia="Times New Roman"/>
          <w:kern w:val="2"/>
          <w:sz w:val="32"/>
          <w:lang w:val="en-US"/>
        </w:rPr>
        <w:t>”</w:t>
      </w:r>
      <w:r>
        <w:rPr>
          <w:rFonts w:hint="eastAsia" w:ascii="仿宋_GB2312" w:hAnsi="仿宋_GB2312" w:eastAsia="仿宋_GB2312"/>
          <w:kern w:val="2"/>
          <w:sz w:val="32"/>
          <w:lang w:val="en-US"/>
        </w:rPr>
        <w:t>经费财政拨款支出决算中，因公出国（境）费支出决算0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万元；公务用车购置及运行费支出决算2.95万元，完成预算的98.33%，占93.06%；公务接待费支出决算0.22万元，完成预算的91.67%，占6.94%；具体情况如下：</w:t>
      </w:r>
    </w:p>
    <w:p>
      <w:pPr>
        <w:widowControl w:val="0"/>
        <w:autoSpaceDE w:val="0"/>
        <w:autoSpaceDN w:val="0"/>
        <w:spacing w:line="590" w:lineRule="exact"/>
        <w:ind w:firstLine="64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b/>
          <w:kern w:val="2"/>
          <w:sz w:val="32"/>
          <w:lang w:val="en-US"/>
        </w:rPr>
        <w:t>1．因公出国（境）费</w:t>
      </w:r>
      <w:r>
        <w:rPr>
          <w:rFonts w:hint="eastAsia" w:ascii="仿宋_GB2312" w:hAnsi="仿宋_GB2312" w:eastAsia="仿宋_GB2312"/>
          <w:kern w:val="2"/>
          <w:sz w:val="32"/>
          <w:lang w:val="en-US"/>
        </w:rPr>
        <w:t>预算为0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万元，支出决算为0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w:t>
      </w:r>
      <w:r>
        <w:rPr>
          <w:rFonts w:hint="eastAsia" w:ascii="仿宋_GB2312" w:hAnsi="仿宋_GB2312" w:eastAsia="仿宋_GB2312"/>
          <w:kern w:val="2"/>
          <w:sz w:val="32"/>
          <w:lang w:val="en-US" w:eastAsia="zh-CN"/>
        </w:rPr>
        <w:t>。</w:t>
      </w:r>
      <w:r>
        <w:rPr>
          <w:rFonts w:hint="eastAsia" w:ascii="仿宋_GB2312" w:hAnsi="仿宋_GB2312" w:eastAsia="仿宋_GB2312" w:cs="仿宋_GB2312"/>
          <w:color w:val="auto"/>
          <w:sz w:val="32"/>
          <w:szCs w:val="32"/>
          <w:highlight w:val="none"/>
          <w:lang w:val="zh-CN" w:eastAsia="zh-CN"/>
        </w:rPr>
        <w:t>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Times New Roman"/>
          <w:kern w:val="2"/>
          <w:sz w:val="32"/>
          <w:lang w:val="en-US"/>
        </w:rPr>
      </w:pPr>
      <w:r>
        <w:rPr>
          <w:rFonts w:hint="eastAsia" w:ascii="仿宋_GB2312" w:hAnsi="仿宋_GB2312" w:eastAsia="仿宋_GB2312"/>
          <w:b/>
          <w:kern w:val="2"/>
          <w:sz w:val="32"/>
          <w:lang w:val="en-US"/>
        </w:rPr>
        <w:t>2．公务用车购置及运行费</w:t>
      </w:r>
      <w:r>
        <w:rPr>
          <w:rFonts w:hint="eastAsia" w:ascii="仿宋_GB2312" w:hAnsi="仿宋_GB2312" w:eastAsia="仿宋_GB2312"/>
          <w:kern w:val="2"/>
          <w:sz w:val="32"/>
          <w:lang w:val="en-US"/>
        </w:rPr>
        <w:t>预算为3</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万元，支出决算为2.95万元，完成预算的98.25%，决算数与预算数存在差异的主要原因是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kern w:val="2"/>
          <w:sz w:val="32"/>
          <w:lang w:val="en-US"/>
        </w:rPr>
        <w:t>。其中：</w:t>
      </w:r>
    </w:p>
    <w:p>
      <w:pPr>
        <w:widowControl w:val="0"/>
        <w:autoSpaceDE w:val="0"/>
        <w:autoSpaceDN w:val="0"/>
        <w:spacing w:line="590" w:lineRule="exact"/>
        <w:ind w:firstLine="640"/>
        <w:jc w:val="both"/>
        <w:rPr>
          <w:rFonts w:hint="default" w:ascii="Times New Roman" w:hAnsi="Times New Roman" w:eastAsia="Times New Roman"/>
          <w:kern w:val="2"/>
          <w:sz w:val="32"/>
          <w:lang w:val="en-US"/>
        </w:rPr>
      </w:pPr>
      <w:r>
        <w:rPr>
          <w:rFonts w:hint="eastAsia" w:ascii="仿宋_GB2312" w:hAnsi="仿宋_GB2312" w:eastAsia="仿宋_GB2312"/>
          <w:b/>
          <w:kern w:val="2"/>
          <w:sz w:val="32"/>
          <w:lang w:val="en-US"/>
        </w:rPr>
        <w:t>公务用车购置支出</w:t>
      </w:r>
      <w:r>
        <w:rPr>
          <w:rFonts w:hint="eastAsia" w:ascii="仿宋_GB2312" w:hAnsi="仿宋_GB2312" w:eastAsia="仿宋_GB2312"/>
          <w:kern w:val="2"/>
          <w:sz w:val="32"/>
          <w:lang w:val="en-US"/>
        </w:rPr>
        <w:t>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万元，购置车辆</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台。</w:t>
      </w:r>
    </w:p>
    <w:p>
      <w:pPr>
        <w:widowControl w:val="0"/>
        <w:autoSpaceDE w:val="0"/>
        <w:autoSpaceDN w:val="0"/>
        <w:spacing w:line="590" w:lineRule="exact"/>
        <w:ind w:firstLine="640"/>
        <w:jc w:val="both"/>
        <w:rPr>
          <w:rFonts w:hint="default" w:ascii="Times New Roman" w:hAnsi="Times New Roman" w:eastAsia="Times New Roman"/>
          <w:sz w:val="18"/>
          <w:lang w:val="zh-CN"/>
        </w:rPr>
      </w:pPr>
      <w:r>
        <w:rPr>
          <w:rFonts w:hint="eastAsia" w:ascii="仿宋_GB2312" w:hAnsi="仿宋_GB2312" w:eastAsia="仿宋_GB2312"/>
          <w:b/>
          <w:kern w:val="2"/>
          <w:sz w:val="32"/>
          <w:lang w:val="en-US"/>
        </w:rPr>
        <w:t>公务用车运行支出</w:t>
      </w:r>
      <w:r>
        <w:rPr>
          <w:rFonts w:hint="eastAsia" w:ascii="仿宋_GB2312" w:hAnsi="仿宋_GB2312" w:eastAsia="仿宋_GB2312"/>
          <w:kern w:val="2"/>
          <w:sz w:val="32"/>
          <w:lang w:val="en-US"/>
        </w:rPr>
        <w:t>2.95万元。主要用于</w:t>
      </w:r>
      <w:r>
        <w:rPr>
          <w:rFonts w:hint="eastAsia" w:ascii="仿宋_GB2312" w:hAnsi="仿宋_GB2312" w:eastAsia="仿宋_GB2312" w:cs="仿宋_GB2312"/>
          <w:color w:val="auto"/>
          <w:sz w:val="32"/>
          <w:szCs w:val="32"/>
          <w:highlight w:val="none"/>
          <w:lang w:val="zh-CN" w:eastAsia="zh-CN"/>
        </w:rPr>
        <w:t>公车的日常运行油费及维护费用。</w:t>
      </w:r>
      <w:r>
        <w:rPr>
          <w:rFonts w:hint="eastAsia" w:ascii="仿宋_GB2312" w:hAnsi="仿宋_GB2312" w:eastAsia="仿宋_GB2312"/>
          <w:kern w:val="2"/>
          <w:sz w:val="32"/>
          <w:lang w:val="en-US"/>
        </w:rPr>
        <w:t>2021年期末，单位开支财政拨款的公务用车保有量为</w:t>
      </w:r>
      <w:r>
        <w:rPr>
          <w:rFonts w:hint="eastAsia" w:ascii="仿宋_GB2312" w:hAnsi="仿宋_GB2312" w:eastAsia="仿宋_GB2312"/>
          <w:kern w:val="2"/>
          <w:sz w:val="32"/>
          <w:lang w:val="en-US" w:eastAsia="zh-CN"/>
        </w:rPr>
        <w:t>3</w:t>
      </w:r>
      <w:r>
        <w:rPr>
          <w:rFonts w:hint="eastAsia" w:ascii="仿宋_GB2312" w:hAnsi="仿宋_GB2312" w:eastAsia="仿宋_GB2312"/>
          <w:kern w:val="2"/>
          <w:sz w:val="32"/>
          <w:lang w:val="en-US"/>
        </w:rPr>
        <w:t>量。</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Times New Roman"/>
          <w:kern w:val="2"/>
          <w:sz w:val="32"/>
          <w:lang w:val="en-US"/>
        </w:rPr>
      </w:pPr>
      <w:r>
        <w:rPr>
          <w:rFonts w:hint="eastAsia" w:ascii="仿宋_GB2312" w:hAnsi="仿宋_GB2312" w:eastAsia="仿宋_GB2312"/>
          <w:b/>
          <w:kern w:val="2"/>
          <w:sz w:val="32"/>
          <w:lang w:val="en-US"/>
        </w:rPr>
        <w:t>3.公务接待费</w:t>
      </w:r>
      <w:r>
        <w:rPr>
          <w:rFonts w:hint="eastAsia" w:ascii="仿宋_GB2312" w:hAnsi="仿宋_GB2312" w:eastAsia="仿宋_GB2312"/>
          <w:kern w:val="2"/>
          <w:sz w:val="32"/>
          <w:lang w:val="en-US"/>
        </w:rPr>
        <w:t>预算为0.24万元，支出决算为0.22万元，完成预算的91.25%。决算数与预算数存在差异的主要原因是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kern w:val="2"/>
          <w:sz w:val="32"/>
          <w:lang w:val="en-US"/>
        </w:rPr>
        <w:t>。其中：</w:t>
      </w:r>
    </w:p>
    <w:p>
      <w:pPr>
        <w:widowControl w:val="0"/>
        <w:autoSpaceDE w:val="0"/>
        <w:autoSpaceDN w:val="0"/>
        <w:spacing w:line="590" w:lineRule="exact"/>
        <w:ind w:firstLine="640"/>
        <w:jc w:val="both"/>
        <w:rPr>
          <w:rFonts w:hint="eastAsia" w:ascii="仿宋_GB2312" w:hAnsi="仿宋_GB2312" w:eastAsia="仿宋_GB2312"/>
          <w:kern w:val="2"/>
          <w:sz w:val="32"/>
          <w:lang w:val="en-US"/>
        </w:rPr>
      </w:pPr>
      <w:r>
        <w:rPr>
          <w:rFonts w:hint="eastAsia" w:ascii="仿宋_GB2312" w:hAnsi="仿宋_GB2312" w:eastAsia="仿宋_GB2312"/>
          <w:b/>
          <w:kern w:val="2"/>
          <w:sz w:val="32"/>
          <w:lang w:val="en-US"/>
        </w:rPr>
        <w:t>外宾接待支出</w:t>
      </w:r>
      <w:r>
        <w:rPr>
          <w:rFonts w:hint="eastAsia" w:ascii="仿宋_GB2312" w:hAnsi="仿宋_GB2312" w:eastAsia="仿宋_GB2312"/>
          <w:kern w:val="2"/>
          <w:sz w:val="32"/>
          <w:lang w:val="en-US" w:eastAsia="zh-CN"/>
        </w:rPr>
        <w:t>0.00</w:t>
      </w:r>
      <w:r>
        <w:rPr>
          <w:rFonts w:hint="eastAsia" w:ascii="仿宋_GB2312" w:hAnsi="仿宋_GB2312" w:eastAsia="仿宋_GB2312"/>
          <w:kern w:val="2"/>
          <w:sz w:val="32"/>
          <w:lang w:val="en-US"/>
        </w:rPr>
        <w:t>万元。2021年共接待国（境）外来访团组</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个、来访外宾</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人次（不包括陪同人员）。</w:t>
      </w:r>
    </w:p>
    <w:p>
      <w:pPr>
        <w:widowControl w:val="0"/>
        <w:autoSpaceDE w:val="0"/>
        <w:autoSpaceDN w:val="0"/>
        <w:spacing w:line="590" w:lineRule="exact"/>
        <w:ind w:firstLine="640"/>
        <w:jc w:val="both"/>
        <w:rPr>
          <w:rFonts w:hint="default" w:ascii="Times New Roman" w:hAnsi="Times New Roman" w:eastAsia="Times New Roman"/>
          <w:sz w:val="18"/>
          <w:lang w:val="zh-CN"/>
        </w:rPr>
      </w:pPr>
      <w:r>
        <w:rPr>
          <w:rFonts w:hint="eastAsia" w:ascii="仿宋_GB2312" w:hAnsi="仿宋_GB2312" w:eastAsia="仿宋_GB2312"/>
          <w:b/>
          <w:kern w:val="2"/>
          <w:sz w:val="32"/>
          <w:lang w:val="en-US"/>
        </w:rPr>
        <w:t>其他国内公务接待支出</w:t>
      </w:r>
      <w:r>
        <w:rPr>
          <w:rFonts w:hint="eastAsia" w:ascii="仿宋_GB2312" w:hAnsi="仿宋_GB2312" w:eastAsia="仿宋_GB2312"/>
          <w:kern w:val="2"/>
          <w:sz w:val="32"/>
          <w:lang w:val="en-US" w:eastAsia="zh-CN"/>
        </w:rPr>
        <w:t>0.22</w:t>
      </w:r>
      <w:r>
        <w:rPr>
          <w:rFonts w:hint="eastAsia" w:ascii="仿宋_GB2312" w:hAnsi="仿宋_GB2312" w:eastAsia="仿宋_GB2312"/>
          <w:kern w:val="2"/>
          <w:sz w:val="32"/>
          <w:lang w:val="en-US"/>
        </w:rPr>
        <w:t>万元。主要用于</w:t>
      </w:r>
      <w:r>
        <w:rPr>
          <w:rFonts w:hint="eastAsia" w:ascii="仿宋_GB2312" w:hAnsi="仿宋_GB2312" w:eastAsia="仿宋_GB2312" w:cs="仿宋_GB2312"/>
          <w:color w:val="auto"/>
          <w:sz w:val="32"/>
          <w:szCs w:val="32"/>
          <w:highlight w:val="none"/>
          <w:lang w:val="zh-CN" w:eastAsia="zh-CN"/>
        </w:rPr>
        <w:t>公务接待费用</w:t>
      </w:r>
      <w:r>
        <w:rPr>
          <w:rFonts w:hint="eastAsia" w:ascii="仿宋_GB2312" w:hAnsi="仿宋_GB2312" w:eastAsia="仿宋_GB2312"/>
          <w:kern w:val="2"/>
          <w:sz w:val="32"/>
          <w:lang w:val="en-US"/>
        </w:rPr>
        <w:t>。2021年共接待国内来访团组</w:t>
      </w:r>
      <w:r>
        <w:rPr>
          <w:rFonts w:hint="eastAsia" w:ascii="仿宋_GB2312" w:hAnsi="仿宋_GB2312" w:eastAsia="仿宋_GB2312"/>
          <w:kern w:val="2"/>
          <w:sz w:val="32"/>
          <w:lang w:val="en-US" w:eastAsia="zh-CN"/>
        </w:rPr>
        <w:t>4</w:t>
      </w:r>
      <w:r>
        <w:rPr>
          <w:rFonts w:hint="eastAsia" w:ascii="仿宋_GB2312" w:hAnsi="仿宋_GB2312" w:eastAsia="仿宋_GB2312"/>
          <w:kern w:val="2"/>
          <w:sz w:val="32"/>
          <w:lang w:val="en-US"/>
        </w:rPr>
        <w:t>个、来宾</w:t>
      </w:r>
      <w:r>
        <w:rPr>
          <w:rFonts w:hint="eastAsia" w:ascii="仿宋_GB2312" w:hAnsi="仿宋_GB2312" w:eastAsia="仿宋_GB2312"/>
          <w:kern w:val="2"/>
          <w:sz w:val="32"/>
          <w:lang w:val="en-US" w:eastAsia="zh-CN"/>
        </w:rPr>
        <w:t>24</w:t>
      </w:r>
      <w:r>
        <w:rPr>
          <w:rFonts w:hint="eastAsia" w:ascii="仿宋_GB2312" w:hAnsi="仿宋_GB2312" w:eastAsia="仿宋_GB2312"/>
          <w:kern w:val="2"/>
          <w:sz w:val="32"/>
          <w:lang w:val="en-US"/>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bookmarkStart w:id="0" w:name="_GoBack"/>
      <w:bookmarkEnd w:id="0"/>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val="0"/>
        <w:autoSpaceDE w:val="0"/>
        <w:autoSpaceDN w:val="0"/>
        <w:spacing w:line="590" w:lineRule="exact"/>
        <w:ind w:firstLine="640"/>
        <w:jc w:val="both"/>
        <w:rPr>
          <w:rFonts w:hint="default" w:ascii="Times New Roman" w:hAnsi="Times New Roman" w:eastAsia="Times New Roman"/>
          <w:sz w:val="18"/>
          <w:lang w:val="zh-CN"/>
        </w:rPr>
      </w:pPr>
      <w:r>
        <w:rPr>
          <w:rFonts w:hint="eastAsia" w:ascii="仿宋_GB2312" w:hAnsi="仿宋_GB2312" w:eastAsia="仿宋_GB2312"/>
          <w:kern w:val="2"/>
          <w:sz w:val="32"/>
          <w:lang w:val="en-US"/>
        </w:rPr>
        <w:t>2021年度政府采购支出总额0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万元，其中：政府采购货物支出0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万元、政府采购工程支出0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万元、政府采购服务支出0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万元。授予中小企业合同金额0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万元,其中：授予小微企业合同金额0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val="0"/>
        <w:autoSpaceDE w:val="0"/>
        <w:autoSpaceDN w:val="0"/>
        <w:spacing w:line="590" w:lineRule="exact"/>
        <w:ind w:firstLine="640"/>
        <w:jc w:val="both"/>
        <w:rPr>
          <w:rFonts w:hint="default" w:ascii="Times New Roman" w:hAnsi="Times New Roman" w:eastAsia="Times New Roman"/>
          <w:sz w:val="18"/>
          <w:lang w:val="en-US"/>
        </w:rPr>
      </w:pPr>
      <w:r>
        <w:rPr>
          <w:rFonts w:hint="eastAsia" w:ascii="仿宋_GB2312" w:hAnsi="仿宋_GB2312" w:eastAsia="仿宋_GB2312"/>
          <w:kern w:val="2"/>
          <w:sz w:val="32"/>
          <w:lang w:val="en-US"/>
        </w:rPr>
        <w:t>2021年期末，我单位共有车辆3辆，其中：省级领导干部用车0辆、主要领导干部用车0辆、机要通信用车0辆、应急保障车0辆、执法执勤用车2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eastAsia="仿宋_GB2312"/>
          <w:kern w:val="2"/>
          <w:sz w:val="32"/>
          <w:lang w:val="en-US"/>
        </w:rPr>
        <w:t>单位</w:t>
      </w:r>
      <w:r>
        <w:rPr>
          <w:rFonts w:hint="eastAsia" w:ascii="仿宋_GB2312" w:hAnsi="仿宋_GB2312" w:eastAsia="仿宋_GB2312" w:cs="仿宋_GB2312"/>
          <w:color w:val="auto"/>
          <w:sz w:val="32"/>
          <w:szCs w:val="32"/>
          <w:highlight w:val="none"/>
          <w:lang w:val="en-US" w:eastAsia="zh-CN"/>
        </w:rPr>
        <w:t>按照《中共许昌市委 许昌市人民政府关于全面实施预算绩效管理的实施意见》（许发〔2021〕13号）文件要求，对本</w:t>
      </w:r>
      <w:r>
        <w:rPr>
          <w:rFonts w:hint="eastAsia" w:ascii="仿宋_GB2312" w:hAnsi="仿宋_GB2312" w:eastAsia="仿宋_GB2312"/>
          <w:kern w:val="2"/>
          <w:sz w:val="32"/>
          <w:lang w:val="en-US"/>
        </w:rPr>
        <w:t>单位</w:t>
      </w:r>
      <w:r>
        <w:rPr>
          <w:rFonts w:hint="eastAsia" w:ascii="仿宋_GB2312" w:hAnsi="仿宋_GB2312" w:eastAsia="仿宋_GB2312" w:cs="仿宋_GB2312"/>
          <w:color w:val="auto"/>
          <w:sz w:val="32"/>
          <w:szCs w:val="32"/>
          <w:highlight w:val="none"/>
          <w:lang w:val="en-US" w:eastAsia="zh-CN"/>
        </w:rPr>
        <w:t>整体支出和项目支出开展全过程预算绩效管理。2021年我</w:t>
      </w:r>
      <w:r>
        <w:rPr>
          <w:rFonts w:hint="eastAsia" w:ascii="仿宋_GB2312" w:hAnsi="仿宋_GB2312" w:eastAsia="仿宋_GB2312"/>
          <w:kern w:val="2"/>
          <w:sz w:val="32"/>
          <w:lang w:val="en-US"/>
        </w:rPr>
        <w:t>单位</w:t>
      </w:r>
      <w:r>
        <w:rPr>
          <w:rFonts w:hint="eastAsia" w:ascii="仿宋_GB2312" w:hAnsi="仿宋_GB2312" w:eastAsia="仿宋_GB2312" w:cs="仿宋_GB2312"/>
          <w:color w:val="auto"/>
          <w:sz w:val="32"/>
          <w:szCs w:val="32"/>
          <w:highlight w:val="none"/>
          <w:lang w:val="en-US" w:eastAsia="zh-CN"/>
        </w:rPr>
        <w:t>纳入预算绩效管理的支出总额为91.85万元，其中：基本支出88.53万元；支出项目1个，支出金额3.32万元。开展项目绩效自评项目1个，自评金额3.32万元；纳入重点绩效评价0个，评价金额0.00万元。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w:t>
      </w:r>
      <w:r>
        <w:rPr>
          <w:rFonts w:hint="eastAsia" w:ascii="仿宋_GB2312" w:hAnsi="仿宋_GB2312" w:eastAsia="仿宋_GB2312"/>
          <w:kern w:val="2"/>
          <w:sz w:val="32"/>
          <w:lang w:val="en-US"/>
        </w:rPr>
        <w:t>单位</w:t>
      </w:r>
      <w:r>
        <w:rPr>
          <w:rFonts w:hint="eastAsia" w:ascii="仿宋_GB2312" w:hAnsi="仿宋_GB2312" w:eastAsia="仿宋_GB2312" w:cs="仿宋_GB2312"/>
          <w:color w:val="auto"/>
          <w:sz w:val="32"/>
          <w:szCs w:val="32"/>
          <w:highlight w:val="none"/>
          <w:lang w:val="en-US" w:eastAsia="zh-CN"/>
        </w:rPr>
        <w:t>对本</w:t>
      </w:r>
      <w:r>
        <w:rPr>
          <w:rFonts w:hint="eastAsia" w:ascii="仿宋_GB2312" w:hAnsi="仿宋_GB2312" w:eastAsia="仿宋_GB2312"/>
          <w:kern w:val="2"/>
          <w:sz w:val="32"/>
          <w:lang w:val="en-US"/>
        </w:rPr>
        <w:t>单位</w:t>
      </w:r>
      <w:r>
        <w:rPr>
          <w:rFonts w:hint="eastAsia" w:ascii="仿宋_GB2312" w:hAnsi="仿宋_GB2312" w:eastAsia="仿宋_GB2312" w:cs="仿宋_GB2312"/>
          <w:color w:val="auto"/>
          <w:sz w:val="32"/>
          <w:szCs w:val="32"/>
          <w:highlight w:val="none"/>
          <w:lang w:val="en-US" w:eastAsia="zh-CN"/>
        </w:rPr>
        <w:t>整体绩效目标和项目支出绩效目标进行了自评。一是</w:t>
      </w:r>
      <w:r>
        <w:rPr>
          <w:rFonts w:hint="eastAsia" w:ascii="仿宋_GB2312" w:hAnsi="仿宋_GB2312" w:eastAsia="仿宋_GB2312"/>
          <w:kern w:val="2"/>
          <w:sz w:val="32"/>
          <w:lang w:val="en-US"/>
        </w:rPr>
        <w:t>单位</w:t>
      </w:r>
      <w:r>
        <w:rPr>
          <w:rFonts w:hint="eastAsia" w:ascii="仿宋_GB2312" w:hAnsi="仿宋_GB2312" w:eastAsia="仿宋_GB2312" w:cs="仿宋_GB2312"/>
          <w:color w:val="auto"/>
          <w:sz w:val="32"/>
          <w:szCs w:val="32"/>
          <w:highlight w:val="none"/>
          <w:lang w:val="en-US" w:eastAsia="zh-CN"/>
        </w:rPr>
        <w:t>整体绩效自评情况，</w:t>
      </w:r>
      <w:r>
        <w:rPr>
          <w:rFonts w:hint="eastAsia" w:ascii="仿宋_GB2312" w:hAnsi="仿宋_GB2312" w:eastAsia="仿宋_GB2312" w:cs="仿宋_GB2312"/>
          <w:sz w:val="32"/>
          <w:szCs w:val="32"/>
          <w:lang w:eastAsia="zh-CN"/>
        </w:rPr>
        <w:t>我单位本着清晰明确</w:t>
      </w:r>
      <w:r>
        <w:rPr>
          <w:rFonts w:hint="eastAsia" w:ascii="仿宋_GB2312" w:hAnsi="仿宋_GB2312" w:eastAsia="仿宋_GB2312" w:cs="仿宋_GB2312"/>
          <w:i w:val="0"/>
          <w:iCs w:val="0"/>
          <w:caps w:val="0"/>
          <w:color w:val="333333"/>
          <w:spacing w:val="0"/>
          <w:sz w:val="32"/>
          <w:szCs w:val="32"/>
          <w:shd w:val="clear" w:color="auto" w:fill="FFFFFF"/>
        </w:rPr>
        <w:t>可量化</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333333"/>
          <w:spacing w:val="0"/>
          <w:sz w:val="32"/>
          <w:szCs w:val="32"/>
          <w:shd w:val="clear" w:color="auto" w:fill="FFFFFF"/>
        </w:rPr>
        <w:t>可实现的</w:t>
      </w:r>
      <w:r>
        <w:rPr>
          <w:rFonts w:hint="eastAsia" w:ascii="仿宋_GB2312" w:hAnsi="仿宋_GB2312" w:eastAsia="仿宋_GB2312" w:cs="仿宋_GB2312"/>
          <w:i w:val="0"/>
          <w:iCs w:val="0"/>
          <w:caps w:val="0"/>
          <w:color w:val="333333"/>
          <w:spacing w:val="0"/>
          <w:sz w:val="32"/>
          <w:szCs w:val="32"/>
          <w:shd w:val="clear" w:color="auto" w:fill="FFFFFF"/>
          <w:lang w:eastAsia="zh-CN"/>
        </w:rPr>
        <w:t>原则，切实结合我单位工作实际，</w:t>
      </w:r>
      <w:r>
        <w:rPr>
          <w:rFonts w:hint="eastAsia" w:ascii="仿宋_GB2312" w:hAnsi="仿宋_GB2312" w:eastAsia="仿宋_GB2312" w:cs="仿宋_GB2312"/>
          <w:i w:val="0"/>
          <w:iCs w:val="0"/>
          <w:caps w:val="0"/>
          <w:color w:val="333333"/>
          <w:spacing w:val="0"/>
          <w:sz w:val="32"/>
          <w:szCs w:val="32"/>
          <w:shd w:val="clear" w:color="auto" w:fill="FFFFFF"/>
        </w:rPr>
        <w:t>使</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单位</w:t>
      </w:r>
      <w:r>
        <w:rPr>
          <w:rFonts w:hint="eastAsia" w:ascii="仿宋_GB2312" w:hAnsi="仿宋_GB2312" w:eastAsia="仿宋_GB2312" w:cs="仿宋_GB2312"/>
          <w:i w:val="0"/>
          <w:iCs w:val="0"/>
          <w:caps w:val="0"/>
          <w:color w:val="333333"/>
          <w:spacing w:val="0"/>
          <w:sz w:val="32"/>
          <w:szCs w:val="32"/>
          <w:shd w:val="clear" w:color="auto" w:fill="FFFFFF"/>
          <w:lang w:eastAsia="zh-CN"/>
        </w:rPr>
        <w:t>整体绩效评价指标</w:t>
      </w:r>
      <w:r>
        <w:rPr>
          <w:rFonts w:hint="eastAsia" w:ascii="仿宋_GB2312" w:hAnsi="仿宋_GB2312" w:eastAsia="仿宋_GB2312" w:cs="仿宋_GB2312"/>
          <w:i w:val="0"/>
          <w:iCs w:val="0"/>
          <w:caps w:val="0"/>
          <w:color w:val="333333"/>
          <w:spacing w:val="0"/>
          <w:sz w:val="32"/>
          <w:szCs w:val="32"/>
          <w:shd w:val="clear" w:color="auto" w:fill="FFFFFF"/>
        </w:rPr>
        <w:t>具有较强的针对性，充分体现出</w:t>
      </w:r>
      <w:r>
        <w:rPr>
          <w:rFonts w:hint="eastAsia" w:ascii="仿宋_GB2312" w:hAnsi="仿宋_GB2312" w:eastAsia="仿宋_GB2312" w:cs="仿宋_GB2312"/>
          <w:i w:val="0"/>
          <w:iCs w:val="0"/>
          <w:caps w:val="0"/>
          <w:color w:val="333333"/>
          <w:spacing w:val="0"/>
          <w:sz w:val="32"/>
          <w:szCs w:val="32"/>
          <w:shd w:val="clear" w:color="auto" w:fill="FFFFFF"/>
          <w:lang w:eastAsia="zh-CN"/>
        </w:rPr>
        <w:t>我单位的</w:t>
      </w:r>
      <w:r>
        <w:rPr>
          <w:rFonts w:hint="eastAsia" w:ascii="仿宋_GB2312" w:hAnsi="仿宋_GB2312" w:eastAsia="仿宋_GB2312" w:cs="仿宋_GB2312"/>
          <w:i w:val="0"/>
          <w:iCs w:val="0"/>
          <w:caps w:val="0"/>
          <w:color w:val="333333"/>
          <w:spacing w:val="0"/>
          <w:sz w:val="32"/>
          <w:szCs w:val="32"/>
          <w:shd w:val="clear" w:color="auto" w:fill="FFFFFF"/>
        </w:rPr>
        <w:t>工作的性质、工作内容和特点。</w:t>
      </w:r>
      <w:r>
        <w:rPr>
          <w:rFonts w:hint="eastAsia" w:ascii="仿宋_GB2312" w:hAnsi="仿宋_GB2312" w:eastAsia="仿宋_GB2312" w:cs="仿宋_GB2312"/>
          <w:i w:val="0"/>
          <w:iCs w:val="0"/>
          <w:caps w:val="0"/>
          <w:color w:val="333333"/>
          <w:spacing w:val="0"/>
          <w:sz w:val="32"/>
          <w:szCs w:val="32"/>
          <w:shd w:val="clear" w:color="auto" w:fill="FFFFFF"/>
          <w:lang w:eastAsia="zh-CN"/>
        </w:rPr>
        <w:t>根据</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绩效评价结果来看，绩效指标设定较为科学</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合理，体现了针对性和可实现性</w:t>
      </w:r>
      <w:r>
        <w:rPr>
          <w:rFonts w:hint="eastAsia" w:ascii="仿宋_GB2312" w:hAnsi="仿宋_GB2312" w:eastAsia="仿宋_GB2312" w:cs="仿宋_GB2312"/>
          <w:color w:val="auto"/>
          <w:sz w:val="32"/>
          <w:szCs w:val="32"/>
          <w:highlight w:val="none"/>
          <w:lang w:val="en-US" w:eastAsia="zh-CN"/>
        </w:rPr>
        <w:t>。二是项目绩效自评情况。我</w:t>
      </w:r>
      <w:r>
        <w:rPr>
          <w:rFonts w:hint="eastAsia" w:ascii="仿宋_GB2312" w:hAnsi="仿宋_GB2312" w:eastAsia="仿宋_GB2312"/>
          <w:kern w:val="2"/>
          <w:sz w:val="32"/>
          <w:lang w:val="en-US"/>
        </w:rPr>
        <w:t>单位</w:t>
      </w:r>
      <w:r>
        <w:rPr>
          <w:rFonts w:hint="eastAsia" w:ascii="仿宋_GB2312" w:hAnsi="仿宋_GB2312" w:eastAsia="仿宋_GB2312" w:cs="仿宋_GB2312"/>
          <w:color w:val="auto"/>
          <w:sz w:val="32"/>
          <w:szCs w:val="32"/>
          <w:highlight w:val="none"/>
          <w:lang w:val="en-US" w:eastAsia="zh-CN"/>
        </w:rPr>
        <w:t>共有1个项目批复了绩效目标，项目金额3.32万元。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hw0K0BAABL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JKzID2N6PT1y+nbj9P3z+y2tGeM2FLWY6S8PL2CicY8+5GcRfVkki9f0sMo&#10;To0+Xpurp8xUebRarlYNhRTF5gvhi6fnMWF+rcGzYnQ80fRqU+XhLeZz6pxSqgV4sM7VCbrwm4Mw&#10;i0cU7meOxcrTdroI2kJ/JD0jDb7jgTaTM/cmUF/LjsxGmo3tbOxjsruhLlGph/HlPhOJyq1UOMNe&#10;CtPEqrrLdpWV+PVes57+g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XYcNCtAQAASwMA&#10;AA4AAAAAAAAAAQAgAAAAHgEAAGRycy9lMm9Eb2MueG1sUEsFBgAAAAAGAAYAWQEAAD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7H568BAABLAwAADgAAAGRycy9lMm9Eb2MueG1srVPNThsxEL5X4h0s&#10;34mXI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lDhucUS7Xz93v//u/jyRL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b7H568BAABL&#10;AwAADgAAAAAAAAABACAAAAAeAQAAZHJzL2Uyb0RvYy54bWxQSwUGAAAAAAYABgBZAQAAP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MWFlNjMyYWZjMDU0OTE5ZTZlMzAyNDI4NTAyZmQifQ=="/>
  </w:docVars>
  <w:rsids>
    <w:rsidRoot w:val="00172A27"/>
    <w:rsid w:val="07FF5C83"/>
    <w:rsid w:val="09AE3B46"/>
    <w:rsid w:val="0B4979E7"/>
    <w:rsid w:val="0D9D7D4A"/>
    <w:rsid w:val="10737306"/>
    <w:rsid w:val="13266B55"/>
    <w:rsid w:val="13782B5E"/>
    <w:rsid w:val="147F320E"/>
    <w:rsid w:val="14B27847"/>
    <w:rsid w:val="1EBE1AC2"/>
    <w:rsid w:val="239A3729"/>
    <w:rsid w:val="25207C05"/>
    <w:rsid w:val="256A69AC"/>
    <w:rsid w:val="25B229B2"/>
    <w:rsid w:val="26276FBD"/>
    <w:rsid w:val="2D0B5263"/>
    <w:rsid w:val="2DCA76E0"/>
    <w:rsid w:val="31115046"/>
    <w:rsid w:val="32221E56"/>
    <w:rsid w:val="327350B0"/>
    <w:rsid w:val="35D70C16"/>
    <w:rsid w:val="36202B49"/>
    <w:rsid w:val="36806B3E"/>
    <w:rsid w:val="36B90A4D"/>
    <w:rsid w:val="38972E32"/>
    <w:rsid w:val="391A34F2"/>
    <w:rsid w:val="3D6015B7"/>
    <w:rsid w:val="40860A30"/>
    <w:rsid w:val="43614A2D"/>
    <w:rsid w:val="46716A9C"/>
    <w:rsid w:val="4CD95E94"/>
    <w:rsid w:val="4DC332C4"/>
    <w:rsid w:val="527124BD"/>
    <w:rsid w:val="53547E7F"/>
    <w:rsid w:val="557E4EE4"/>
    <w:rsid w:val="67405627"/>
    <w:rsid w:val="676E59C4"/>
    <w:rsid w:val="68346830"/>
    <w:rsid w:val="6F2C0ECD"/>
    <w:rsid w:val="728E210B"/>
    <w:rsid w:val="72AC3164"/>
    <w:rsid w:val="73267FD2"/>
    <w:rsid w:val="73D045EB"/>
    <w:rsid w:val="7B8C7C85"/>
    <w:rsid w:val="7C413D5D"/>
    <w:rsid w:val="7D8451E4"/>
    <w:rsid w:val="7ECC3B5E"/>
    <w:rsid w:val="7F37362D"/>
    <w:rsid w:val="7F8D3E2A"/>
    <w:rsid w:val="F6FD5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qFormat/>
    <w:uiPriority w:val="0"/>
    <w:rPr>
      <w:kern w:val="2"/>
      <w:sz w:val="18"/>
      <w:szCs w:val="18"/>
    </w:rPr>
  </w:style>
  <w:style w:type="character" w:customStyle="1" w:styleId="10">
    <w:name w:val="页脚 Char Char"/>
    <w:link w:val="3"/>
    <w:qFormat/>
    <w:uiPriority w:val="0"/>
    <w:rPr>
      <w:kern w:val="2"/>
      <w:sz w:val="18"/>
      <w:szCs w:val="18"/>
    </w:rPr>
  </w:style>
  <w:style w:type="character" w:customStyle="1" w:styleId="11">
    <w:name w:val="页眉 Char Char"/>
    <w:link w:val="4"/>
    <w:qFormat/>
    <w:uiPriority w:val="0"/>
    <w:rPr>
      <w:kern w:val="2"/>
      <w:sz w:val="18"/>
      <w:szCs w:val="18"/>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8188</Words>
  <Characters>9950</Characters>
  <Lines>60</Lines>
  <Paragraphs>16</Paragraphs>
  <TotalTime>38</TotalTime>
  <ScaleCrop>false</ScaleCrop>
  <LinksUpToDate>false</LinksUpToDate>
  <CharactersWithSpaces>10185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2018-07-24T18:50:00Z</cp:lastPrinted>
  <dcterms:modified xsi:type="dcterms:W3CDTF">2023-05-09T08:33:12Z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3BE1675E98CD4AFCA2A50B829E732167</vt:lpwstr>
  </property>
</Properties>
</file>