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许昌市消费者协会单位决算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许昌市消费者协会概况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许昌市消费者协会概况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spacing w:line="600" w:lineRule="exact"/>
        <w:ind w:firstLine="640" w:firstLineChars="200"/>
        <w:textAlignment w:val="baseline"/>
        <w:rPr>
          <w:rStyle w:val="13"/>
          <w:rFonts w:ascii="仿宋_GB2312" w:hAnsi="宋体" w:eastAsia="仿宋_GB2312"/>
          <w:kern w:val="0"/>
          <w:sz w:val="32"/>
          <w:szCs w:val="32"/>
        </w:rPr>
      </w:pPr>
      <w:r>
        <w:rPr>
          <w:rStyle w:val="13"/>
          <w:rFonts w:ascii="仿宋_GB2312" w:hAnsi="宋体" w:eastAsia="仿宋_GB2312"/>
          <w:kern w:val="0"/>
          <w:sz w:val="32"/>
          <w:szCs w:val="32"/>
        </w:rPr>
        <w:t>（一）向消费者提供消费信息和咨询服务，提高消费者维护自身合法权益的能力，引导文明、健康、节约资源和保护环境的消费方式；</w:t>
      </w:r>
    </w:p>
    <w:p>
      <w:pPr>
        <w:spacing w:line="600" w:lineRule="exact"/>
        <w:ind w:firstLine="640" w:firstLineChars="200"/>
        <w:textAlignment w:val="baseline"/>
        <w:rPr>
          <w:rStyle w:val="13"/>
          <w:rFonts w:ascii="仿宋_GB2312" w:hAnsi="宋体" w:eastAsia="仿宋_GB2312"/>
          <w:kern w:val="0"/>
          <w:sz w:val="32"/>
          <w:szCs w:val="32"/>
        </w:rPr>
      </w:pPr>
      <w:r>
        <w:rPr>
          <w:rStyle w:val="13"/>
          <w:rFonts w:ascii="仿宋_GB2312" w:hAnsi="宋体" w:eastAsia="仿宋_GB2312"/>
          <w:kern w:val="0"/>
          <w:sz w:val="32"/>
          <w:szCs w:val="32"/>
        </w:rPr>
        <w:t>（二）参与制定有关消费者权益的法律、法规、规章和强制性标准；</w:t>
      </w:r>
    </w:p>
    <w:p>
      <w:pPr>
        <w:spacing w:line="600" w:lineRule="exact"/>
        <w:ind w:firstLine="640" w:firstLineChars="200"/>
        <w:textAlignment w:val="baseline"/>
        <w:rPr>
          <w:rStyle w:val="13"/>
          <w:rFonts w:ascii="仿宋_GB2312" w:hAnsi="宋体" w:eastAsia="仿宋_GB2312"/>
          <w:kern w:val="0"/>
          <w:sz w:val="32"/>
          <w:szCs w:val="32"/>
        </w:rPr>
      </w:pPr>
      <w:r>
        <w:rPr>
          <w:rStyle w:val="13"/>
          <w:rFonts w:ascii="仿宋_GB2312" w:hAnsi="宋体" w:eastAsia="仿宋_GB2312"/>
          <w:kern w:val="0"/>
          <w:sz w:val="32"/>
          <w:szCs w:val="32"/>
        </w:rPr>
        <w:t>（三）参与有关行政部门对商品和服务的监督、检查；</w:t>
      </w:r>
    </w:p>
    <w:p>
      <w:pPr>
        <w:spacing w:line="600" w:lineRule="exact"/>
        <w:textAlignment w:val="baseline"/>
        <w:rPr>
          <w:rStyle w:val="13"/>
          <w:rFonts w:ascii="仿宋_GB2312" w:hAnsi="宋体" w:eastAsia="仿宋_GB2312"/>
          <w:kern w:val="0"/>
          <w:sz w:val="32"/>
          <w:szCs w:val="32"/>
        </w:rPr>
      </w:pPr>
      <w:r>
        <w:rPr>
          <w:rStyle w:val="13"/>
          <w:rFonts w:ascii="仿宋_GB2312" w:hAnsi="宋体" w:eastAsia="仿宋_GB2312"/>
          <w:kern w:val="0"/>
          <w:sz w:val="32"/>
          <w:szCs w:val="32"/>
        </w:rPr>
        <w:t>　　（四）就有关消费者合法权益的问题，向有关部门反映、查询，提出建议；</w:t>
      </w:r>
    </w:p>
    <w:p>
      <w:pPr>
        <w:spacing w:line="600" w:lineRule="exact"/>
        <w:ind w:firstLine="640" w:firstLineChars="200"/>
        <w:textAlignment w:val="baseline"/>
        <w:rPr>
          <w:rStyle w:val="13"/>
          <w:rFonts w:ascii="仿宋_GB2312" w:hAnsi="宋体" w:eastAsia="仿宋_GB2312"/>
          <w:kern w:val="0"/>
          <w:sz w:val="32"/>
          <w:szCs w:val="32"/>
        </w:rPr>
      </w:pPr>
      <w:r>
        <w:rPr>
          <w:rStyle w:val="13"/>
          <w:rFonts w:ascii="仿宋_GB2312" w:hAnsi="宋体" w:eastAsia="仿宋_GB2312"/>
          <w:kern w:val="0"/>
          <w:sz w:val="32"/>
          <w:szCs w:val="32"/>
        </w:rPr>
        <w:t>（五）受理消费者的投诉，并对投诉事项进行调查、调解；</w:t>
      </w:r>
    </w:p>
    <w:p>
      <w:pPr>
        <w:spacing w:line="600" w:lineRule="exact"/>
        <w:ind w:firstLine="640" w:firstLineChars="200"/>
        <w:textAlignment w:val="baseline"/>
        <w:rPr>
          <w:rStyle w:val="13"/>
          <w:rFonts w:ascii="仿宋_GB2312" w:hAnsi="宋体" w:eastAsia="仿宋_GB2312"/>
          <w:kern w:val="0"/>
          <w:sz w:val="32"/>
          <w:szCs w:val="32"/>
        </w:rPr>
      </w:pPr>
      <w:r>
        <w:rPr>
          <w:rStyle w:val="13"/>
          <w:rFonts w:ascii="仿宋_GB2312" w:hAnsi="宋体" w:eastAsia="仿宋_GB2312"/>
          <w:kern w:val="0"/>
          <w:sz w:val="32"/>
          <w:szCs w:val="32"/>
        </w:rPr>
        <w:t>（六）投诉事项涉及商品和服务质量问题的，可以委托具备资格的鉴定人鉴定，鉴定人应当告知鉴定意见；</w:t>
      </w:r>
    </w:p>
    <w:p>
      <w:pPr>
        <w:spacing w:line="600" w:lineRule="exact"/>
        <w:ind w:firstLine="640" w:firstLineChars="200"/>
        <w:textAlignment w:val="baseline"/>
        <w:rPr>
          <w:rStyle w:val="13"/>
          <w:rFonts w:ascii="仿宋_GB2312" w:hAnsi="宋体" w:eastAsia="仿宋_GB2312"/>
          <w:kern w:val="0"/>
          <w:sz w:val="32"/>
          <w:szCs w:val="32"/>
        </w:rPr>
      </w:pPr>
      <w:r>
        <w:rPr>
          <w:rStyle w:val="13"/>
          <w:rFonts w:ascii="仿宋_GB2312" w:hAnsi="宋体" w:eastAsia="仿宋_GB2312"/>
          <w:kern w:val="0"/>
          <w:sz w:val="32"/>
          <w:szCs w:val="32"/>
        </w:rPr>
        <w:t>（七）就损害消费者合法权益的行为，支持受损害的消费者提起诉讼或者依照本法提起诉讼；</w:t>
      </w:r>
    </w:p>
    <w:p>
      <w:pPr>
        <w:spacing w:line="600" w:lineRule="exact"/>
        <w:ind w:firstLine="640" w:firstLineChars="200"/>
        <w:textAlignment w:val="baseline"/>
        <w:rPr>
          <w:rStyle w:val="13"/>
          <w:rFonts w:ascii="仿宋_GB2312" w:hAnsi="宋体" w:eastAsia="仿宋_GB2312"/>
          <w:kern w:val="0"/>
          <w:sz w:val="32"/>
          <w:szCs w:val="32"/>
        </w:rPr>
      </w:pPr>
      <w:r>
        <w:rPr>
          <w:rStyle w:val="13"/>
          <w:rFonts w:ascii="仿宋_GB2312" w:hAnsi="宋体" w:eastAsia="仿宋_GB2312"/>
          <w:kern w:val="0"/>
          <w:sz w:val="32"/>
          <w:szCs w:val="32"/>
        </w:rPr>
        <w:t>（八）对损害消费者合法权益的行为，通过大众传播媒介予以揭露、批评。</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760" w:lineRule="exact"/>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许昌市消费者协会内设</w:t>
      </w:r>
      <w:r>
        <w:rPr>
          <w:rFonts w:hint="eastAsia" w:ascii="仿宋_GB2312" w:hAnsi="仿宋_GB2312" w:eastAsia="仿宋_GB2312" w:cs="仿宋_GB2312"/>
          <w:kern w:val="0"/>
          <w:sz w:val="32"/>
          <w:szCs w:val="32"/>
        </w:rPr>
        <w:t>机构</w:t>
      </w:r>
      <w:r>
        <w:rPr>
          <w:rFonts w:hint="eastAsia" w:ascii="仿宋_GB2312" w:hAnsi="仿宋_GB2312" w:eastAsia="仿宋_GB2312" w:cs="仿宋_GB2312"/>
          <w:sz w:val="32"/>
          <w:szCs w:val="32"/>
        </w:rPr>
        <w:t>1个，</w:t>
      </w:r>
      <w:r>
        <w:rPr>
          <w:rFonts w:hint="eastAsia" w:ascii="仿宋_GB2312" w:hAnsi="仿宋_GB2312" w:eastAsia="仿宋_GB2312" w:cs="仿宋_GB2312"/>
          <w:kern w:val="0"/>
          <w:sz w:val="32"/>
          <w:szCs w:val="32"/>
        </w:rPr>
        <w:t>包括：</w:t>
      </w:r>
      <w:r>
        <w:rPr>
          <w:rFonts w:hint="eastAsia" w:ascii="仿宋_GB2312" w:hAnsi="仿宋_GB2312" w:eastAsia="仿宋_GB2312" w:cs="仿宋_GB2312"/>
          <w:sz w:val="32"/>
          <w:szCs w:val="32"/>
        </w:rPr>
        <w:t>办公室。</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sz w:val="32"/>
          <w:szCs w:val="32"/>
        </w:rPr>
        <w:t>许昌市消费者协会</w:t>
      </w:r>
      <w:r>
        <w:rPr>
          <w:rFonts w:hint="eastAsia" w:ascii="仿宋_GB2312" w:hAnsi="仿宋_GB2312" w:eastAsia="仿宋_GB2312" w:cs="仿宋_GB2312"/>
          <w:kern w:val="0"/>
          <w:sz w:val="32"/>
          <w:szCs w:val="32"/>
        </w:rPr>
        <w:t>单位决算包括：本级决算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纳入本单位2021年度单位决算编制范围的单位共1个，具体是：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1.许昌市消费者协会</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tbl>
      <w:tblPr>
        <w:tblStyle w:val="5"/>
        <w:tblW w:w="13470" w:type="dxa"/>
        <w:tblInd w:w="93" w:type="dxa"/>
        <w:tblLayout w:type="autofit"/>
        <w:tblCellMar>
          <w:top w:w="0" w:type="dxa"/>
          <w:left w:w="108" w:type="dxa"/>
          <w:bottom w:w="0" w:type="dxa"/>
          <w:right w:w="108" w:type="dxa"/>
        </w:tblCellMar>
      </w:tblPr>
      <w:tblGrid>
        <w:gridCol w:w="4552"/>
        <w:gridCol w:w="799"/>
        <w:gridCol w:w="1067"/>
        <w:gridCol w:w="4284"/>
        <w:gridCol w:w="799"/>
        <w:gridCol w:w="1969"/>
      </w:tblGrid>
      <w:tr>
        <w:tblPrEx>
          <w:tblCellMar>
            <w:top w:w="0" w:type="dxa"/>
            <w:left w:w="108" w:type="dxa"/>
            <w:bottom w:w="0" w:type="dxa"/>
            <w:right w:w="108" w:type="dxa"/>
          </w:tblCellMar>
        </w:tblPrEx>
        <w:trPr>
          <w:trHeight w:val="390" w:hRule="atLeast"/>
        </w:trPr>
        <w:tc>
          <w:tcPr>
            <w:tcW w:w="13470"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trHeight w:val="328" w:hRule="atLeast"/>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0"/>
                <w:szCs w:val="20"/>
                <w:highlight w:val="yellow"/>
              </w:rPr>
            </w:pPr>
            <w:r>
              <w:rPr>
                <w:rFonts w:hint="eastAsia" w:ascii="宋体" w:hAnsi="宋体" w:cs="宋体"/>
                <w:color w:val="000000"/>
                <w:kern w:val="0"/>
                <w:sz w:val="20"/>
                <w:szCs w:val="20"/>
                <w:highlight w:val="none"/>
                <w:shd w:val="clear"/>
              </w:rPr>
              <w:t>单位：许</w:t>
            </w:r>
            <w:r>
              <w:rPr>
                <w:rFonts w:hint="eastAsia" w:ascii="宋体" w:hAnsi="宋体" w:cs="宋体"/>
                <w:color w:val="000000"/>
                <w:kern w:val="0"/>
                <w:sz w:val="20"/>
                <w:szCs w:val="20"/>
              </w:rPr>
              <w:t>昌市消费者协会</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126.90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134.44</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126.90</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147.49</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20.60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147.49</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147.49</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highlight w:val="none"/>
              </w:rPr>
              <w:t>单位</w:t>
            </w:r>
            <w:r>
              <w:rPr>
                <w:rFonts w:hint="eastAsia" w:ascii="宋体" w:hAnsi="宋体" w:cs="宋体"/>
                <w:color w:val="000000"/>
                <w:kern w:val="0"/>
                <w:sz w:val="22"/>
              </w:rPr>
              <w:t>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W w:w="13680" w:type="dxa"/>
        <w:tblInd w:w="93" w:type="dxa"/>
        <w:tblLayout w:type="autofit"/>
        <w:tblCellMar>
          <w:top w:w="0" w:type="dxa"/>
          <w:left w:w="108" w:type="dxa"/>
          <w:bottom w:w="0" w:type="dxa"/>
          <w:right w:w="108" w:type="dxa"/>
        </w:tblCellMar>
      </w:tblPr>
      <w:tblGrid>
        <w:gridCol w:w="2416"/>
        <w:gridCol w:w="222"/>
        <w:gridCol w:w="222"/>
        <w:gridCol w:w="3956"/>
        <w:gridCol w:w="1256"/>
        <w:gridCol w:w="1261"/>
        <w:gridCol w:w="682"/>
        <w:gridCol w:w="678"/>
        <w:gridCol w:w="682"/>
        <w:gridCol w:w="694"/>
        <w:gridCol w:w="1616"/>
      </w:tblGrid>
      <w:tr>
        <w:tblPrEx>
          <w:tblCellMar>
            <w:top w:w="0" w:type="dxa"/>
            <w:left w:w="108" w:type="dxa"/>
            <w:bottom w:w="0" w:type="dxa"/>
            <w:right w:w="108" w:type="dxa"/>
          </w:tblCellMar>
        </w:tblPrEx>
        <w:trPr>
          <w:trHeight w:val="390" w:hRule="atLeast"/>
        </w:trPr>
        <w:tc>
          <w:tcPr>
            <w:tcW w:w="13680" w:type="dxa"/>
            <w:gridSpan w:val="11"/>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highlight w:val="none"/>
              </w:rPr>
              <w:t>单位：</w:t>
            </w:r>
            <w:r>
              <w:rPr>
                <w:rFonts w:hint="eastAsia" w:ascii="宋体" w:hAnsi="宋体" w:cs="宋体"/>
                <w:color w:val="000000"/>
                <w:kern w:val="0"/>
                <w:sz w:val="20"/>
                <w:szCs w:val="20"/>
              </w:rPr>
              <w:t>许昌市消费者协会</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47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50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111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08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111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30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4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50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1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08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1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18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30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126.90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126.90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市场监督管理事务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113.10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2013850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113.10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113.10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highlight w:val="none"/>
              </w:rPr>
              <w:t>单位</w:t>
            </w:r>
            <w:r>
              <w:rPr>
                <w:rFonts w:hint="eastAsia" w:ascii="宋体" w:hAnsi="宋体" w:cs="宋体"/>
                <w:color w:val="000000"/>
                <w:kern w:val="0"/>
                <w:sz w:val="22"/>
              </w:rPr>
              <w:t>本年度取得的各项收入情况。本表金额转换为万元时，因四舍五入可能存在尾差。</w:t>
            </w:r>
          </w:p>
        </w:tc>
      </w:tr>
    </w:tbl>
    <w:p>
      <w:pPr>
        <w:rPr>
          <w:rFonts w:ascii="仿宋_GB2312" w:hAnsi="仿宋_GB2312" w:eastAsia="仿宋_GB2312" w:cs="仿宋_GB2312"/>
          <w:sz w:val="32"/>
          <w:szCs w:val="32"/>
        </w:rPr>
      </w:pPr>
    </w:p>
    <w:tbl>
      <w:tblPr>
        <w:tblStyle w:val="5"/>
        <w:tblW w:w="13545" w:type="dxa"/>
        <w:tblInd w:w="93" w:type="dxa"/>
        <w:tblLayout w:type="autofit"/>
        <w:tblCellMar>
          <w:top w:w="0" w:type="dxa"/>
          <w:left w:w="108" w:type="dxa"/>
          <w:bottom w:w="0" w:type="dxa"/>
          <w:right w:w="108" w:type="dxa"/>
        </w:tblCellMar>
      </w:tblPr>
      <w:tblGrid>
        <w:gridCol w:w="2416"/>
        <w:gridCol w:w="222"/>
        <w:gridCol w:w="222"/>
        <w:gridCol w:w="3956"/>
        <w:gridCol w:w="1370"/>
        <w:gridCol w:w="1364"/>
        <w:gridCol w:w="786"/>
        <w:gridCol w:w="831"/>
        <w:gridCol w:w="762"/>
        <w:gridCol w:w="1616"/>
      </w:tblGrid>
      <w:tr>
        <w:tblPrEx>
          <w:tblCellMar>
            <w:top w:w="0" w:type="dxa"/>
            <w:left w:w="108" w:type="dxa"/>
            <w:bottom w:w="0" w:type="dxa"/>
            <w:right w:w="108" w:type="dxa"/>
          </w:tblCellMar>
        </w:tblPrEx>
        <w:trPr>
          <w:trHeight w:val="390" w:hRule="atLeast"/>
        </w:trPr>
        <w:tc>
          <w:tcPr>
            <w:tcW w:w="13545"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highlight w:val="none"/>
              </w:rPr>
              <w:t>单位</w:t>
            </w:r>
            <w:r>
              <w:rPr>
                <w:rFonts w:hint="eastAsia" w:ascii="宋体" w:hAnsi="宋体" w:cs="宋体"/>
                <w:color w:val="000000"/>
                <w:kern w:val="0"/>
                <w:sz w:val="20"/>
                <w:szCs w:val="20"/>
              </w:rPr>
              <w:t>：许昌市消费者协会</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54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51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30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53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118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54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54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51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30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53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8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54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147.49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147.49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134.44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134.44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市场监督管理事务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133.69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2013850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133.69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w:t>
            </w:r>
            <w:r>
              <w:rPr>
                <w:rFonts w:hint="eastAsia" w:ascii="宋体" w:hAnsi="宋体" w:cs="宋体"/>
                <w:color w:val="000000"/>
                <w:kern w:val="0"/>
                <w:sz w:val="22"/>
                <w:highlight w:val="none"/>
              </w:rPr>
              <w:t>映单位</w:t>
            </w:r>
            <w:r>
              <w:rPr>
                <w:rFonts w:hint="eastAsia" w:ascii="宋体" w:hAnsi="宋体" w:cs="宋体"/>
                <w:color w:val="000000"/>
                <w:kern w:val="0"/>
                <w:sz w:val="22"/>
              </w:rPr>
              <w:t>本年度各项支出情况。本表金额转换为万元时，因四舍五入可能存在尾差。</w:t>
            </w:r>
          </w:p>
        </w:tc>
      </w:tr>
    </w:tbl>
    <w:p>
      <w:pPr>
        <w:rPr>
          <w:rFonts w:ascii="仿宋_GB2312" w:hAnsi="仿宋_GB2312" w:eastAsia="仿宋_GB2312" w:cs="仿宋_GB2312"/>
          <w:sz w:val="32"/>
          <w:szCs w:val="32"/>
        </w:rPr>
      </w:pPr>
    </w:p>
    <w:tbl>
      <w:tblPr>
        <w:tblStyle w:val="5"/>
        <w:tblW w:w="13935" w:type="dxa"/>
        <w:tblInd w:w="93" w:type="dxa"/>
        <w:tblLayout w:type="autofit"/>
        <w:tblCellMar>
          <w:top w:w="0" w:type="dxa"/>
          <w:left w:w="108" w:type="dxa"/>
          <w:bottom w:w="0" w:type="dxa"/>
          <w:right w:w="108" w:type="dxa"/>
        </w:tblCellMar>
      </w:tblPr>
      <w:tblGrid>
        <w:gridCol w:w="3076"/>
        <w:gridCol w:w="570"/>
        <w:gridCol w:w="1095"/>
        <w:gridCol w:w="3516"/>
        <w:gridCol w:w="570"/>
        <w:gridCol w:w="876"/>
        <w:gridCol w:w="1245"/>
        <w:gridCol w:w="1371"/>
        <w:gridCol w:w="1616"/>
      </w:tblGrid>
      <w:tr>
        <w:tblPrEx>
          <w:tblCellMar>
            <w:top w:w="0" w:type="dxa"/>
            <w:left w:w="108" w:type="dxa"/>
            <w:bottom w:w="0" w:type="dxa"/>
            <w:right w:w="108" w:type="dxa"/>
          </w:tblCellMar>
        </w:tblPrEx>
        <w:trPr>
          <w:trHeight w:val="390" w:hRule="atLeast"/>
        </w:trPr>
        <w:tc>
          <w:tcPr>
            <w:tcW w:w="13935"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bookmarkStart w:id="0" w:name="_GoBack"/>
            <w:r>
              <w:rPr>
                <w:rFonts w:hint="eastAsia" w:ascii="宋体" w:hAnsi="宋体" w:cs="宋体"/>
                <w:color w:val="000000"/>
                <w:kern w:val="0"/>
                <w:sz w:val="20"/>
                <w:szCs w:val="20"/>
                <w:highlight w:val="none"/>
              </w:rPr>
              <w:t>单位：</w:t>
            </w:r>
            <w:bookmarkEnd w:id="0"/>
            <w:r>
              <w:rPr>
                <w:rFonts w:hint="eastAsia" w:ascii="宋体" w:hAnsi="宋体" w:cs="宋体"/>
                <w:color w:val="000000"/>
                <w:kern w:val="0"/>
                <w:sz w:val="20"/>
                <w:szCs w:val="20"/>
              </w:rPr>
              <w:t>许昌市消费者协会</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12" w:hRule="atLeast"/>
        </w:trPr>
        <w:tc>
          <w:tcPr>
            <w:tcW w:w="3015"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09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49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4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42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47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015"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349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4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47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126.90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134.44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134.44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126.90</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147.49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20.60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20.60</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147.49</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147.49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147.49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trPr>
        <w:tc>
          <w:tcPr>
            <w:tcW w:w="13935" w:type="dxa"/>
            <w:gridSpan w:val="9"/>
            <w:tcBorders>
              <w:top w:val="nil"/>
              <w:left w:val="nil"/>
              <w:bottom w:val="nil"/>
              <w:right w:val="nil"/>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highlight w:val="none"/>
              </w:rPr>
              <w:t>单位</w:t>
            </w:r>
            <w:r>
              <w:rPr>
                <w:rFonts w:hint="eastAsia" w:ascii="宋体" w:hAnsi="宋体" w:cs="宋体"/>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0" w:type="dxa"/>
        <w:tblInd w:w="93" w:type="dxa"/>
        <w:tblLayout w:type="autofit"/>
        <w:tblCellMar>
          <w:top w:w="0" w:type="dxa"/>
          <w:left w:w="108" w:type="dxa"/>
          <w:bottom w:w="0" w:type="dxa"/>
          <w:right w:w="108" w:type="dxa"/>
        </w:tblCellMar>
      </w:tblPr>
      <w:tblGrid>
        <w:gridCol w:w="2416"/>
        <w:gridCol w:w="222"/>
        <w:gridCol w:w="222"/>
        <w:gridCol w:w="3956"/>
        <w:gridCol w:w="2101"/>
        <w:gridCol w:w="2138"/>
        <w:gridCol w:w="2745"/>
      </w:tblGrid>
      <w:tr>
        <w:tblPrEx>
          <w:tblCellMar>
            <w:top w:w="0" w:type="dxa"/>
            <w:left w:w="108" w:type="dxa"/>
            <w:bottom w:w="0" w:type="dxa"/>
            <w:right w:w="108" w:type="dxa"/>
          </w:tblCellMar>
        </w:tblPrEx>
        <w:trPr>
          <w:trHeight w:val="390" w:hRule="atLeast"/>
        </w:trPr>
        <w:tc>
          <w:tcPr>
            <w:tcW w:w="13800"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highlight w:val="none"/>
              </w:rPr>
              <w:t>单位</w:t>
            </w:r>
            <w:r>
              <w:rPr>
                <w:rFonts w:hint="eastAsia" w:ascii="宋体" w:hAnsi="宋体" w:cs="宋体"/>
                <w:color w:val="000000"/>
                <w:kern w:val="0"/>
                <w:sz w:val="20"/>
                <w:szCs w:val="20"/>
              </w:rPr>
              <w:t>：许昌市消费者协会</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8355"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67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94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74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67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94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74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67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94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74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147.49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147.49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134.44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134.44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市场监督管理事务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133.69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2013850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133.69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highlight w:val="none"/>
              </w:rPr>
              <w:t>单位</w:t>
            </w:r>
            <w:r>
              <w:rPr>
                <w:rFonts w:hint="eastAsia" w:ascii="宋体" w:hAnsi="宋体" w:cs="宋体"/>
                <w:color w:val="000000"/>
                <w:kern w:val="0"/>
                <w:sz w:val="22"/>
              </w:rPr>
              <w:t>本年度一般公共预算财政拨款支出情况。本套报表金额单位转换时可能存在尾数误差。</w:t>
            </w:r>
          </w:p>
        </w:tc>
      </w:tr>
    </w:tbl>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tbl>
      <w:tblPr>
        <w:tblStyle w:val="5"/>
        <w:tblW w:w="13782" w:type="dxa"/>
        <w:tblInd w:w="93" w:type="dxa"/>
        <w:tblLayout w:type="fixed"/>
        <w:tblCellMar>
          <w:top w:w="0" w:type="dxa"/>
          <w:left w:w="108" w:type="dxa"/>
          <w:bottom w:w="0" w:type="dxa"/>
          <w:right w:w="108" w:type="dxa"/>
        </w:tblCellMar>
      </w:tblPr>
      <w:tblGrid>
        <w:gridCol w:w="1017"/>
        <w:gridCol w:w="2475"/>
        <w:gridCol w:w="1245"/>
        <w:gridCol w:w="1005"/>
        <w:gridCol w:w="2490"/>
        <w:gridCol w:w="930"/>
        <w:gridCol w:w="846"/>
        <w:gridCol w:w="2544"/>
        <w:gridCol w:w="1230"/>
      </w:tblGrid>
      <w:tr>
        <w:trPr>
          <w:trHeight w:val="639" w:hRule="atLeast"/>
        </w:trPr>
        <w:tc>
          <w:tcPr>
            <w:tcW w:w="13782"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1017" w:type="dxa"/>
            <w:tcBorders>
              <w:top w:val="nil"/>
              <w:left w:val="nil"/>
              <w:bottom w:val="nil"/>
              <w:right w:val="nil"/>
            </w:tcBorders>
            <w:noWrap/>
            <w:vAlign w:val="bottom"/>
          </w:tcPr>
          <w:p>
            <w:pPr>
              <w:rPr>
                <w:rFonts w:ascii="Arial" w:hAnsi="Arial" w:cs="Arial"/>
                <w:color w:val="000000"/>
                <w:sz w:val="20"/>
                <w:szCs w:val="20"/>
              </w:rPr>
            </w:pPr>
          </w:p>
        </w:tc>
        <w:tc>
          <w:tcPr>
            <w:tcW w:w="2475" w:type="dxa"/>
            <w:tcBorders>
              <w:top w:val="nil"/>
              <w:left w:val="nil"/>
              <w:bottom w:val="nil"/>
              <w:right w:val="nil"/>
            </w:tcBorders>
            <w:noWrap/>
            <w:vAlign w:val="bottom"/>
          </w:tcPr>
          <w:p>
            <w:pPr>
              <w:rPr>
                <w:rFonts w:ascii="Arial" w:hAnsi="Arial" w:cs="Arial"/>
                <w:color w:val="000000"/>
                <w:sz w:val="20"/>
                <w:szCs w:val="20"/>
              </w:rPr>
            </w:pPr>
          </w:p>
        </w:tc>
        <w:tc>
          <w:tcPr>
            <w:tcW w:w="1245" w:type="dxa"/>
            <w:tcBorders>
              <w:top w:val="nil"/>
              <w:left w:val="nil"/>
              <w:bottom w:val="nil"/>
              <w:right w:val="nil"/>
            </w:tcBorders>
            <w:noWrap/>
            <w:vAlign w:val="bottom"/>
          </w:tcPr>
          <w:p>
            <w:pPr>
              <w:rPr>
                <w:rFonts w:ascii="Arial" w:hAnsi="Arial" w:cs="Arial"/>
                <w:color w:val="000000"/>
                <w:sz w:val="20"/>
                <w:szCs w:val="20"/>
              </w:rPr>
            </w:pPr>
          </w:p>
        </w:tc>
        <w:tc>
          <w:tcPr>
            <w:tcW w:w="1005" w:type="dxa"/>
            <w:tcBorders>
              <w:top w:val="nil"/>
              <w:left w:val="nil"/>
              <w:bottom w:val="nil"/>
              <w:right w:val="nil"/>
            </w:tcBorders>
            <w:noWrap/>
            <w:vAlign w:val="bottom"/>
          </w:tcPr>
          <w:p>
            <w:pPr>
              <w:rPr>
                <w:rFonts w:ascii="Arial" w:hAnsi="Arial" w:cs="Arial"/>
                <w:color w:val="000000"/>
                <w:sz w:val="20"/>
                <w:szCs w:val="20"/>
              </w:rPr>
            </w:pPr>
          </w:p>
        </w:tc>
        <w:tc>
          <w:tcPr>
            <w:tcW w:w="2490" w:type="dxa"/>
            <w:tcBorders>
              <w:top w:val="nil"/>
              <w:left w:val="nil"/>
              <w:bottom w:val="nil"/>
              <w:right w:val="nil"/>
            </w:tcBorders>
            <w:noWrap/>
            <w:vAlign w:val="bottom"/>
          </w:tcPr>
          <w:p>
            <w:pPr>
              <w:rPr>
                <w:rFonts w:ascii="Arial" w:hAnsi="Arial" w:cs="Arial"/>
                <w:color w:val="000000"/>
                <w:sz w:val="20"/>
                <w:szCs w:val="20"/>
              </w:rPr>
            </w:pPr>
          </w:p>
        </w:tc>
        <w:tc>
          <w:tcPr>
            <w:tcW w:w="930" w:type="dxa"/>
            <w:tcBorders>
              <w:top w:val="nil"/>
              <w:left w:val="nil"/>
              <w:bottom w:val="nil"/>
              <w:right w:val="nil"/>
            </w:tcBorders>
            <w:noWrap/>
            <w:vAlign w:val="bottom"/>
          </w:tcPr>
          <w:p>
            <w:pPr>
              <w:rPr>
                <w:rFonts w:ascii="Arial" w:hAnsi="Arial" w:cs="Arial"/>
                <w:color w:val="000000"/>
                <w:sz w:val="20"/>
                <w:szCs w:val="20"/>
              </w:rPr>
            </w:pPr>
          </w:p>
        </w:tc>
        <w:tc>
          <w:tcPr>
            <w:tcW w:w="846" w:type="dxa"/>
            <w:tcBorders>
              <w:top w:val="nil"/>
              <w:left w:val="nil"/>
              <w:bottom w:val="nil"/>
              <w:right w:val="nil"/>
            </w:tcBorders>
            <w:noWrap/>
            <w:vAlign w:val="bottom"/>
          </w:tcPr>
          <w:p>
            <w:pPr>
              <w:rPr>
                <w:rFonts w:ascii="Arial" w:hAnsi="Arial" w:cs="Arial"/>
                <w:color w:val="000000"/>
                <w:sz w:val="20"/>
                <w:szCs w:val="20"/>
              </w:rPr>
            </w:pPr>
          </w:p>
        </w:tc>
        <w:tc>
          <w:tcPr>
            <w:tcW w:w="2544" w:type="dxa"/>
            <w:tcBorders>
              <w:top w:val="nil"/>
              <w:left w:val="nil"/>
              <w:bottom w:val="nil"/>
              <w:right w:val="nil"/>
            </w:tcBorders>
            <w:noWrap/>
            <w:vAlign w:val="bottom"/>
          </w:tcPr>
          <w:p>
            <w:pPr>
              <w:rPr>
                <w:rFonts w:ascii="Arial" w:hAnsi="Arial" w:cs="Arial"/>
                <w:color w:val="000000"/>
                <w:sz w:val="20"/>
                <w:szCs w:val="20"/>
              </w:rPr>
            </w:pPr>
          </w:p>
        </w:tc>
        <w:tc>
          <w:tcPr>
            <w:tcW w:w="1230"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trHeight w:val="255" w:hRule="atLeast"/>
        </w:trPr>
        <w:tc>
          <w:tcPr>
            <w:tcW w:w="3492" w:type="dxa"/>
            <w:gridSpan w:val="2"/>
            <w:tcBorders>
              <w:top w:val="nil"/>
              <w:left w:val="nil"/>
              <w:bottom w:val="nil"/>
              <w:right w:val="nil"/>
            </w:tcBorders>
            <w:noWrap/>
            <w:vAlign w:val="bottom"/>
          </w:tcPr>
          <w:p>
            <w:pPr>
              <w:rPr>
                <w:rFonts w:ascii="Arial" w:hAnsi="Arial" w:cs="Arial"/>
                <w:color w:val="000000"/>
                <w:sz w:val="20"/>
                <w:szCs w:val="20"/>
              </w:rPr>
            </w:pPr>
            <w:r>
              <w:rPr>
                <w:rFonts w:hint="eastAsia" w:ascii="宋体" w:hAnsi="宋体" w:cs="宋体"/>
                <w:color w:val="000000"/>
                <w:kern w:val="0"/>
                <w:sz w:val="20"/>
                <w:szCs w:val="20"/>
                <w:highlight w:val="none"/>
              </w:rPr>
              <w:t>单位</w:t>
            </w:r>
            <w:r>
              <w:rPr>
                <w:rFonts w:hint="eastAsia" w:ascii="宋体" w:hAnsi="宋体" w:cs="宋体"/>
                <w:color w:val="000000"/>
                <w:kern w:val="0"/>
                <w:sz w:val="20"/>
                <w:szCs w:val="20"/>
              </w:rPr>
              <w:t>：许昌市消费者协会</w:t>
            </w:r>
          </w:p>
        </w:tc>
        <w:tc>
          <w:tcPr>
            <w:tcW w:w="1245" w:type="dxa"/>
            <w:tcBorders>
              <w:top w:val="nil"/>
              <w:left w:val="nil"/>
              <w:bottom w:val="nil"/>
              <w:right w:val="nil"/>
            </w:tcBorders>
            <w:noWrap/>
            <w:vAlign w:val="bottom"/>
          </w:tcPr>
          <w:p>
            <w:pPr>
              <w:rPr>
                <w:rFonts w:ascii="Arial" w:hAnsi="Arial" w:cs="Arial"/>
                <w:color w:val="000000"/>
                <w:sz w:val="20"/>
                <w:szCs w:val="20"/>
              </w:rPr>
            </w:pPr>
          </w:p>
        </w:tc>
        <w:tc>
          <w:tcPr>
            <w:tcW w:w="1005" w:type="dxa"/>
            <w:tcBorders>
              <w:top w:val="nil"/>
              <w:left w:val="nil"/>
              <w:bottom w:val="nil"/>
              <w:right w:val="nil"/>
            </w:tcBorders>
            <w:noWrap/>
            <w:vAlign w:val="bottom"/>
          </w:tcPr>
          <w:p>
            <w:pPr>
              <w:rPr>
                <w:rFonts w:ascii="Arial" w:hAnsi="Arial" w:cs="Arial"/>
                <w:color w:val="000000"/>
                <w:sz w:val="20"/>
                <w:szCs w:val="20"/>
              </w:rPr>
            </w:pPr>
          </w:p>
        </w:tc>
        <w:tc>
          <w:tcPr>
            <w:tcW w:w="2490" w:type="dxa"/>
            <w:tcBorders>
              <w:top w:val="nil"/>
              <w:left w:val="nil"/>
              <w:bottom w:val="nil"/>
              <w:right w:val="nil"/>
            </w:tcBorders>
            <w:noWrap/>
            <w:vAlign w:val="bottom"/>
          </w:tcPr>
          <w:p>
            <w:pPr>
              <w:rPr>
                <w:rFonts w:ascii="Arial" w:hAnsi="Arial" w:cs="Arial"/>
                <w:color w:val="000000"/>
                <w:sz w:val="20"/>
                <w:szCs w:val="20"/>
              </w:rPr>
            </w:pPr>
          </w:p>
        </w:tc>
        <w:tc>
          <w:tcPr>
            <w:tcW w:w="930" w:type="dxa"/>
            <w:tcBorders>
              <w:top w:val="nil"/>
              <w:left w:val="nil"/>
              <w:bottom w:val="nil"/>
              <w:right w:val="nil"/>
            </w:tcBorders>
            <w:noWrap/>
            <w:vAlign w:val="bottom"/>
          </w:tcPr>
          <w:p>
            <w:pPr>
              <w:rPr>
                <w:rFonts w:ascii="Arial" w:hAnsi="Arial" w:cs="Arial"/>
                <w:color w:val="000000"/>
                <w:sz w:val="20"/>
                <w:szCs w:val="20"/>
              </w:rPr>
            </w:pPr>
          </w:p>
        </w:tc>
        <w:tc>
          <w:tcPr>
            <w:tcW w:w="846" w:type="dxa"/>
            <w:tcBorders>
              <w:top w:val="nil"/>
              <w:left w:val="nil"/>
              <w:bottom w:val="nil"/>
              <w:right w:val="nil"/>
            </w:tcBorders>
            <w:noWrap/>
            <w:vAlign w:val="bottom"/>
          </w:tcPr>
          <w:p>
            <w:pPr>
              <w:rPr>
                <w:rFonts w:ascii="Arial" w:hAnsi="Arial" w:cs="Arial"/>
                <w:color w:val="000000"/>
                <w:sz w:val="20"/>
                <w:szCs w:val="20"/>
              </w:rPr>
            </w:pPr>
          </w:p>
        </w:tc>
        <w:tc>
          <w:tcPr>
            <w:tcW w:w="2544" w:type="dxa"/>
            <w:tcBorders>
              <w:top w:val="nil"/>
              <w:left w:val="nil"/>
              <w:bottom w:val="nil"/>
              <w:right w:val="nil"/>
            </w:tcBorders>
            <w:noWrap/>
            <w:vAlign w:val="bottom"/>
          </w:tcPr>
          <w:p>
            <w:pPr>
              <w:rPr>
                <w:rFonts w:ascii="Arial" w:hAnsi="Arial" w:cs="Arial"/>
                <w:color w:val="000000"/>
                <w:sz w:val="20"/>
                <w:szCs w:val="20"/>
              </w:rPr>
            </w:pPr>
          </w:p>
        </w:tc>
        <w:tc>
          <w:tcPr>
            <w:tcW w:w="1230"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737"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9045"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1017"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47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4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100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4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3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84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54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3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12" w:hRule="atLeast"/>
        </w:trPr>
        <w:tc>
          <w:tcPr>
            <w:tcW w:w="101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247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24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0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49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846"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544"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12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144.28</w:t>
            </w: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3.21</w:t>
            </w: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12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38.33</w:t>
            </w: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0.98</w:t>
            </w: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12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47.30</w:t>
            </w: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0.80</w:t>
            </w: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12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15.67</w:t>
            </w: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12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21.33</w:t>
            </w: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00"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2475" w:type="dxa"/>
            <w:tcBorders>
              <w:top w:val="nil"/>
              <w:left w:val="nil"/>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机关事业单位基本养老保险缴费</w:t>
            </w:r>
          </w:p>
        </w:tc>
        <w:tc>
          <w:tcPr>
            <w:tcW w:w="12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8.75</w:t>
            </w: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职工基本医疗保险缴费</w:t>
            </w:r>
          </w:p>
        </w:tc>
        <w:tc>
          <w:tcPr>
            <w:tcW w:w="12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4.30</w:t>
            </w: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公务员医疗补助缴费</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12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0.41</w:t>
            </w: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12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8.18</w:t>
            </w: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因公出国（境）费用</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2544" w:type="dxa"/>
            <w:tcBorders>
              <w:top w:val="nil"/>
              <w:left w:val="nil"/>
              <w:bottom w:val="single" w:color="000000" w:sz="4" w:space="0"/>
              <w:right w:val="single" w:color="000000" w:sz="4" w:space="0"/>
            </w:tcBorders>
            <w:noWrap/>
            <w:vAlign w:val="center"/>
          </w:tcPr>
          <w:p>
            <w:pPr>
              <w:widowControl/>
              <w:ind w:firstLine="220" w:firstLineChars="100"/>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0.75</w:t>
            </w: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780"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9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0.68</w:t>
            </w: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2544" w:type="dxa"/>
            <w:tcBorders>
              <w:top w:val="nil"/>
              <w:left w:val="nil"/>
              <w:bottom w:val="single" w:color="000000" w:sz="4" w:space="0"/>
              <w:right w:val="single" w:color="000000" w:sz="4" w:space="0"/>
            </w:tcBorders>
            <w:noWrap w:val="0"/>
            <w:vAlign w:val="center"/>
          </w:tcPr>
          <w:p>
            <w:pPr>
              <w:widowControl/>
              <w:ind w:left="220" w:hanging="220" w:hangingChars="100"/>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公务用车运行维护费</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254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54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247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54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017"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475"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24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005"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249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其他商品和服务支出</w:t>
            </w:r>
          </w:p>
        </w:tc>
        <w:tc>
          <w:tcPr>
            <w:tcW w:w="9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6"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54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492"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12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144.28</w:t>
            </w:r>
          </w:p>
        </w:tc>
        <w:tc>
          <w:tcPr>
            <w:tcW w:w="7815" w:type="dxa"/>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3.21</w:t>
            </w:r>
          </w:p>
        </w:tc>
      </w:tr>
      <w:tr>
        <w:tblPrEx>
          <w:tblCellMar>
            <w:top w:w="0" w:type="dxa"/>
            <w:left w:w="108" w:type="dxa"/>
            <w:bottom w:w="0" w:type="dxa"/>
            <w:right w:w="108" w:type="dxa"/>
          </w:tblCellMar>
        </w:tblPrEx>
        <w:trPr>
          <w:trHeight w:val="308" w:hRule="atLeast"/>
        </w:trPr>
        <w:tc>
          <w:tcPr>
            <w:tcW w:w="13782" w:type="dxa"/>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highlight w:val="none"/>
              </w:rPr>
              <w:t>单位</w:t>
            </w:r>
            <w:r>
              <w:rPr>
                <w:rFonts w:hint="eastAsia" w:ascii="宋体" w:hAnsi="宋体" w:cs="宋体"/>
                <w:color w:val="000000"/>
                <w:kern w:val="0"/>
                <w:sz w:val="22"/>
              </w:rPr>
              <w:t>本年度一般公共预算财政拨款基本支出明细情况。本表金额转换为万元时，因四舍五入可能存在尾差。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tbl>
      <w:tblPr>
        <w:tblStyle w:val="5"/>
        <w:tblW w:w="13725" w:type="dxa"/>
        <w:tblInd w:w="93" w:type="dxa"/>
        <w:tblLayout w:type="autofit"/>
        <w:tblCellMar>
          <w:top w:w="0" w:type="dxa"/>
          <w:left w:w="108" w:type="dxa"/>
          <w:bottom w:w="0" w:type="dxa"/>
          <w:right w:w="108" w:type="dxa"/>
        </w:tblCellMar>
      </w:tblPr>
      <w:tblGrid>
        <w:gridCol w:w="2416"/>
        <w:gridCol w:w="1155"/>
        <w:gridCol w:w="890"/>
        <w:gridCol w:w="903"/>
        <w:gridCol w:w="931"/>
        <w:gridCol w:w="964"/>
        <w:gridCol w:w="880"/>
        <w:gridCol w:w="1215"/>
        <w:gridCol w:w="861"/>
        <w:gridCol w:w="921"/>
        <w:gridCol w:w="973"/>
        <w:gridCol w:w="1616"/>
      </w:tblGrid>
      <w:tr>
        <w:tblPrEx>
          <w:tblCellMar>
            <w:top w:w="0" w:type="dxa"/>
            <w:left w:w="108" w:type="dxa"/>
            <w:bottom w:w="0" w:type="dxa"/>
            <w:right w:w="108" w:type="dxa"/>
          </w:tblCellMar>
        </w:tblPrEx>
        <w:trPr>
          <w:trHeight w:val="540" w:hRule="atLeast"/>
        </w:trPr>
        <w:tc>
          <w:tcPr>
            <w:tcW w:w="13725" w:type="dxa"/>
            <w:gridSpan w:val="12"/>
            <w:tcBorders>
              <w:top w:val="nil"/>
              <w:left w:val="nil"/>
              <w:bottom w:val="nil"/>
              <w:right w:val="nil"/>
            </w:tcBorders>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一般公共预算财政拨款“三公”经费支出决算表</w:t>
            </w:r>
          </w:p>
        </w:tc>
      </w:tr>
      <w:tr>
        <w:tblPrEx>
          <w:tblCellMar>
            <w:top w:w="0" w:type="dxa"/>
            <w:left w:w="108" w:type="dxa"/>
            <w:bottom w:w="0" w:type="dxa"/>
            <w:right w:w="108" w:type="dxa"/>
          </w:tblCellMar>
        </w:tblPrEx>
        <w:trPr>
          <w:trHeight w:val="266"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highlight w:val="none"/>
              </w:rPr>
            </w:pPr>
            <w:r>
              <w:rPr>
                <w:rFonts w:hint="eastAsia" w:ascii="宋体" w:hAnsi="宋体" w:cs="宋体"/>
                <w:color w:val="000000"/>
                <w:kern w:val="0"/>
                <w:sz w:val="20"/>
                <w:szCs w:val="20"/>
                <w:highlight w:val="none"/>
              </w:rPr>
              <w:t>单位：许昌市消费者协会</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70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7020"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5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285"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27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100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1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390"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4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615"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3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08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1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27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00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215"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94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30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410"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5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03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08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7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27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00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21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94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4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305"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410" w:type="dxa"/>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15" w:hRule="atLeast"/>
        </w:trPr>
        <w:tc>
          <w:tcPr>
            <w:tcW w:w="13725" w:type="dxa"/>
            <w:gridSpan w:val="12"/>
            <w:tcBorders>
              <w:top w:val="nil"/>
              <w:left w:val="nil"/>
              <w:bottom w:val="nil"/>
              <w:right w:val="nil"/>
            </w:tcBorders>
            <w:noWrap w:val="0"/>
            <w:vAlign w:val="center"/>
          </w:tcPr>
          <w:p>
            <w:pPr>
              <w:widowControl/>
              <w:jc w:val="left"/>
              <w:textAlignment w:val="center"/>
              <w:rPr>
                <w:rFonts w:ascii="宋体" w:hAnsi="宋体" w:cs="宋体"/>
                <w:color w:val="000000"/>
                <w:sz w:val="22"/>
                <w:highlight w:val="none"/>
              </w:rPr>
            </w:pPr>
            <w:r>
              <w:rPr>
                <w:rFonts w:hint="eastAsia" w:ascii="宋体" w:hAnsi="宋体" w:cs="宋体"/>
                <w:color w:val="000000"/>
                <w:kern w:val="0"/>
                <w:sz w:val="22"/>
                <w:highlight w:val="none"/>
              </w:rPr>
              <w:t>注：本表反映</w:t>
            </w:r>
            <w:r>
              <w:rPr>
                <w:rFonts w:hint="eastAsia" w:ascii="宋体" w:hAnsi="宋体" w:cs="宋体"/>
                <w:color w:val="000000"/>
                <w:kern w:val="0"/>
                <w:sz w:val="22"/>
                <w:highlight w:val="none"/>
              </w:rPr>
              <w:t>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说明：我单位没有预算安排的三公经费,也没有预算安排的三公支出，故本表无数据。</w:t>
      </w: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p>
      <w:pPr>
        <w:widowControl/>
        <w:spacing w:line="590" w:lineRule="exact"/>
        <w:jc w:val="left"/>
        <w:rPr>
          <w:rFonts w:ascii="仿宋_GB2312" w:hAnsi="仿宋_GB2312" w:eastAsia="仿宋_GB2312" w:cs="仿宋_GB2312"/>
          <w:sz w:val="32"/>
          <w:szCs w:val="32"/>
        </w:rPr>
      </w:pPr>
    </w:p>
    <w:tbl>
      <w:tblPr>
        <w:tblStyle w:val="5"/>
        <w:tblW w:w="13530" w:type="dxa"/>
        <w:tblInd w:w="93" w:type="dxa"/>
        <w:tblLayout w:type="autofit"/>
        <w:tblCellMar>
          <w:top w:w="0" w:type="dxa"/>
          <w:left w:w="108" w:type="dxa"/>
          <w:bottom w:w="0" w:type="dxa"/>
          <w:right w:w="108" w:type="dxa"/>
        </w:tblCellMar>
      </w:tblPr>
      <w:tblGrid>
        <w:gridCol w:w="3242"/>
        <w:gridCol w:w="298"/>
        <w:gridCol w:w="298"/>
        <w:gridCol w:w="1471"/>
        <w:gridCol w:w="1204"/>
        <w:gridCol w:w="1068"/>
        <w:gridCol w:w="1043"/>
        <w:gridCol w:w="1204"/>
        <w:gridCol w:w="1204"/>
        <w:gridCol w:w="2498"/>
      </w:tblGrid>
      <w:tr>
        <w:tblPrEx>
          <w:tblCellMar>
            <w:top w:w="0" w:type="dxa"/>
            <w:left w:w="108" w:type="dxa"/>
            <w:bottom w:w="0" w:type="dxa"/>
            <w:right w:w="108" w:type="dxa"/>
          </w:tblCellMar>
        </w:tblPrEx>
        <w:trPr>
          <w:trHeight w:val="390" w:hRule="atLeast"/>
        </w:trPr>
        <w:tc>
          <w:tcPr>
            <w:tcW w:w="13530"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108" w:type="dxa"/>
            <w:bottom w:w="0" w:type="dxa"/>
            <w:right w:w="108" w:type="dxa"/>
          </w:tblCellMar>
        </w:tblPrEx>
        <w:trPr>
          <w:trHeight w:val="297" w:hRule="atLeast"/>
        </w:trPr>
        <w:tc>
          <w:tcPr>
            <w:tcW w:w="0" w:type="auto"/>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highlight w:val="none"/>
              </w:rPr>
              <w:t>单位：许</w:t>
            </w:r>
            <w:r>
              <w:rPr>
                <w:rFonts w:hint="eastAsia" w:ascii="宋体" w:hAnsi="宋体" w:cs="宋体"/>
                <w:color w:val="000000"/>
                <w:kern w:val="0"/>
                <w:sz w:val="20"/>
                <w:szCs w:val="20"/>
              </w:rPr>
              <w:t>昌市消费者协会</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357"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15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3831"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112"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trHeight w:val="312" w:hRule="atLeast"/>
        </w:trPr>
        <w:tc>
          <w:tcPr>
            <w:tcW w:w="3668"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357"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5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1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35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35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112"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66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57"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5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17"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57"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57"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112"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366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57"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56"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117"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57"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1357" w:type="dxa"/>
            <w:vMerge w:val="continue"/>
            <w:tcBorders>
              <w:top w:val="nil"/>
              <w:left w:val="nil"/>
              <w:bottom w:val="single" w:color="000000" w:sz="4" w:space="0"/>
              <w:right w:val="single" w:color="000000" w:sz="4" w:space="0"/>
            </w:tcBorders>
            <w:noWrap w:val="0"/>
            <w:vAlign w:val="center"/>
          </w:tcPr>
          <w:p>
            <w:pPr>
              <w:jc w:val="center"/>
              <w:rPr>
                <w:rFonts w:ascii="宋体" w:hAnsi="宋体" w:cs="宋体"/>
                <w:color w:val="000000"/>
                <w:sz w:val="22"/>
              </w:rPr>
            </w:pPr>
          </w:p>
        </w:tc>
        <w:tc>
          <w:tcPr>
            <w:tcW w:w="2112" w:type="dxa"/>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highlight w:val="none"/>
              </w:rPr>
              <w:t>单位本</w:t>
            </w:r>
            <w:r>
              <w:rPr>
                <w:rFonts w:hint="eastAsia" w:ascii="宋体" w:hAnsi="宋体" w:cs="宋体"/>
                <w:color w:val="000000"/>
                <w:kern w:val="0"/>
                <w:sz w:val="22"/>
              </w:rPr>
              <w:t>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rPr>
      </w:pPr>
      <w:r>
        <w:rPr>
          <w:rFonts w:hint="eastAsia" w:ascii="宋体" w:hAnsi="宋体" w:eastAsia="宋体" w:cs="宋体"/>
          <w:color w:val="000000"/>
          <w:kern w:val="0"/>
          <w:sz w:val="22"/>
        </w:rPr>
        <w:t>说明：我单位没有政府性基金收入，也没有使用政府性基金安排的支出，故本表无数据。</w:t>
      </w:r>
    </w:p>
    <w:p>
      <w:pPr>
        <w:widowControl/>
        <w:jc w:val="left"/>
        <w:textAlignment w:val="center"/>
        <w:rPr>
          <w:rFonts w:ascii="宋体" w:hAnsi="宋体" w:cs="宋体"/>
          <w:color w:val="000000"/>
          <w:sz w:val="20"/>
          <w:szCs w:val="20"/>
        </w:rPr>
      </w:pPr>
    </w:p>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年度收、支总计均为147.49万元。与上年度相比，收、支总计各增加3.52万元，增长2.45%。主要原因是人员经费增加。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126.90万元，其中：财政拨款收入126.90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年度支出合计147.49万元，其中：基本支出147.49万元，占100.00%；项目支出0.00万元，占0.00%；上缴上级支出0.00万元，占0.00%；经营支出0.00万元，占0.00%；对附属单位补助支出0.00万元，占0.00%。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年度财政拨款收、支总计均为147.49万元。与上年度相比，财政拨款收、支总计各增加3.52万元，增长2.45%。主要原因是人员经费增加。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年度一般公共预算财政拨款支出147.49万元，占支出合计的100.00%。与上年度相比，一般公共预算财政拨款支出增加13.31万元，增长9.92%。主要原因是人员经费增加。</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年度一般公共预算财政拨款支出147.49万元，主要用于以下方面：一般公共服务（类）支出134.44万元，占91.15%；</w:t>
      </w:r>
      <w:r>
        <w:rPr>
          <w:rStyle w:val="13"/>
          <w:rFonts w:ascii="仿宋_GB2312" w:hAnsi="仿宋_GB2312" w:eastAsia="仿宋_GB2312"/>
          <w:sz w:val="32"/>
          <w:szCs w:val="32"/>
        </w:rPr>
        <w:t>社会保障和就业（类）支出</w:t>
      </w:r>
      <w:r>
        <w:rPr>
          <w:rStyle w:val="13"/>
          <w:rFonts w:hint="eastAsia" w:ascii="仿宋_GB2312" w:hAnsi="仿宋_GB2312" w:eastAsia="仿宋_GB2312"/>
          <w:sz w:val="32"/>
          <w:szCs w:val="32"/>
        </w:rPr>
        <w:t>8.75</w:t>
      </w:r>
      <w:r>
        <w:rPr>
          <w:rStyle w:val="13"/>
          <w:rFonts w:ascii="仿宋_GB2312" w:hAnsi="仿宋_GB2312" w:eastAsia="仿宋_GB2312"/>
          <w:sz w:val="32"/>
          <w:szCs w:val="32"/>
        </w:rPr>
        <w:t>万元，占</w:t>
      </w:r>
      <w:r>
        <w:rPr>
          <w:rStyle w:val="13"/>
          <w:rFonts w:hint="eastAsia" w:ascii="仿宋_GB2312" w:hAnsi="仿宋_GB2312" w:eastAsia="仿宋_GB2312"/>
          <w:sz w:val="32"/>
          <w:szCs w:val="32"/>
        </w:rPr>
        <w:t>5.93</w:t>
      </w:r>
      <w:r>
        <w:rPr>
          <w:rStyle w:val="13"/>
          <w:rFonts w:ascii="仿宋_GB2312" w:hAnsi="仿宋_GB2312" w:eastAsia="仿宋_GB2312"/>
          <w:sz w:val="32"/>
          <w:szCs w:val="32"/>
        </w:rPr>
        <w:t>%；卫生健康（类）支出4.</w:t>
      </w:r>
      <w:r>
        <w:rPr>
          <w:rStyle w:val="13"/>
          <w:rFonts w:hint="eastAsia" w:ascii="仿宋_GB2312" w:hAnsi="仿宋_GB2312" w:eastAsia="仿宋_GB2312"/>
          <w:sz w:val="32"/>
          <w:szCs w:val="32"/>
        </w:rPr>
        <w:t>30</w:t>
      </w:r>
      <w:r>
        <w:rPr>
          <w:rStyle w:val="13"/>
          <w:rFonts w:ascii="仿宋_GB2312" w:hAnsi="仿宋_GB2312" w:eastAsia="仿宋_GB2312"/>
          <w:sz w:val="32"/>
          <w:szCs w:val="32"/>
        </w:rPr>
        <w:t>万元，占</w:t>
      </w:r>
      <w:r>
        <w:rPr>
          <w:rStyle w:val="13"/>
          <w:rFonts w:hint="eastAsia" w:ascii="仿宋_GB2312" w:hAnsi="仿宋_GB2312" w:eastAsia="仿宋_GB2312"/>
          <w:sz w:val="32"/>
          <w:szCs w:val="32"/>
        </w:rPr>
        <w:t>2.92</w:t>
      </w:r>
      <w:r>
        <w:rPr>
          <w:rStyle w:val="13"/>
          <w:rFonts w:ascii="仿宋_GB2312" w:hAnsi="仿宋_GB2312" w:eastAsia="仿宋_GB2312"/>
          <w:sz w:val="32"/>
          <w:szCs w:val="32"/>
        </w:rPr>
        <w:t>%。</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年度一般公共预算财政拨款支出年初预算为146.43万元，支出决算为147.49万元，完成年初预算的100.73%。其中：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Style w:val="13"/>
          <w:rFonts w:ascii="楷体_GB2312" w:hAnsi="楷体_GB2312" w:eastAsia="楷体_GB2312" w:cs="楷体_GB2312"/>
          <w:b/>
          <w:bCs/>
          <w:sz w:val="32"/>
          <w:szCs w:val="32"/>
        </w:rPr>
        <w:t>一般公共服务支出（类）群众团体事务（款）工会事务（项）。</w:t>
      </w:r>
      <w:r>
        <w:rPr>
          <w:rFonts w:hint="eastAsia" w:ascii="仿宋_GB2312" w:hAnsi="仿宋_GB2312" w:eastAsia="仿宋_GB2312" w:cs="仿宋_GB2312"/>
          <w:sz w:val="32"/>
          <w:szCs w:val="32"/>
        </w:rPr>
        <w:t>年初预算为0.75万元，支出决算为0.75万元，完成年初预算的100.00%。决算数与年初预算数不存在差异。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Style w:val="13"/>
          <w:rFonts w:ascii="楷体_GB2312" w:hAnsi="楷体_GB2312" w:eastAsia="楷体_GB2312" w:cs="楷体_GB2312"/>
          <w:b/>
          <w:bCs/>
          <w:sz w:val="32"/>
          <w:szCs w:val="32"/>
        </w:rPr>
        <w:t>一般公共服务支出（类）市场监督管理事务（款）事业运行（项）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年初预算为132.35万元，支出决算为133.69万元，完成年初预算的101.01%。决算数与年初预算数存在差异的主要原因是人员经费增加。</w:t>
      </w:r>
    </w:p>
    <w:p>
      <w:pPr>
        <w:widowControl/>
        <w:spacing w:line="590" w:lineRule="exact"/>
        <w:ind w:firstLine="643" w:firstLineChars="200"/>
        <w:textAlignment w:val="baseline"/>
        <w:rPr>
          <w:rStyle w:val="13"/>
          <w:rFonts w:ascii="仿宋_GB2312" w:hAnsi="仿宋_GB2312" w:eastAsia="仿宋_GB2312"/>
          <w:sz w:val="32"/>
          <w:szCs w:val="32"/>
        </w:rPr>
      </w:pPr>
      <w:r>
        <w:rPr>
          <w:rStyle w:val="13"/>
          <w:rFonts w:hint="eastAsia" w:ascii="楷体_GB2312" w:hAnsi="楷体_GB2312" w:eastAsia="楷体_GB2312" w:cs="楷体_GB2312"/>
          <w:b/>
          <w:bCs/>
          <w:sz w:val="32"/>
          <w:szCs w:val="32"/>
        </w:rPr>
        <w:t>3</w:t>
      </w:r>
      <w:r>
        <w:rPr>
          <w:rStyle w:val="13"/>
          <w:rFonts w:ascii="楷体_GB2312" w:hAnsi="楷体_GB2312" w:eastAsia="楷体_GB2312" w:cs="楷体_GB2312"/>
          <w:b/>
          <w:bCs/>
          <w:sz w:val="32"/>
          <w:szCs w:val="32"/>
        </w:rPr>
        <w:t>．社会保障和就业支出（类）行政事业单位养老支出（款）机关事业单位基本养老保险缴费支出（项）。</w:t>
      </w:r>
      <w:r>
        <w:rPr>
          <w:rStyle w:val="13"/>
          <w:rFonts w:ascii="仿宋_GB2312" w:hAnsi="仿宋_GB2312" w:eastAsia="仿宋_GB2312"/>
          <w:sz w:val="32"/>
          <w:szCs w:val="32"/>
        </w:rPr>
        <w:t>年初预算为</w:t>
      </w:r>
      <w:r>
        <w:rPr>
          <w:rStyle w:val="13"/>
          <w:rFonts w:hint="eastAsia" w:ascii="仿宋_GB2312" w:hAnsi="仿宋_GB2312" w:eastAsia="仿宋_GB2312"/>
          <w:sz w:val="32"/>
          <w:szCs w:val="32"/>
        </w:rPr>
        <w:t>9.03</w:t>
      </w:r>
      <w:r>
        <w:rPr>
          <w:rStyle w:val="13"/>
          <w:rFonts w:ascii="仿宋_GB2312" w:hAnsi="仿宋_GB2312" w:eastAsia="仿宋_GB2312"/>
          <w:sz w:val="32"/>
          <w:szCs w:val="32"/>
        </w:rPr>
        <w:t>万元，支出决算为</w:t>
      </w:r>
      <w:r>
        <w:rPr>
          <w:rStyle w:val="13"/>
          <w:rFonts w:hint="eastAsia" w:ascii="仿宋_GB2312" w:hAnsi="仿宋_GB2312" w:eastAsia="仿宋_GB2312"/>
          <w:sz w:val="32"/>
          <w:szCs w:val="32"/>
        </w:rPr>
        <w:t>8.75</w:t>
      </w:r>
      <w:r>
        <w:rPr>
          <w:rStyle w:val="13"/>
          <w:rFonts w:ascii="仿宋_GB2312" w:hAnsi="仿宋_GB2312" w:eastAsia="仿宋_GB2312"/>
          <w:sz w:val="32"/>
          <w:szCs w:val="32"/>
        </w:rPr>
        <w:t>万元，完成年初预算的</w:t>
      </w:r>
      <w:r>
        <w:rPr>
          <w:rStyle w:val="13"/>
          <w:rFonts w:hint="eastAsia" w:ascii="仿宋_GB2312" w:hAnsi="仿宋_GB2312" w:eastAsia="仿宋_GB2312"/>
          <w:sz w:val="32"/>
          <w:szCs w:val="32"/>
        </w:rPr>
        <w:t>96.90</w:t>
      </w:r>
      <w:r>
        <w:rPr>
          <w:rStyle w:val="13"/>
          <w:rFonts w:ascii="仿宋_GB2312" w:hAnsi="仿宋_GB2312" w:eastAsia="仿宋_GB2312"/>
          <w:sz w:val="32"/>
          <w:szCs w:val="32"/>
        </w:rPr>
        <w:t>%。决算数与年初预算数存在差异的主要原因是</w:t>
      </w:r>
      <w:r>
        <w:rPr>
          <w:rStyle w:val="13"/>
          <w:rFonts w:hint="eastAsia" w:ascii="仿宋_GB2312" w:hAnsi="仿宋_GB2312" w:eastAsia="仿宋_GB2312"/>
          <w:sz w:val="32"/>
          <w:szCs w:val="32"/>
        </w:rPr>
        <w:t>未使用失业保险</w:t>
      </w:r>
      <w:r>
        <w:rPr>
          <w:rStyle w:val="13"/>
          <w:rFonts w:ascii="仿宋_GB2312" w:hAnsi="仿宋_GB2312" w:eastAsia="仿宋_GB2312"/>
          <w:sz w:val="32"/>
          <w:szCs w:val="32"/>
        </w:rPr>
        <w:t>。</w:t>
      </w:r>
    </w:p>
    <w:p>
      <w:pPr>
        <w:widowControl/>
        <w:spacing w:line="590" w:lineRule="exact"/>
        <w:ind w:firstLine="643" w:firstLineChars="200"/>
        <w:textAlignment w:val="baseline"/>
        <w:rPr>
          <w:rStyle w:val="13"/>
          <w:rFonts w:ascii="黑体" w:hAnsi="黑体" w:eastAsia="黑体"/>
          <w:i/>
          <w:iCs/>
          <w:color w:val="FF0000"/>
          <w:sz w:val="32"/>
          <w:szCs w:val="32"/>
          <w:highlight w:val="yellow"/>
        </w:rPr>
      </w:pPr>
      <w:r>
        <w:rPr>
          <w:rStyle w:val="13"/>
          <w:rFonts w:hint="eastAsia" w:ascii="楷体_GB2312" w:hAnsi="楷体_GB2312" w:eastAsia="楷体_GB2312" w:cs="楷体_GB2312"/>
          <w:b/>
          <w:bCs/>
          <w:sz w:val="32"/>
          <w:szCs w:val="32"/>
        </w:rPr>
        <w:t>4</w:t>
      </w:r>
      <w:r>
        <w:rPr>
          <w:rStyle w:val="13"/>
          <w:rFonts w:ascii="楷体_GB2312" w:hAnsi="楷体_GB2312" w:eastAsia="楷体_GB2312" w:cs="楷体_GB2312"/>
          <w:b/>
          <w:bCs/>
          <w:sz w:val="32"/>
          <w:szCs w:val="32"/>
        </w:rPr>
        <w:t>．卫生健康支出（类）行政事业单位医疗（款）事业单位医疗（项）。</w:t>
      </w:r>
      <w:r>
        <w:rPr>
          <w:rStyle w:val="13"/>
          <w:rFonts w:ascii="仿宋_GB2312" w:hAnsi="仿宋_GB2312" w:eastAsia="仿宋_GB2312"/>
          <w:sz w:val="32"/>
          <w:szCs w:val="32"/>
        </w:rPr>
        <w:t>年初预算为4.</w:t>
      </w:r>
      <w:r>
        <w:rPr>
          <w:rStyle w:val="13"/>
          <w:rFonts w:hint="eastAsia" w:ascii="仿宋_GB2312" w:hAnsi="仿宋_GB2312" w:eastAsia="仿宋_GB2312"/>
          <w:sz w:val="32"/>
          <w:szCs w:val="32"/>
        </w:rPr>
        <w:t>30</w:t>
      </w:r>
      <w:r>
        <w:rPr>
          <w:rStyle w:val="13"/>
          <w:rFonts w:ascii="仿宋_GB2312" w:hAnsi="仿宋_GB2312" w:eastAsia="仿宋_GB2312"/>
          <w:sz w:val="32"/>
          <w:szCs w:val="32"/>
        </w:rPr>
        <w:t>万元，支出决算为4.</w:t>
      </w:r>
      <w:r>
        <w:rPr>
          <w:rStyle w:val="13"/>
          <w:rFonts w:hint="eastAsia" w:ascii="仿宋_GB2312" w:hAnsi="仿宋_GB2312" w:eastAsia="仿宋_GB2312"/>
          <w:sz w:val="32"/>
          <w:szCs w:val="32"/>
        </w:rPr>
        <w:t>30</w:t>
      </w:r>
      <w:r>
        <w:rPr>
          <w:rStyle w:val="13"/>
          <w:rFonts w:ascii="仿宋_GB2312" w:hAnsi="仿宋_GB2312" w:eastAsia="仿宋_GB2312"/>
          <w:sz w:val="32"/>
          <w:szCs w:val="32"/>
        </w:rPr>
        <w:t>万元，完成年初预算的100</w:t>
      </w:r>
      <w:r>
        <w:rPr>
          <w:rStyle w:val="13"/>
          <w:rFonts w:hint="eastAsia" w:ascii="仿宋_GB2312" w:hAnsi="仿宋_GB2312" w:eastAsia="仿宋_GB2312"/>
          <w:sz w:val="32"/>
          <w:szCs w:val="32"/>
        </w:rPr>
        <w:t>.00</w:t>
      </w:r>
      <w:r>
        <w:rPr>
          <w:rStyle w:val="13"/>
          <w:rFonts w:ascii="仿宋_GB2312" w:hAnsi="仿宋_GB2312" w:eastAsia="仿宋_GB2312"/>
          <w:sz w:val="32"/>
          <w:szCs w:val="32"/>
        </w:rPr>
        <w:t>%。</w:t>
      </w:r>
      <w:r>
        <w:rPr>
          <w:rStyle w:val="13"/>
          <w:rFonts w:ascii="仿宋_GB2312" w:hAnsi="仿宋_GB2312" w:eastAsia="仿宋_GB2312"/>
          <w:color w:val="000000"/>
          <w:sz w:val="32"/>
          <w:szCs w:val="32"/>
        </w:rPr>
        <w:t>决算数与年初预算数不存在差异</w:t>
      </w:r>
      <w:r>
        <w:rPr>
          <w:rStyle w:val="13"/>
          <w:rFonts w:ascii="仿宋_GB2312" w:hAnsi="仿宋_GB2312" w:eastAsia="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年度一般公共预算财政拨款基本支出147.49万元。其中：人员经费144.28万元，主要包括：基本工资、津贴补贴、</w:t>
      </w:r>
      <w:r>
        <w:rPr>
          <w:rFonts w:hint="eastAsia" w:ascii="仿宋_GB2312" w:hAnsi="仿宋_GB2312" w:eastAsia="仿宋_GB2312" w:cs="仿宋_GB2312"/>
          <w:sz w:val="32"/>
          <w:szCs w:val="32"/>
          <w:highlight w:val="none"/>
        </w:rPr>
        <w:t>奖金、绩效工资、机关事业单位基本养老保险缴费、职工基本医疗保险缴费、其他社会保障缴费、住房公积金；公用经费3.21</w:t>
      </w:r>
      <w:r>
        <w:rPr>
          <w:rFonts w:hint="eastAsia" w:ascii="仿宋_GB2312" w:hAnsi="仿宋_GB2312" w:eastAsia="仿宋_GB2312" w:cs="仿宋_GB2312"/>
          <w:sz w:val="32"/>
          <w:szCs w:val="32"/>
        </w:rPr>
        <w:t>万元，主要包括：办公费、印刷费、工会经费、福利费。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360" w:lineRule="auto"/>
        <w:ind w:firstLine="640" w:firstLineChars="200"/>
        <w:textAlignment w:val="baseline"/>
        <w:rPr>
          <w:rStyle w:val="13"/>
          <w:rFonts w:ascii="仿宋_GB2312" w:hAnsi="仿宋_GB2312" w:eastAsia="仿宋_GB2312"/>
          <w:color w:val="000000"/>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年度“三公”经费财政拨款支出预算为0.00万元，支出决算为0.00万元。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r>
        <w:rPr>
          <w:rStyle w:val="13"/>
          <w:rFonts w:ascii="仿宋_GB2312" w:hAnsi="仿宋_GB2312" w:eastAsia="仿宋_GB2312"/>
          <w:color w:val="000000"/>
          <w:sz w:val="32"/>
          <w:szCs w:val="32"/>
        </w:rPr>
        <w:t xml:space="preserve"> </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年度“三公”经费财政拨款支出决算中，因公出国（境）费支出决算0.00万元；公务用车购置及运行费支出决算0.00万元；公务接待费支出决算0.00万元。具体情况如下：</w:t>
      </w:r>
    </w:p>
    <w:p>
      <w:pPr>
        <w:widowControl/>
        <w:numPr>
          <w:ilvl w:val="0"/>
          <w:numId w:val="2"/>
        </w:numPr>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360" w:lineRule="auto"/>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w:t>
      </w:r>
      <w:r>
        <w:rPr>
          <w:rStyle w:val="13"/>
          <w:rFonts w:hint="eastAsia" w:ascii="仿宋_GB2312" w:hAnsi="仿宋_GB2312" w:eastAsia="仿宋_GB2312"/>
          <w:color w:val="000000"/>
          <w:sz w:val="32"/>
          <w:szCs w:val="32"/>
        </w:rPr>
        <w:t>情况说明</w:t>
      </w:r>
      <w:r>
        <w:rPr>
          <w:rStyle w:val="13"/>
          <w:rFonts w:ascii="仿宋_GB2312" w:hAnsi="仿宋_GB2312" w:eastAsia="仿宋_GB2312"/>
          <w:color w:val="000000"/>
          <w:sz w:val="32"/>
          <w:szCs w:val="32"/>
        </w:rPr>
        <w:t>：我单位2020年度没有政府性基金收入，也没有使用政府性基金安排的支出。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我单位预算绩效管理主要开展了以下工作：一是健全管理机制，优化管理水平。建立健全了对绩效自评的自我检查、绩效监控结果和绩效评价结果的反馈与应用机制，推动了我单位2021年度绩效管理工作的有序开展；二是强化绩效学习，提升工作能力。参加了市财政局于2021年6月、10月举办的预算绩效管理培训会，牢记事前绩效评估、绩效目标编制、事中绩效监控、事后绩效评价和绩效结果应用等理念，在工作中践行“预算决策有评估、预算编制有目标、预算执行有监控、预算完成有评价、评价结果有应用”的预算绩效管理体系。</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是整体支出管理水平得到提升，较好的完成了年度工作目标。二是项目绩效自评情况。我单位共有0个项目批复了绩效目标。基于项目预期目标的实现程度，对2021年度项目支出绩效进行自评，绩效自评平均得分为/分。其中：0个项目评价等级为“优”、0个项目评价等级为“良”、0个项目评价等级为“中”、0个项目评价等级为“差”。</w:t>
      </w:r>
    </w:p>
    <w:p>
      <w:pPr>
        <w:widowControl/>
        <w:numPr>
          <w:ilvl w:val="0"/>
          <w:numId w:val="3"/>
        </w:numPr>
        <w:spacing w:line="360" w:lineRule="auto"/>
        <w:ind w:firstLine="964"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重点绩效评价结果。</w:t>
      </w:r>
    </w:p>
    <w:p>
      <w:pPr>
        <w:widowControl/>
        <w:spacing w:line="360" w:lineRule="auto"/>
        <w:ind w:left="630" w:leftChars="300" w:firstLine="320" w:firstLineChars="1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2021年度我单位没有安排开展重点绩效评价的项目。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autoSpaceDE w:val="0"/>
        <w:spacing w:line="360" w:lineRule="auto"/>
        <w:ind w:firstLine="640" w:firstLineChars="200"/>
        <w:jc w:val="left"/>
        <w:rPr>
          <w:rFonts w:ascii="仿宋_GB2312" w:eastAsia="仿宋_GB2312"/>
          <w:sz w:val="32"/>
          <w:szCs w:val="32"/>
        </w:rPr>
      </w:pPr>
      <w:r>
        <w:rPr>
          <w:rFonts w:hint="eastAsia" w:ascii="仿宋_GB2312" w:hAnsi="仿宋_GB2312" w:eastAsia="仿宋_GB2312" w:cs="仿宋_GB2312"/>
          <w:sz w:val="32"/>
          <w:szCs w:val="32"/>
        </w:rPr>
        <w:t>七、</w:t>
      </w:r>
      <w:r>
        <w:rPr>
          <w:rFonts w:hint="eastAsia" w:ascii="仿宋_GB2312" w:eastAsia="仿宋_GB2312"/>
          <w:sz w:val="32"/>
          <w:szCs w:val="32"/>
        </w:rPr>
        <w:t>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kNLMwBAACn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l5w5YenBzz9/nH/9Of/+zq6T&#10;PH3AiqoeAtXF4YMfaGnmOFIwsR5asOlLfBjlSdzTRVw1RCbTpdVytSopJSk3O4RfPF4PgPGj8pYl&#10;o+ZAr5dFFcc7jGPpXJK6OX+rjckvaNx/AcIcIyqvwHQ7MRknTlYcdsNEb+ebE7HraQ1q7mjrOTOf&#10;HKmcNmY2YDZ2s3EIoPddXqnUHcP7Q6SR8qSpwwhLDJND75e5TruWFuRfP1c9/l+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uQ0szAEAAKc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4g6s0BAACnAwAADgAAAGRycy9lMm9Eb2MueG1srVPNjtMwEL4j8Q6W&#10;7zTZI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5xZYejBzz9/nH/9Of/+zt4m&#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A4g6s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929D0"/>
    <w:multiLevelType w:val="singleLevel"/>
    <w:tmpl w:val="EEF929D0"/>
    <w:lvl w:ilvl="0" w:tentative="0">
      <w:start w:val="3"/>
      <w:numFmt w:val="chineseCounting"/>
      <w:suff w:val="nothing"/>
      <w:lvlText w:val="（%1）"/>
      <w:lvlJc w:val="left"/>
      <w:rPr>
        <w:rFonts w:hint="eastAsia"/>
      </w:rPr>
    </w:lvl>
  </w:abstractNum>
  <w:abstractNum w:abstractNumId="1">
    <w:nsid w:val="F4835F97"/>
    <w:multiLevelType w:val="singleLevel"/>
    <w:tmpl w:val="F4835F97"/>
    <w:lvl w:ilvl="0" w:tentative="0">
      <w:start w:val="1"/>
      <w:numFmt w:val="decimal"/>
      <w:suff w:val="nothing"/>
      <w:lvlText w:val="%1．"/>
      <w:lvlJc w:val="left"/>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91284"/>
    <w:rsid w:val="000C073B"/>
    <w:rsid w:val="000C1142"/>
    <w:rsid w:val="001003F8"/>
    <w:rsid w:val="00144159"/>
    <w:rsid w:val="001718A8"/>
    <w:rsid w:val="00182842"/>
    <w:rsid w:val="00184D53"/>
    <w:rsid w:val="001905F2"/>
    <w:rsid w:val="00197592"/>
    <w:rsid w:val="001C32F0"/>
    <w:rsid w:val="001D556A"/>
    <w:rsid w:val="001D61B1"/>
    <w:rsid w:val="001F46E0"/>
    <w:rsid w:val="001F5040"/>
    <w:rsid w:val="002006EB"/>
    <w:rsid w:val="00214AE1"/>
    <w:rsid w:val="00235773"/>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3399D"/>
    <w:rsid w:val="00445CAC"/>
    <w:rsid w:val="00472E19"/>
    <w:rsid w:val="00487869"/>
    <w:rsid w:val="004D5275"/>
    <w:rsid w:val="004F63DB"/>
    <w:rsid w:val="00505190"/>
    <w:rsid w:val="00507364"/>
    <w:rsid w:val="00546F7C"/>
    <w:rsid w:val="005A0C2F"/>
    <w:rsid w:val="005B1AE2"/>
    <w:rsid w:val="005E3397"/>
    <w:rsid w:val="00607D67"/>
    <w:rsid w:val="006166C6"/>
    <w:rsid w:val="006228C4"/>
    <w:rsid w:val="00636C37"/>
    <w:rsid w:val="006512DD"/>
    <w:rsid w:val="00656BEF"/>
    <w:rsid w:val="00656D75"/>
    <w:rsid w:val="00657289"/>
    <w:rsid w:val="00657E86"/>
    <w:rsid w:val="00673EF7"/>
    <w:rsid w:val="00674231"/>
    <w:rsid w:val="006841E9"/>
    <w:rsid w:val="0069449E"/>
    <w:rsid w:val="006C07F0"/>
    <w:rsid w:val="006C644A"/>
    <w:rsid w:val="006C7D84"/>
    <w:rsid w:val="007148E8"/>
    <w:rsid w:val="0071527F"/>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16B77"/>
    <w:rsid w:val="00A42F43"/>
    <w:rsid w:val="00A43A02"/>
    <w:rsid w:val="00A51982"/>
    <w:rsid w:val="00A57BF7"/>
    <w:rsid w:val="00A71DC1"/>
    <w:rsid w:val="00A83D8A"/>
    <w:rsid w:val="00A93E7D"/>
    <w:rsid w:val="00A975F6"/>
    <w:rsid w:val="00AA260E"/>
    <w:rsid w:val="00AA44CB"/>
    <w:rsid w:val="00AA67CD"/>
    <w:rsid w:val="00AC7D47"/>
    <w:rsid w:val="00AD1B85"/>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51863"/>
    <w:rsid w:val="00D6315E"/>
    <w:rsid w:val="00D652C2"/>
    <w:rsid w:val="00D74EE2"/>
    <w:rsid w:val="00D83E19"/>
    <w:rsid w:val="00D86CAD"/>
    <w:rsid w:val="00DA00C9"/>
    <w:rsid w:val="00DB200E"/>
    <w:rsid w:val="00DB65F5"/>
    <w:rsid w:val="00E01C3E"/>
    <w:rsid w:val="00E13099"/>
    <w:rsid w:val="00E245B7"/>
    <w:rsid w:val="00E4339F"/>
    <w:rsid w:val="00E60B05"/>
    <w:rsid w:val="00E629EA"/>
    <w:rsid w:val="00E6777C"/>
    <w:rsid w:val="00E721ED"/>
    <w:rsid w:val="00EB05A3"/>
    <w:rsid w:val="00ED38B7"/>
    <w:rsid w:val="00EE051D"/>
    <w:rsid w:val="00F0131A"/>
    <w:rsid w:val="00F14C17"/>
    <w:rsid w:val="00F17041"/>
    <w:rsid w:val="00F218CF"/>
    <w:rsid w:val="00F44937"/>
    <w:rsid w:val="00F61A47"/>
    <w:rsid w:val="00F84422"/>
    <w:rsid w:val="00F95455"/>
    <w:rsid w:val="00FA541C"/>
    <w:rsid w:val="00FA574D"/>
    <w:rsid w:val="00FC2588"/>
    <w:rsid w:val="00FE7AD9"/>
    <w:rsid w:val="01322275"/>
    <w:rsid w:val="015428E3"/>
    <w:rsid w:val="01DC6F05"/>
    <w:rsid w:val="01F30D96"/>
    <w:rsid w:val="02A3489A"/>
    <w:rsid w:val="02CA138D"/>
    <w:rsid w:val="02E73171"/>
    <w:rsid w:val="033646FC"/>
    <w:rsid w:val="03C75F80"/>
    <w:rsid w:val="0478364D"/>
    <w:rsid w:val="053D4C0D"/>
    <w:rsid w:val="0557532E"/>
    <w:rsid w:val="060941C2"/>
    <w:rsid w:val="06A23D4A"/>
    <w:rsid w:val="06A74B73"/>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55D329A"/>
    <w:rsid w:val="161C2DFF"/>
    <w:rsid w:val="16373578"/>
    <w:rsid w:val="16D3336B"/>
    <w:rsid w:val="17200028"/>
    <w:rsid w:val="17806C36"/>
    <w:rsid w:val="17A74F62"/>
    <w:rsid w:val="18A47774"/>
    <w:rsid w:val="1A8D28EB"/>
    <w:rsid w:val="1A9F2D78"/>
    <w:rsid w:val="1B2E6FD8"/>
    <w:rsid w:val="1B877D21"/>
    <w:rsid w:val="1C4319A9"/>
    <w:rsid w:val="1C816808"/>
    <w:rsid w:val="1DC601F6"/>
    <w:rsid w:val="1E443B4B"/>
    <w:rsid w:val="1E994F4A"/>
    <w:rsid w:val="1EAF0224"/>
    <w:rsid w:val="1F2230A4"/>
    <w:rsid w:val="20210932"/>
    <w:rsid w:val="202448E0"/>
    <w:rsid w:val="20F614FE"/>
    <w:rsid w:val="21302EEA"/>
    <w:rsid w:val="22376FB5"/>
    <w:rsid w:val="23E152D7"/>
    <w:rsid w:val="23EE2489"/>
    <w:rsid w:val="252A4255"/>
    <w:rsid w:val="255D43C8"/>
    <w:rsid w:val="26714EF8"/>
    <w:rsid w:val="26876BDD"/>
    <w:rsid w:val="26D328CC"/>
    <w:rsid w:val="2714632A"/>
    <w:rsid w:val="27541E73"/>
    <w:rsid w:val="277B466F"/>
    <w:rsid w:val="27B0539E"/>
    <w:rsid w:val="29365CF8"/>
    <w:rsid w:val="299469B3"/>
    <w:rsid w:val="2A805789"/>
    <w:rsid w:val="2ADC0D75"/>
    <w:rsid w:val="2B4A0E52"/>
    <w:rsid w:val="2C975890"/>
    <w:rsid w:val="2DEF0024"/>
    <w:rsid w:val="2DEF21BB"/>
    <w:rsid w:val="2E4A2F05"/>
    <w:rsid w:val="2ECC1061"/>
    <w:rsid w:val="2FA476AD"/>
    <w:rsid w:val="2FFB799B"/>
    <w:rsid w:val="303F7540"/>
    <w:rsid w:val="31DD00BF"/>
    <w:rsid w:val="3293174C"/>
    <w:rsid w:val="32BB38D4"/>
    <w:rsid w:val="32C9376D"/>
    <w:rsid w:val="32CE7827"/>
    <w:rsid w:val="33780472"/>
    <w:rsid w:val="33AF0905"/>
    <w:rsid w:val="355932F4"/>
    <w:rsid w:val="35611882"/>
    <w:rsid w:val="36746FC3"/>
    <w:rsid w:val="368763AE"/>
    <w:rsid w:val="37D42A39"/>
    <w:rsid w:val="395D59E7"/>
    <w:rsid w:val="39A93932"/>
    <w:rsid w:val="3A915562"/>
    <w:rsid w:val="3B8D4765"/>
    <w:rsid w:val="3C000DBA"/>
    <w:rsid w:val="3C1F018F"/>
    <w:rsid w:val="3DC045D3"/>
    <w:rsid w:val="3E504FFB"/>
    <w:rsid w:val="3E615CD0"/>
    <w:rsid w:val="3E9C47F6"/>
    <w:rsid w:val="3F8B0112"/>
    <w:rsid w:val="3FAB3095"/>
    <w:rsid w:val="3FDFD059"/>
    <w:rsid w:val="3FE45947"/>
    <w:rsid w:val="41242965"/>
    <w:rsid w:val="435671EA"/>
    <w:rsid w:val="440809E9"/>
    <w:rsid w:val="442407A6"/>
    <w:rsid w:val="44805EA1"/>
    <w:rsid w:val="45710696"/>
    <w:rsid w:val="46142B1B"/>
    <w:rsid w:val="47E60DD0"/>
    <w:rsid w:val="48735039"/>
    <w:rsid w:val="492C684B"/>
    <w:rsid w:val="49500594"/>
    <w:rsid w:val="49E7604E"/>
    <w:rsid w:val="4BF67CDD"/>
    <w:rsid w:val="4C4E1E5A"/>
    <w:rsid w:val="4C5752CE"/>
    <w:rsid w:val="4D173441"/>
    <w:rsid w:val="4D286B8F"/>
    <w:rsid w:val="4D603DD6"/>
    <w:rsid w:val="4EBF010F"/>
    <w:rsid w:val="4F471EB0"/>
    <w:rsid w:val="51331326"/>
    <w:rsid w:val="51740A7F"/>
    <w:rsid w:val="51A5541E"/>
    <w:rsid w:val="51C96242"/>
    <w:rsid w:val="53906AE1"/>
    <w:rsid w:val="54F46F60"/>
    <w:rsid w:val="55940FA4"/>
    <w:rsid w:val="55A37BEA"/>
    <w:rsid w:val="56362CD2"/>
    <w:rsid w:val="5784687B"/>
    <w:rsid w:val="57846959"/>
    <w:rsid w:val="578E6A87"/>
    <w:rsid w:val="5AC2203A"/>
    <w:rsid w:val="5CBB3334"/>
    <w:rsid w:val="5D115FAF"/>
    <w:rsid w:val="60717702"/>
    <w:rsid w:val="623B6303"/>
    <w:rsid w:val="62811722"/>
    <w:rsid w:val="62E75A72"/>
    <w:rsid w:val="64571880"/>
    <w:rsid w:val="647F29CF"/>
    <w:rsid w:val="649125B6"/>
    <w:rsid w:val="652F4C1A"/>
    <w:rsid w:val="666D37F1"/>
    <w:rsid w:val="67087D8F"/>
    <w:rsid w:val="671F687E"/>
    <w:rsid w:val="67F415F8"/>
    <w:rsid w:val="682640D1"/>
    <w:rsid w:val="684B73E5"/>
    <w:rsid w:val="6A047A2A"/>
    <w:rsid w:val="6AEA0D74"/>
    <w:rsid w:val="6C8E24F1"/>
    <w:rsid w:val="6EFB7548"/>
    <w:rsid w:val="6F3831C3"/>
    <w:rsid w:val="6F8B71C1"/>
    <w:rsid w:val="70753482"/>
    <w:rsid w:val="707B522A"/>
    <w:rsid w:val="73194D05"/>
    <w:rsid w:val="73A83B0E"/>
    <w:rsid w:val="744D3EF9"/>
    <w:rsid w:val="74794411"/>
    <w:rsid w:val="75867C40"/>
    <w:rsid w:val="75B10B26"/>
    <w:rsid w:val="76432199"/>
    <w:rsid w:val="76AD02E8"/>
    <w:rsid w:val="76F44829"/>
    <w:rsid w:val="77A267C0"/>
    <w:rsid w:val="77F7D433"/>
    <w:rsid w:val="78882278"/>
    <w:rsid w:val="78B118A6"/>
    <w:rsid w:val="79135044"/>
    <w:rsid w:val="7A7D0F99"/>
    <w:rsid w:val="7E4A0E7C"/>
    <w:rsid w:val="7E5B918C"/>
    <w:rsid w:val="7EFD449D"/>
    <w:rsid w:val="9CC937BC"/>
    <w:rsid w:val="ABDA3620"/>
    <w:rsid w:val="C5EE8575"/>
    <w:rsid w:val="CB2D67EB"/>
    <w:rsid w:val="F2FB2C4A"/>
    <w:rsid w:val="F555C4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NormalCharacter"/>
    <w:qFormat/>
    <w:uiPriority w:val="0"/>
    <w:rPr>
      <w:kern w:val="2"/>
      <w:sz w:val="21"/>
      <w:szCs w:val="22"/>
      <w:lang w:val="en-US" w:eastAsia="zh-CN" w:bidi="ar-SA"/>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29</Pages>
  <Words>7496</Words>
  <Characters>8902</Characters>
  <Lines>78</Lines>
  <Paragraphs>21</Paragraphs>
  <TotalTime>4</TotalTime>
  <ScaleCrop>false</ScaleCrop>
  <LinksUpToDate>false</LinksUpToDate>
  <CharactersWithSpaces>9097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ahui</cp:lastModifiedBy>
  <cp:lastPrinted>2018-07-25T02:50:00Z</cp:lastPrinted>
  <dcterms:modified xsi:type="dcterms:W3CDTF">2023-09-13T08:50:08Z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EE935630DEE04203BA8EAF2DEBD1A600_13</vt:lpwstr>
  </property>
</Properties>
</file>