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许昌市河湖水系水源调度中心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许昌市河湖水系水源调度中心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w:t>
      </w:r>
      <w:r>
        <w:rPr>
          <w:rFonts w:hint="eastAsia" w:ascii="黑体" w:hAnsi="黑体" w:eastAsia="黑体" w:cs="黑体"/>
          <w:sz w:val="48"/>
          <w:szCs w:val="48"/>
          <w:highlight w:val="none"/>
          <w:lang w:val="en-US" w:eastAsia="zh-CN"/>
        </w:rPr>
        <w:t>许昌市河湖水系水源调度中心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rPr>
        <w:t>按照《许昌市机构编制委员会关于市河湖水系水源调度中心有关机构编制问题的批复》（许编〔2017〕1号）的要求，市河湖水系水源调度中心的职责任务是</w:t>
      </w:r>
      <w:r>
        <w:rPr>
          <w:rFonts w:hint="eastAsia" w:ascii="仿宋_GB2312" w:hAnsi="仿宋_GB2312" w:eastAsia="仿宋_GB2312" w:cs="仿宋_GB2312"/>
          <w:kern w:val="0"/>
          <w:sz w:val="32"/>
        </w:rPr>
        <w:t>：</w:t>
      </w:r>
      <w:r>
        <w:rPr>
          <w:rFonts w:hint="eastAsia" w:ascii="仿宋_GB2312" w:hAnsi="仿宋_GB2312" w:eastAsia="仿宋_GB2312" w:cs="仿宋_GB2312"/>
          <w:kern w:val="0"/>
          <w:sz w:val="32"/>
          <w:szCs w:val="32"/>
        </w:rPr>
        <w:t>河湖水系水源调度 、供储水管理、水量水费计量核算、防洪排涝、水利设施工程管理 、风景区发展规划、风景区建设 、风景区开发利用与管理。</w:t>
      </w:r>
    </w:p>
    <w:p>
      <w:pPr>
        <w:widowControl/>
        <w:ind w:left="420" w:leftChars="200"/>
        <w:jc w:val="left"/>
        <w:rPr>
          <w:rFonts w:hint="eastAsia" w:ascii="黑体" w:hAnsi="黑体" w:eastAsia="黑体" w:cs="黑体"/>
          <w:sz w:val="32"/>
        </w:rPr>
      </w:pPr>
      <w:r>
        <w:rPr>
          <w:rFonts w:hint="eastAsia" w:ascii="黑体" w:hAnsi="黑体" w:eastAsia="黑体" w:cs="黑体"/>
          <w:sz w:val="32"/>
        </w:rPr>
        <w:t xml:space="preserve">  二、机构设置</w:t>
      </w:r>
    </w:p>
    <w:p>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许昌市河湖水系水源调度中心</w:t>
      </w:r>
      <w:r>
        <w:rPr>
          <w:rFonts w:hint="eastAsia" w:ascii="仿宋_GB2312" w:hAnsi="仿宋_GB2312" w:eastAsia="仿宋_GB2312" w:cs="仿宋_GB2312"/>
          <w:kern w:val="0"/>
          <w:sz w:val="32"/>
          <w:szCs w:val="32"/>
        </w:rPr>
        <w:t>内设机构7个，包括：</w:t>
      </w:r>
      <w:r>
        <w:rPr>
          <w:rFonts w:hint="eastAsia" w:ascii="仿宋_GB2312" w:hAnsi="仿宋_GB2312" w:eastAsia="仿宋_GB2312" w:cs="仿宋_GB2312"/>
          <w:color w:val="000000"/>
          <w:sz w:val="32"/>
          <w:szCs w:val="32"/>
        </w:rPr>
        <w:t>办公室、计划财务科、水源调度科、工程管理防汛科、信息管理科、监督考核科、景区管理科。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sz w:val="32"/>
          <w:szCs w:val="32"/>
        </w:rPr>
        <w:t>许昌市</w:t>
      </w:r>
      <w:r>
        <w:rPr>
          <w:rFonts w:hint="eastAsia" w:ascii="仿宋_GB2312" w:hAnsi="仿宋_GB2312" w:eastAsia="仿宋_GB2312" w:cs="仿宋_GB2312"/>
          <w:color w:val="000000"/>
          <w:sz w:val="32"/>
          <w:szCs w:val="32"/>
        </w:rPr>
        <w:t>河湖水系水源调度中心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w:t>
      </w:r>
      <w:r>
        <w:rPr>
          <w:rFonts w:hint="eastAsia"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rPr>
        <w:t>范围的单位共1个，</w:t>
      </w:r>
      <w:r>
        <w:rPr>
          <w:rFonts w:hint="eastAsia" w:ascii="仿宋_GB2312" w:hAnsi="仿宋_GB2312" w:eastAsia="仿宋_GB2312" w:cs="仿宋_GB2312"/>
          <w:kern w:val="0"/>
          <w:sz w:val="32"/>
          <w:szCs w:val="32"/>
        </w:rPr>
        <w:t>具体是：</w:t>
      </w:r>
    </w:p>
    <w:p>
      <w:pPr>
        <w:spacing w:line="360" w:lineRule="auto"/>
        <w:ind w:left="420" w:leftChars="200" w:firstLine="320" w:firstLineChars="100"/>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许昌市河湖水系水源调度中</w:t>
      </w:r>
      <w:r>
        <w:rPr>
          <w:rFonts w:hint="eastAsia" w:ascii="仿宋_GB2312" w:hAnsi="仿宋_GB2312" w:eastAsia="仿宋_GB2312" w:cs="仿宋_GB2312"/>
          <w:sz w:val="32"/>
          <w:szCs w:val="32"/>
          <w:lang w:val="en-US" w:eastAsia="zh-CN"/>
        </w:rPr>
        <w:t>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4"/>
        <w:gridCol w:w="835"/>
        <w:gridCol w:w="1115"/>
        <w:gridCol w:w="4475"/>
        <w:gridCol w:w="83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3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11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447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3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205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：许昌市河湖水系水源调度中心</w:t>
            </w:r>
          </w:p>
        </w:tc>
        <w:tc>
          <w:tcPr>
            <w:tcW w:w="83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11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447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3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205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7366" w:type="dxa"/>
            <w:gridSpan w:val="3"/>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1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4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205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3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1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4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3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05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1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768.62</w:t>
            </w: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205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205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205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205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1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768.62</w:t>
            </w:r>
          </w:p>
        </w:tc>
        <w:tc>
          <w:tcPr>
            <w:tcW w:w="44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205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1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59.44</w:t>
            </w:r>
          </w:p>
        </w:tc>
        <w:tc>
          <w:tcPr>
            <w:tcW w:w="4475"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20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1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4475"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2056"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35" w:type="dxa"/>
            <w:tcBorders>
              <w:top w:val="nil"/>
              <w:left w:val="nil"/>
              <w:bottom w:val="single" w:color="000000" w:sz="8"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1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828.07</w:t>
            </w:r>
          </w:p>
        </w:tc>
        <w:tc>
          <w:tcPr>
            <w:tcW w:w="44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205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pPr w:leftFromText="180" w:rightFromText="180" w:vertAnchor="text" w:horzAnchor="page" w:tblpX="104" w:tblpY="219"/>
        <w:tblOverlap w:val="never"/>
        <w:tblW w:w="16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79"/>
        <w:gridCol w:w="241"/>
        <w:gridCol w:w="276"/>
        <w:gridCol w:w="3580"/>
        <w:gridCol w:w="1625"/>
        <w:gridCol w:w="1625"/>
        <w:gridCol w:w="1069"/>
        <w:gridCol w:w="1070"/>
        <w:gridCol w:w="1070"/>
        <w:gridCol w:w="1070"/>
        <w:gridCol w:w="1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6740" w:type="dxa"/>
            <w:gridSpan w:val="11"/>
            <w:tcBorders>
              <w:top w:val="nil"/>
              <w:left w:val="nil"/>
              <w:bottom w:val="nil"/>
              <w:right w:val="nil"/>
            </w:tcBorders>
            <w:shd w:val="clear" w:color="auto" w:fill="FFFFFF"/>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379"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41"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7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358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2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62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69"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7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7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7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735"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379"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：许昌市河湖水系水源调度中心</w:t>
            </w:r>
          </w:p>
        </w:tc>
        <w:tc>
          <w:tcPr>
            <w:tcW w:w="241"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276"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3580"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625"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625"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069"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070"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070"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070"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735"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4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625"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625"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069"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070"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070"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070"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735"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580"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2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580"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580"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9"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73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476"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62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62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69"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7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7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7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73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476"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768.62</w:t>
            </w:r>
          </w:p>
        </w:tc>
        <w:tc>
          <w:tcPr>
            <w:tcW w:w="1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768.62</w:t>
            </w:r>
          </w:p>
        </w:tc>
        <w:tc>
          <w:tcPr>
            <w:tcW w:w="106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7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580"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625"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06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58.33</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58.33</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58.33</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58.33</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20.84</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20.84</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37.49</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37.49</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17.89</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689.30</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689.30</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水利</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689.30</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689.30</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2130304</w:t>
            </w:r>
          </w:p>
        </w:tc>
        <w:tc>
          <w:tcPr>
            <w:tcW w:w="358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水利行业业务管理</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689.30</w:t>
            </w:r>
          </w:p>
        </w:tc>
        <w:tc>
          <w:tcPr>
            <w:tcW w:w="16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689.30</w:t>
            </w: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89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8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740"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349" w:right="1440" w:bottom="1179" w:left="57" w:header="720" w:footer="720" w:gutter="0"/>
          <w:pgNumType w:fmt="numberInDash"/>
          <w:cols w:space="720" w:num="1"/>
          <w:docGrid w:type="lines" w:linePitch="312" w:charSpace="0"/>
        </w:sectPr>
      </w:pPr>
    </w:p>
    <w:tbl>
      <w:tblPr>
        <w:tblStyle w:val="9"/>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40"/>
        <w:gridCol w:w="4017"/>
        <w:gridCol w:w="1386"/>
        <w:gridCol w:w="1114"/>
        <w:gridCol w:w="1288"/>
        <w:gridCol w:w="1075"/>
        <w:gridCol w:w="862"/>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416" w:type="dxa"/>
            <w:tcBorders>
              <w:top w:val="nil"/>
              <w:left w:val="nil"/>
              <w:bottom w:val="nil"/>
              <w:right w:val="nil"/>
            </w:tcBorders>
            <w:shd w:val="clear" w:color="auto" w:fill="FFFFFF"/>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4017"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386"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114"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288"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1075"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862" w:type="dxa"/>
            <w:tcBorders>
              <w:top w:val="nil"/>
              <w:left w:val="nil"/>
              <w:bottom w:val="nil"/>
              <w:right w:val="nil"/>
            </w:tcBorders>
            <w:shd w:val="clear" w:color="auto" w:fill="FFFFFF"/>
            <w:vAlign w:val="bottom"/>
          </w:tcPr>
          <w:p>
            <w:pPr>
              <w:rPr>
                <w:rFonts w:hint="default" w:ascii="Arial" w:hAnsi="Arial" w:cs="Arial"/>
                <w:i w:val="0"/>
                <w:iCs w:val="0"/>
                <w:color w:val="000000"/>
                <w:sz w:val="20"/>
                <w:szCs w:val="20"/>
                <w:u w:val="none"/>
              </w:rPr>
            </w:pPr>
          </w:p>
        </w:tc>
        <w:tc>
          <w:tcPr>
            <w:tcW w:w="2100"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shd w:val="clear" w:color="auto" w:fill="FFFFFF"/>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：许昌市河湖水系水源调度中心</w:t>
            </w:r>
          </w:p>
        </w:tc>
        <w:tc>
          <w:tcPr>
            <w:tcW w:w="222"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4017"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386"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114"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288"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1075"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862"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0"/>
                <w:szCs w:val="20"/>
                <w:u w:val="none"/>
              </w:rPr>
            </w:pPr>
          </w:p>
        </w:tc>
        <w:tc>
          <w:tcPr>
            <w:tcW w:w="2100" w:type="dxa"/>
            <w:tcBorders>
              <w:top w:val="nil"/>
              <w:left w:val="nil"/>
              <w:bottom w:val="nil"/>
              <w:right w:val="nil"/>
            </w:tcBorders>
            <w:shd w:val="clear" w:color="auto" w:fill="FFFFFF"/>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86"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114"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288"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075"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862"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2100"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017"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8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1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88"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017"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8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1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88"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017"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86"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14"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288"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62"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100"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5"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86"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14"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88"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75"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62"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100" w:type="dxa"/>
            <w:tcBorders>
              <w:top w:val="nil"/>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5" w:type="dxa"/>
            <w:gridSpan w:val="4"/>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828.07</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775.65</w:t>
            </w:r>
          </w:p>
        </w:tc>
        <w:tc>
          <w:tcPr>
            <w:tcW w:w="1288"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52.41</w:t>
            </w: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21.14</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21.14</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40.44</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40.44</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017" w:type="dxa"/>
            <w:tcBorders>
              <w:top w:val="nil"/>
              <w:left w:val="nil"/>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386"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114"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28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0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743.99</w:t>
            </w:r>
          </w:p>
        </w:tc>
        <w:tc>
          <w:tcPr>
            <w:tcW w:w="11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691.57</w:t>
            </w:r>
          </w:p>
        </w:tc>
        <w:tc>
          <w:tcPr>
            <w:tcW w:w="12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52.41</w:t>
            </w:r>
          </w:p>
        </w:tc>
        <w:tc>
          <w:tcPr>
            <w:tcW w:w="10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w:t>
            </w:r>
          </w:p>
        </w:tc>
        <w:tc>
          <w:tcPr>
            <w:tcW w:w="40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水利</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743.99</w:t>
            </w:r>
          </w:p>
        </w:tc>
        <w:tc>
          <w:tcPr>
            <w:tcW w:w="11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691.57</w:t>
            </w:r>
          </w:p>
        </w:tc>
        <w:tc>
          <w:tcPr>
            <w:tcW w:w="12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52.41</w:t>
            </w:r>
          </w:p>
        </w:tc>
        <w:tc>
          <w:tcPr>
            <w:tcW w:w="10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2130304</w:t>
            </w:r>
          </w:p>
        </w:tc>
        <w:tc>
          <w:tcPr>
            <w:tcW w:w="40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水利行业业务管理</w:t>
            </w:r>
          </w:p>
        </w:tc>
        <w:tc>
          <w:tcPr>
            <w:tcW w:w="13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743.99</w:t>
            </w:r>
          </w:p>
        </w:tc>
        <w:tc>
          <w:tcPr>
            <w:tcW w:w="11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691.57</w:t>
            </w:r>
          </w:p>
        </w:tc>
        <w:tc>
          <w:tcPr>
            <w:tcW w:w="12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52.41</w:t>
            </w:r>
          </w:p>
        </w:tc>
        <w:tc>
          <w:tcPr>
            <w:tcW w:w="10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01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72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646" w:bottom="1800" w:left="703" w:header="720" w:footer="720" w:gutter="0"/>
          <w:pgNumType w:fmt="numberInDash"/>
          <w:cols w:space="720" w:num="1"/>
          <w:docGrid w:type="lines" w:linePitch="312" w:charSpace="0"/>
        </w:sectPr>
      </w:pPr>
    </w:p>
    <w:tbl>
      <w:tblPr>
        <w:tblStyle w:val="9"/>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8"/>
        <w:gridCol w:w="539"/>
        <w:gridCol w:w="1240"/>
        <w:gridCol w:w="4241"/>
        <w:gridCol w:w="539"/>
        <w:gridCol w:w="978"/>
        <w:gridCol w:w="1240"/>
        <w:gridCol w:w="865"/>
        <w:gridCol w:w="1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720"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6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3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24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3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7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6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10"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68"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：许昌市河湖水系水源调度中心</w:t>
            </w:r>
          </w:p>
        </w:tc>
        <w:tc>
          <w:tcPr>
            <w:tcW w:w="539"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240"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4241"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539"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978"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240"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6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910"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4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9773"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416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3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2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24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3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9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8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9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16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3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2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3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6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3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2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3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9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768.62</w:t>
            </w: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743.99</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743.99</w:t>
            </w: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768.62</w:t>
            </w:r>
          </w:p>
        </w:tc>
        <w:tc>
          <w:tcPr>
            <w:tcW w:w="42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828.07</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828.07</w:t>
            </w: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59.44</w:t>
            </w:r>
          </w:p>
        </w:tc>
        <w:tc>
          <w:tcPr>
            <w:tcW w:w="42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59.44</w:t>
            </w:r>
          </w:p>
        </w:tc>
        <w:tc>
          <w:tcPr>
            <w:tcW w:w="424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4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39"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828.07</w:t>
            </w:r>
          </w:p>
        </w:tc>
        <w:tc>
          <w:tcPr>
            <w:tcW w:w="424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828.07</w:t>
            </w:r>
          </w:p>
        </w:tc>
        <w:tc>
          <w:tcPr>
            <w:tcW w:w="12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828.07</w:t>
            </w:r>
          </w:p>
        </w:tc>
        <w:tc>
          <w:tcPr>
            <w:tcW w:w="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720"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590" w:bottom="1800" w:left="363" w:header="720" w:footer="720" w:gutter="0"/>
          <w:pgNumType w:fmt="numberInDash"/>
          <w:cols w:space="720" w:num="1"/>
          <w:docGrid w:type="lines" w:linePitch="312" w:charSpace="0"/>
        </w:sectPr>
      </w:pPr>
    </w:p>
    <w:tbl>
      <w:tblPr>
        <w:tblStyle w:val="9"/>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3956"/>
        <w:gridCol w:w="1751"/>
        <w:gridCol w:w="1733"/>
        <w:gridCol w:w="2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58"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5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58"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：许昌市河湖水系水源调度中心</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5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3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58"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04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75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73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55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8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5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5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7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7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5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828.07</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775.65</w:t>
            </w:r>
          </w:p>
        </w:tc>
        <w:tc>
          <w:tcPr>
            <w:tcW w:w="2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61.58</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21.14</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21.14</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40.44</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40.44</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19.40</w:t>
            </w: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743.99</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691.57</w:t>
            </w:r>
          </w:p>
        </w:tc>
        <w:tc>
          <w:tcPr>
            <w:tcW w:w="2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水利</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743.99</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691.57</w:t>
            </w:r>
          </w:p>
        </w:tc>
        <w:tc>
          <w:tcPr>
            <w:tcW w:w="2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2130304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水利行业业务管理</w:t>
            </w:r>
          </w:p>
        </w:tc>
        <w:tc>
          <w:tcPr>
            <w:tcW w:w="17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743.99</w:t>
            </w:r>
          </w:p>
        </w:tc>
        <w:tc>
          <w:tcPr>
            <w:tcW w:w="173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691.57</w:t>
            </w:r>
          </w:p>
        </w:tc>
        <w:tc>
          <w:tcPr>
            <w:tcW w:w="255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3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5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58"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6714" w:type="dxa"/>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47"/>
        <w:gridCol w:w="3090"/>
        <w:gridCol w:w="876"/>
        <w:gridCol w:w="766"/>
        <w:gridCol w:w="2124"/>
        <w:gridCol w:w="876"/>
        <w:gridCol w:w="766"/>
        <w:gridCol w:w="3861"/>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14"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09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2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08"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37" w:type="dxa"/>
            <w:gridSpan w:val="2"/>
            <w:tcBorders>
              <w:top w:val="nil"/>
              <w:left w:val="nil"/>
              <w:bottom w:val="nil"/>
              <w:right w:val="nil"/>
            </w:tcBorders>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：许昌市河湖水系水源调度中心</w:t>
            </w: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2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6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08"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1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701"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4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09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12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86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4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0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86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608.94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141.13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231.37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15.50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8.60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207.46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38.96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42.82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35.17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14.78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20.74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24.87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21.14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75.75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386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86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09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86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09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12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4.23</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86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37"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633.81</w:t>
            </w:r>
          </w:p>
        </w:tc>
        <w:tc>
          <w:tcPr>
            <w:tcW w:w="8393"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3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14"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227" w:bottom="1519" w:left="136" w:header="720" w:footer="720" w:gutter="0"/>
          <w:pgNumType w:fmt="numberInDash"/>
          <w:cols w:space="720" w:num="1"/>
          <w:docGrid w:type="lines" w:linePitch="312" w:charSpace="0"/>
        </w:sectPr>
      </w:pPr>
    </w:p>
    <w:tbl>
      <w:tblPr>
        <w:tblStyle w:val="9"/>
        <w:tblW w:w="13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1151"/>
        <w:gridCol w:w="896"/>
        <w:gridCol w:w="612"/>
        <w:gridCol w:w="896"/>
        <w:gridCol w:w="782"/>
        <w:gridCol w:w="896"/>
        <w:gridCol w:w="1151"/>
        <w:gridCol w:w="896"/>
        <w:gridCol w:w="612"/>
        <w:gridCol w:w="89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3820"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41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151"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612"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782"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151"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612"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4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：许昌市河湖水系水源调度中心</w:t>
            </w:r>
          </w:p>
        </w:tc>
        <w:tc>
          <w:tcPr>
            <w:tcW w:w="1151"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612"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782"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151"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612"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89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75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067"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5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240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78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8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5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240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34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61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8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78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61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8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1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7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8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61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16"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9.00</w:t>
            </w: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8.50</w:t>
            </w:r>
          </w:p>
        </w:tc>
        <w:tc>
          <w:tcPr>
            <w:tcW w:w="6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8.50</w:t>
            </w:r>
          </w:p>
        </w:tc>
        <w:tc>
          <w:tcPr>
            <w:tcW w:w="782" w:type="dxa"/>
            <w:tcBorders>
              <w:top w:val="nil"/>
              <w:left w:val="nil"/>
              <w:bottom w:val="single" w:color="000000" w:sz="4" w:space="0"/>
              <w:right w:val="single" w:color="000000" w:sz="4" w:space="0"/>
            </w:tcBorders>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0.50</w:t>
            </w:r>
          </w:p>
        </w:tc>
        <w:tc>
          <w:tcPr>
            <w:tcW w:w="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8.42</w:t>
            </w:r>
          </w:p>
        </w:tc>
        <w:tc>
          <w:tcPr>
            <w:tcW w:w="115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8.42</w:t>
            </w:r>
          </w:p>
        </w:tc>
        <w:tc>
          <w:tcPr>
            <w:tcW w:w="6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9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8.42</w:t>
            </w: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382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9"/>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56"/>
        <w:gridCol w:w="283"/>
        <w:gridCol w:w="283"/>
        <w:gridCol w:w="1295"/>
        <w:gridCol w:w="1336"/>
        <w:gridCol w:w="1336"/>
        <w:gridCol w:w="1336"/>
        <w:gridCol w:w="1336"/>
        <w:gridCol w:w="1336"/>
        <w:gridCol w:w="2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5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8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03"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5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：许昌市河湖水系水源调度中心</w:t>
            </w:r>
          </w:p>
        </w:tc>
        <w:tc>
          <w:tcPr>
            <w:tcW w:w="283"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283"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295"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33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33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33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33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1336" w:type="dxa"/>
            <w:tcBorders>
              <w:top w:val="nil"/>
              <w:left w:val="nil"/>
              <w:bottom w:val="nil"/>
              <w:right w:val="nil"/>
            </w:tcBorders>
            <w:vAlign w:val="bottom"/>
          </w:tcPr>
          <w:p>
            <w:pPr>
              <w:rPr>
                <w:rFonts w:hint="eastAsia" w:ascii="宋体" w:hAnsi="宋体" w:eastAsia="宋体" w:cs="宋体"/>
                <w:i w:val="0"/>
                <w:iCs w:val="0"/>
                <w:color w:val="000000"/>
                <w:sz w:val="20"/>
                <w:szCs w:val="20"/>
                <w:u w:val="none"/>
              </w:rPr>
            </w:pPr>
          </w:p>
        </w:tc>
        <w:tc>
          <w:tcPr>
            <w:tcW w:w="2103"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1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w:t>
            </w:r>
          </w:p>
        </w:tc>
        <w:tc>
          <w:tcPr>
            <w:tcW w:w="133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年初结转和结余</w:t>
            </w:r>
          </w:p>
        </w:tc>
        <w:tc>
          <w:tcPr>
            <w:tcW w:w="133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本年收入</w:t>
            </w:r>
          </w:p>
        </w:tc>
        <w:tc>
          <w:tcPr>
            <w:tcW w:w="4008"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本年支出</w:t>
            </w:r>
          </w:p>
        </w:tc>
        <w:tc>
          <w:tcPr>
            <w:tcW w:w="210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2"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功能分类科目编码</w:t>
            </w:r>
          </w:p>
        </w:tc>
        <w:tc>
          <w:tcPr>
            <w:tcW w:w="129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科目名称</w:t>
            </w:r>
          </w:p>
        </w:tc>
        <w:tc>
          <w:tcPr>
            <w:tcW w:w="13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小计</w:t>
            </w:r>
          </w:p>
        </w:tc>
        <w:tc>
          <w:tcPr>
            <w:tcW w:w="133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基本支出</w:t>
            </w:r>
          </w:p>
        </w:tc>
        <w:tc>
          <w:tcPr>
            <w:tcW w:w="133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项目支出</w:t>
            </w:r>
          </w:p>
        </w:tc>
        <w:tc>
          <w:tcPr>
            <w:tcW w:w="21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1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2"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2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3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21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1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栏次</w:t>
            </w:r>
          </w:p>
        </w:tc>
        <w:tc>
          <w:tcPr>
            <w:tcW w:w="13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3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3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3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33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21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17"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合计</w:t>
            </w: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c>
          <w:tcPr>
            <w:tcW w:w="210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9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1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9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1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9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1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9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1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9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1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2"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29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13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21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注：本表反映</w:t>
            </w: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highlight w:val="none"/>
        </w:rPr>
      </w:pPr>
      <w:r>
        <w:rPr>
          <w:rFonts w:hint="eastAsia" w:ascii="仿宋" w:hAnsi="仿宋" w:eastAsia="仿宋" w:cs="仿宋"/>
          <w:color w:val="000000"/>
          <w:sz w:val="32"/>
          <w:szCs w:val="32"/>
          <w:highlight w:val="none"/>
        </w:rPr>
        <w:t>说明：我</w:t>
      </w:r>
      <w:r>
        <w:rPr>
          <w:rFonts w:hint="eastAsia" w:ascii="仿宋" w:hAnsi="仿宋" w:eastAsia="仿宋" w:cs="仿宋"/>
          <w:color w:val="000000"/>
          <w:sz w:val="32"/>
          <w:szCs w:val="32"/>
          <w:highlight w:val="none"/>
          <w:lang w:eastAsia="zh-CN"/>
        </w:rPr>
        <w:t>单位</w:t>
      </w:r>
      <w:r>
        <w:rPr>
          <w:rFonts w:hint="eastAsia" w:ascii="仿宋" w:hAnsi="仿宋" w:eastAsia="仿宋" w:cs="仿宋"/>
          <w:color w:val="000000"/>
          <w:sz w:val="32"/>
          <w:szCs w:val="32"/>
          <w:highlight w:val="none"/>
        </w:rPr>
        <w:t>没有政府性基金收入，也没有使用政府性基金安排的支出，故本表无数据</w:t>
      </w:r>
      <w:r>
        <w:rPr>
          <w:rFonts w:hint="eastAsia" w:ascii="宋体" w:hAnsi="宋体" w:cs="宋体"/>
          <w:color w:val="000000"/>
          <w:sz w:val="24"/>
          <w:szCs w:val="24"/>
          <w:highlight w:val="none"/>
        </w:rPr>
        <w:t>。</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spacing w:before="0" w:line="590" w:lineRule="exact"/>
        <w:ind w:firstLine="640"/>
        <w:rPr>
          <w:rFonts w:hint="default" w:ascii="Times New Roman" w:hAnsi="Times New Roman" w:eastAsia="Times New Roman"/>
          <w:sz w:val="32"/>
          <w:szCs w:val="24"/>
        </w:rPr>
      </w:pPr>
      <w:r>
        <w:rPr>
          <w:rFonts w:hint="eastAsia" w:ascii="黑体" w:hAnsi="黑体" w:eastAsia="黑体"/>
          <w:sz w:val="32"/>
          <w:szCs w:val="24"/>
        </w:rPr>
        <w:t>一、收入支出决算总体情况说明</w:t>
      </w:r>
    </w:p>
    <w:p>
      <w:pPr>
        <w:ind w:firstLine="640" w:firstLineChars="200"/>
        <w:outlineLvl w:val="0"/>
        <w:rPr>
          <w:rFonts w:hint="default" w:ascii="Times New Roman" w:hAnsi="Times New Roman" w:eastAsia="Times New Roman"/>
          <w:kern w:val="0"/>
          <w:sz w:val="18"/>
          <w:szCs w:val="24"/>
          <w:lang w:val="zh-CN"/>
        </w:rPr>
      </w:pPr>
      <w:r>
        <w:rPr>
          <w:rFonts w:hint="eastAsia" w:ascii="仿宋_GB2312" w:hAnsi="仿宋_GB2312" w:eastAsia="仿宋_GB2312"/>
          <w:sz w:val="32"/>
          <w:szCs w:val="24"/>
        </w:rPr>
        <w:t>2021年度收、支总计均为828.07万元。与上年度相比，收、支总计各增加46.25万元，增长5.92%。主要原因是</w:t>
      </w:r>
      <w:r>
        <w:rPr>
          <w:rFonts w:hint="eastAsia" w:ascii="仿宋_GB2312" w:hAnsi="仿宋_GB2312" w:eastAsia="仿宋_GB2312"/>
          <w:sz w:val="32"/>
          <w:szCs w:val="24"/>
          <w:lang w:val="en-US" w:eastAsia="zh-CN"/>
        </w:rPr>
        <w:t>增加</w:t>
      </w:r>
      <w:r>
        <w:rPr>
          <w:rFonts w:hint="eastAsia" w:ascii="仿宋" w:hAnsi="仿宋" w:eastAsia="仿宋" w:cs="仿宋"/>
          <w:sz w:val="32"/>
          <w:szCs w:val="32"/>
          <w:lang w:eastAsia="zh-CN"/>
        </w:rPr>
        <w:t>河湖水系维修养护</w:t>
      </w:r>
      <w:r>
        <w:rPr>
          <w:rFonts w:hint="eastAsia" w:ascii="仿宋" w:hAnsi="仿宋" w:eastAsia="仿宋" w:cs="仿宋"/>
          <w:sz w:val="32"/>
          <w:szCs w:val="32"/>
          <w:lang w:val="en-US" w:eastAsia="zh-CN"/>
        </w:rPr>
        <w:t>、关庄泵站运行电费等4个</w:t>
      </w:r>
      <w:r>
        <w:rPr>
          <w:rFonts w:hint="eastAsia" w:ascii="仿宋_GB2312" w:hAnsi="仿宋_GB2312" w:eastAsia="仿宋_GB2312"/>
          <w:sz w:val="32"/>
          <w:szCs w:val="24"/>
          <w:lang w:val="en-US" w:eastAsia="zh-CN"/>
        </w:rPr>
        <w:t>项目</w:t>
      </w:r>
      <w:r>
        <w:rPr>
          <w:rFonts w:hint="eastAsia" w:ascii="仿宋_GB2312" w:hAnsi="仿宋_GB2312" w:eastAsia="仿宋_GB2312"/>
          <w:sz w:val="32"/>
          <w:szCs w:val="24"/>
        </w:rPr>
        <w:t>。</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二、收入决算情况说明</w:t>
      </w:r>
    </w:p>
    <w:p>
      <w:pPr>
        <w:spacing w:before="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2021年度收入合计768.62万元，其中：财政拨款收入768.62万元，占</w:t>
      </w:r>
      <w:r>
        <w:rPr>
          <w:rFonts w:hint="eastAsia" w:ascii="仿宋_GB2312" w:hAnsi="仿宋_GB2312" w:eastAsia="仿宋_GB2312"/>
          <w:sz w:val="32"/>
          <w:szCs w:val="24"/>
          <w:lang w:val="en-US" w:eastAsia="zh-CN"/>
        </w:rPr>
        <w:t>100%</w:t>
      </w:r>
      <w:r>
        <w:rPr>
          <w:rFonts w:hint="eastAsia" w:ascii="仿宋_GB2312" w:hAnsi="仿宋_GB2312" w:eastAsia="仿宋_GB2312"/>
          <w:sz w:val="32"/>
          <w:szCs w:val="24"/>
          <w:lang w:val="en-US"/>
        </w:rPr>
        <w:t>；上级补助收入</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%；事业收入</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%；经营收入</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%；附属单位上缴收入</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%；其他收入0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三、支出决算情况说明</w:t>
      </w:r>
    </w:p>
    <w:p>
      <w:pPr>
        <w:spacing w:before="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2021年度支出合计828.07万元，其中：基本支出775.65万元，占93.67%；项目支出52.41万元，占6.33%；上缴上级支出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%；经营支出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%；对附属单位补助支出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四、财政拨款收入支出决算总体情况说明</w:t>
      </w:r>
    </w:p>
    <w:p>
      <w:pPr>
        <w:spacing w:before="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2021年度财政拨款收、支总计均为828.07万元。与上年度相比，财政拨款收、支总计各增加46.25万元，增长5.92%。</w:t>
      </w:r>
      <w:r>
        <w:rPr>
          <w:rFonts w:hint="eastAsia" w:ascii="仿宋_GB2312" w:hAnsi="仿宋_GB2312" w:eastAsia="仿宋_GB2312"/>
          <w:sz w:val="32"/>
          <w:szCs w:val="24"/>
        </w:rPr>
        <w:t>主要原因是</w:t>
      </w:r>
      <w:r>
        <w:rPr>
          <w:rFonts w:hint="eastAsia" w:ascii="仿宋_GB2312" w:hAnsi="仿宋_GB2312" w:eastAsia="仿宋_GB2312"/>
          <w:sz w:val="32"/>
          <w:szCs w:val="24"/>
          <w:lang w:val="en-US" w:eastAsia="zh-CN"/>
        </w:rPr>
        <w:t>增加</w:t>
      </w:r>
      <w:r>
        <w:rPr>
          <w:rFonts w:hint="eastAsia" w:ascii="仿宋" w:hAnsi="仿宋" w:eastAsia="仿宋" w:cs="仿宋"/>
          <w:sz w:val="32"/>
          <w:szCs w:val="32"/>
          <w:lang w:eastAsia="zh-CN"/>
        </w:rPr>
        <w:t>河湖水系维修养护</w:t>
      </w:r>
      <w:r>
        <w:rPr>
          <w:rFonts w:hint="eastAsia" w:ascii="仿宋" w:hAnsi="仿宋" w:eastAsia="仿宋" w:cs="仿宋"/>
          <w:sz w:val="32"/>
          <w:szCs w:val="32"/>
          <w:lang w:val="en-US" w:eastAsia="zh-CN"/>
        </w:rPr>
        <w:t>、关庄泵站运行电费等4个</w:t>
      </w:r>
      <w:r>
        <w:rPr>
          <w:rFonts w:hint="eastAsia" w:ascii="仿宋_GB2312" w:hAnsi="仿宋_GB2312" w:eastAsia="仿宋_GB2312"/>
          <w:sz w:val="32"/>
          <w:szCs w:val="24"/>
          <w:lang w:val="en-US" w:eastAsia="zh-CN"/>
        </w:rPr>
        <w:t>项目</w:t>
      </w:r>
      <w:r>
        <w:rPr>
          <w:rFonts w:hint="eastAsia" w:ascii="仿宋_GB2312" w:hAnsi="仿宋_GB2312" w:eastAsia="仿宋_GB2312"/>
          <w:sz w:val="32"/>
          <w:szCs w:val="24"/>
        </w:rPr>
        <w:t>。</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五、一般公共预算财政拨款支出决算情况说明</w:t>
      </w:r>
    </w:p>
    <w:p>
      <w:pPr>
        <w:spacing w:before="0" w:line="590" w:lineRule="exact"/>
        <w:ind w:firstLine="640"/>
        <w:rPr>
          <w:rFonts w:hint="default" w:ascii="Times New Roman" w:hAnsi="Times New Roman" w:eastAsia="Times New Roman"/>
          <w:b/>
          <w:sz w:val="32"/>
          <w:szCs w:val="24"/>
          <w:lang w:val="en-US"/>
        </w:rPr>
      </w:pPr>
      <w:r>
        <w:rPr>
          <w:rFonts w:hint="eastAsia" w:ascii="楷体_GB2312" w:hAnsi="楷体_GB2312" w:eastAsia="楷体_GB2312"/>
          <w:b/>
          <w:sz w:val="32"/>
          <w:szCs w:val="24"/>
          <w:lang w:val="en-US"/>
        </w:rPr>
        <w:t>（一）总体情况。</w:t>
      </w:r>
    </w:p>
    <w:p>
      <w:pPr>
        <w:spacing w:before="0"/>
        <w:jc w:val="left"/>
        <w:rPr>
          <w:rFonts w:hint="eastAsia" w:ascii="宋体" w:hAnsi="宋体"/>
          <w:kern w:val="0"/>
          <w:sz w:val="18"/>
          <w:szCs w:val="24"/>
          <w:lang w:val="zh-CN"/>
        </w:rPr>
      </w:pPr>
      <w:r>
        <w:rPr>
          <w:rFonts w:hint="eastAsia" w:ascii="仿宋_GB2312" w:hAnsi="仿宋_GB2312" w:eastAsia="仿宋_GB2312"/>
          <w:sz w:val="32"/>
          <w:szCs w:val="24"/>
          <w:lang w:val="en-US"/>
        </w:rPr>
        <w:t xml:space="preserve">    2021年度一般公共预算财政拨款支出828.07万元，占支出合计的100%。与上年度相比，一般公共预算财政拨款支出增加98.03万元，增长13.43%。</w:t>
      </w:r>
      <w:r>
        <w:rPr>
          <w:rFonts w:hint="eastAsia" w:ascii="仿宋_GB2312" w:hAnsi="仿宋_GB2312" w:eastAsia="仿宋_GB2312"/>
          <w:sz w:val="32"/>
          <w:szCs w:val="24"/>
        </w:rPr>
        <w:t>主要原因是</w:t>
      </w:r>
      <w:r>
        <w:rPr>
          <w:rFonts w:hint="eastAsia" w:ascii="仿宋_GB2312" w:hAnsi="仿宋_GB2312" w:eastAsia="仿宋_GB2312"/>
          <w:sz w:val="32"/>
          <w:szCs w:val="24"/>
          <w:lang w:val="en-US" w:eastAsia="zh-CN"/>
        </w:rPr>
        <w:t>增加</w:t>
      </w:r>
      <w:r>
        <w:rPr>
          <w:rFonts w:hint="eastAsia" w:ascii="仿宋" w:hAnsi="仿宋" w:eastAsia="仿宋" w:cs="仿宋"/>
          <w:sz w:val="32"/>
          <w:szCs w:val="32"/>
          <w:lang w:eastAsia="zh-CN"/>
        </w:rPr>
        <w:t>河湖水系维修养护</w:t>
      </w:r>
      <w:r>
        <w:rPr>
          <w:rFonts w:hint="eastAsia" w:ascii="仿宋" w:hAnsi="仿宋" w:eastAsia="仿宋" w:cs="仿宋"/>
          <w:sz w:val="32"/>
          <w:szCs w:val="32"/>
          <w:lang w:val="en-US" w:eastAsia="zh-CN"/>
        </w:rPr>
        <w:t>、关庄泵站运行电费等4个</w:t>
      </w:r>
      <w:r>
        <w:rPr>
          <w:rFonts w:hint="eastAsia" w:ascii="仿宋_GB2312" w:hAnsi="仿宋_GB2312" w:eastAsia="仿宋_GB2312"/>
          <w:sz w:val="32"/>
          <w:szCs w:val="24"/>
          <w:lang w:val="en-US" w:eastAsia="zh-CN"/>
        </w:rPr>
        <w:t>项目</w:t>
      </w:r>
      <w:r>
        <w:rPr>
          <w:rFonts w:hint="eastAsia" w:ascii="仿宋_GB2312" w:hAnsi="仿宋_GB2312" w:eastAsia="仿宋_GB2312"/>
          <w:sz w:val="32"/>
          <w:szCs w:val="24"/>
        </w:rPr>
        <w:t>。</w:t>
      </w:r>
    </w:p>
    <w:p>
      <w:pPr>
        <w:spacing w:before="0" w:line="590" w:lineRule="exact"/>
        <w:ind w:firstLine="640"/>
        <w:rPr>
          <w:rFonts w:hint="default" w:ascii="Times New Roman" w:hAnsi="Times New Roman" w:eastAsia="Times New Roman"/>
          <w:b/>
          <w:sz w:val="32"/>
          <w:szCs w:val="24"/>
          <w:lang w:val="en-US"/>
        </w:rPr>
      </w:pPr>
      <w:r>
        <w:rPr>
          <w:rFonts w:hint="eastAsia" w:ascii="楷体_GB2312" w:hAnsi="楷体_GB2312" w:eastAsia="楷体_GB2312"/>
          <w:b/>
          <w:sz w:val="32"/>
          <w:szCs w:val="24"/>
          <w:lang w:val="en-US"/>
        </w:rPr>
        <w:t>（二）结构情况。</w:t>
      </w:r>
    </w:p>
    <w:p>
      <w:pPr>
        <w:spacing w:before="0" w:line="590" w:lineRule="exact"/>
        <w:ind w:firstLine="640"/>
        <w:rPr>
          <w:rFonts w:hint="eastAsia" w:ascii="仿宋_GB2312" w:hAnsi="仿宋_GB2312" w:eastAsia="仿宋_GB2312"/>
          <w:sz w:val="32"/>
          <w:szCs w:val="24"/>
          <w:lang w:val="en-US"/>
        </w:rPr>
      </w:pPr>
      <w:r>
        <w:rPr>
          <w:rFonts w:hint="eastAsia" w:ascii="仿宋_GB2312" w:hAnsi="仿宋_GB2312" w:eastAsia="仿宋_GB2312"/>
          <w:sz w:val="32"/>
          <w:szCs w:val="24"/>
          <w:lang w:val="en-US"/>
        </w:rPr>
        <w:t>2021年度一般公共预算财政拨款支出828.07万元，主要用于以下方面：一般公共服务（类）支出</w:t>
      </w:r>
      <w:r>
        <w:rPr>
          <w:rFonts w:hint="eastAsia" w:ascii="仿宋_GB2312" w:hAnsi="仿宋_GB2312" w:eastAsia="仿宋_GB2312"/>
          <w:sz w:val="32"/>
          <w:szCs w:val="24"/>
          <w:lang w:val="en-US" w:eastAsia="zh-CN"/>
        </w:rPr>
        <w:tab/>
      </w:r>
      <w:r>
        <w:rPr>
          <w:rFonts w:hint="eastAsia" w:ascii="仿宋_GB2312" w:hAnsi="仿宋_GB2312" w:eastAsia="仿宋_GB2312"/>
          <w:sz w:val="32"/>
          <w:szCs w:val="24"/>
          <w:lang w:val="en-US" w:eastAsia="zh-CN"/>
        </w:rPr>
        <w:t>3.10</w:t>
      </w:r>
      <w:r>
        <w:rPr>
          <w:rFonts w:hint="eastAsia" w:ascii="仿宋_GB2312" w:hAnsi="仿宋_GB2312" w:eastAsia="仿宋_GB2312"/>
          <w:sz w:val="32"/>
          <w:szCs w:val="24"/>
          <w:lang w:val="en-US"/>
        </w:rPr>
        <w:t>万元，占</w:t>
      </w:r>
      <w:r>
        <w:rPr>
          <w:rFonts w:hint="eastAsia" w:ascii="仿宋_GB2312" w:hAnsi="仿宋_GB2312" w:eastAsia="仿宋_GB2312"/>
          <w:sz w:val="32"/>
          <w:szCs w:val="24"/>
          <w:lang w:val="en-US" w:eastAsia="zh-CN"/>
        </w:rPr>
        <w:t>0.37</w:t>
      </w:r>
      <w:r>
        <w:rPr>
          <w:rFonts w:hint="eastAsia" w:ascii="仿宋_GB2312" w:hAnsi="仿宋_GB2312" w:eastAsia="仿宋_GB2312"/>
          <w:sz w:val="32"/>
          <w:szCs w:val="24"/>
          <w:lang w:val="en-US"/>
        </w:rPr>
        <w:t>%；</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61.58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7.44</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19.40</w:t>
      </w:r>
      <w:r>
        <w:rPr>
          <w:rFonts w:hint="eastAsia" w:ascii="仿宋_GB2312" w:hAnsi="仿宋_GB2312" w:eastAsia="仿宋_GB2312" w:cs="仿宋_GB2312"/>
          <w:sz w:val="32"/>
          <w:szCs w:val="32"/>
        </w:rPr>
        <w:t>万元，占2.</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%；农林水（类）支出</w:t>
      </w:r>
      <w:r>
        <w:rPr>
          <w:rFonts w:hint="eastAsia" w:ascii="仿宋_GB2312" w:hAnsi="仿宋_GB2312" w:eastAsia="仿宋_GB2312" w:cs="仿宋_GB2312"/>
          <w:sz w:val="32"/>
          <w:szCs w:val="32"/>
          <w:lang w:val="en-US" w:eastAsia="zh-CN"/>
        </w:rPr>
        <w:t>743.99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89.85</w:t>
      </w:r>
      <w:r>
        <w:rPr>
          <w:rFonts w:hint="eastAsia" w:ascii="仿宋_GB2312" w:hAnsi="仿宋_GB2312" w:eastAsia="仿宋_GB2312" w:cs="仿宋_GB2312"/>
          <w:sz w:val="32"/>
          <w:szCs w:val="32"/>
        </w:rPr>
        <w:t>%；</w:t>
      </w:r>
      <w:r>
        <w:rPr>
          <w:rFonts w:hint="eastAsia" w:ascii="仿宋_GB2312" w:hAnsi="仿宋_GB2312" w:eastAsia="仿宋_GB2312"/>
          <w:sz w:val="32"/>
          <w:szCs w:val="24"/>
          <w:lang w:val="en-US"/>
        </w:rPr>
        <w:t>。</w:t>
      </w:r>
    </w:p>
    <w:p>
      <w:pPr>
        <w:spacing w:before="0" w:line="590" w:lineRule="exact"/>
        <w:ind w:firstLine="640"/>
        <w:rPr>
          <w:rFonts w:hint="default" w:ascii="Times New Roman" w:hAnsi="Times New Roman" w:eastAsia="Times New Roman"/>
          <w:b/>
          <w:sz w:val="32"/>
          <w:szCs w:val="24"/>
          <w:lang w:val="en-US"/>
        </w:rPr>
      </w:pPr>
      <w:r>
        <w:rPr>
          <w:rFonts w:hint="eastAsia" w:ascii="楷体_GB2312" w:hAnsi="楷体_GB2312" w:eastAsia="楷体_GB2312"/>
          <w:b/>
          <w:sz w:val="32"/>
          <w:szCs w:val="24"/>
          <w:lang w:val="en-US"/>
        </w:rPr>
        <w:t>（三）具体情况。</w:t>
      </w:r>
    </w:p>
    <w:p>
      <w:pPr>
        <w:spacing w:before="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sz w:val="32"/>
          <w:szCs w:val="24"/>
          <w:lang w:val="en-US"/>
        </w:rPr>
        <w:t>2021年度一般公共预算财政拨款支出年初预算为696.21万元，支出决算为828.07万元，完成年初预算的118.94%。其中：</w:t>
      </w:r>
    </w:p>
    <w:p>
      <w:pPr>
        <w:autoSpaceDE w:val="0"/>
        <w:autoSpaceDN w:val="0"/>
        <w:spacing w:line="360" w:lineRule="auto"/>
        <w:ind w:firstLine="643" w:firstLineChars="200"/>
        <w:rPr>
          <w:rFonts w:hint="eastAsia" w:ascii="仿宋_GB2312" w:hAnsi="仿宋_GB2312" w:eastAsia="仿宋_GB2312" w:cs="仿宋_GB2312"/>
          <w:sz w:val="32"/>
          <w:szCs w:val="32"/>
          <w:lang w:val="zh-CN"/>
        </w:rPr>
      </w:pPr>
      <w:r>
        <w:rPr>
          <w:rFonts w:ascii="仿宋_GB2312" w:hAnsi="仿宋_GB2312" w:eastAsia="仿宋_GB2312" w:cs="仿宋_GB2312"/>
          <w:b/>
          <w:bCs/>
          <w:sz w:val="32"/>
          <w:szCs w:val="32"/>
        </w:rPr>
        <w:t>1.一般公共服务（类）群众团体事</w:t>
      </w:r>
      <w:r>
        <w:rPr>
          <w:rFonts w:hint="eastAsia" w:ascii="仿宋_GB2312" w:hAnsi="仿宋_GB2312" w:eastAsia="仿宋_GB2312" w:cs="仿宋_GB2312"/>
          <w:b/>
          <w:bCs/>
          <w:sz w:val="32"/>
          <w:szCs w:val="32"/>
        </w:rPr>
        <w:t>务</w:t>
      </w:r>
      <w:r>
        <w:rPr>
          <w:rFonts w:ascii="仿宋_GB2312" w:hAnsi="仿宋_GB2312" w:eastAsia="仿宋_GB2312" w:cs="仿宋_GB2312"/>
          <w:b/>
          <w:bCs/>
          <w:sz w:val="32"/>
          <w:szCs w:val="32"/>
        </w:rPr>
        <w:t>（款）工会事</w:t>
      </w:r>
      <w:r>
        <w:rPr>
          <w:rFonts w:hint="eastAsia" w:ascii="仿宋_GB2312" w:hAnsi="仿宋_GB2312" w:eastAsia="仿宋_GB2312" w:cs="仿宋_GB2312"/>
          <w:b/>
          <w:bCs/>
          <w:sz w:val="32"/>
          <w:szCs w:val="32"/>
        </w:rPr>
        <w:t>务</w:t>
      </w:r>
      <w:r>
        <w:rPr>
          <w:rFonts w:ascii="仿宋_GB2312" w:hAnsi="仿宋_GB2312" w:eastAsia="仿宋_GB2312" w:cs="仿宋_GB2312"/>
          <w:b/>
          <w:bCs/>
          <w:sz w:val="32"/>
          <w:szCs w:val="32"/>
        </w:rPr>
        <w:t>（项）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万元，支出决算为</w:t>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lang w:eastAsia="zh-CN"/>
        </w:rPr>
        <w:t>100%</w:t>
      </w:r>
      <w:r>
        <w:rPr>
          <w:rFonts w:hint="eastAsia" w:ascii="仿宋_GB2312" w:hAnsi="仿宋_GB2312" w:eastAsia="仿宋_GB2312" w:cs="仿宋_GB2312"/>
          <w:sz w:val="32"/>
          <w:szCs w:val="32"/>
          <w:lang w:val="zh-CN"/>
        </w:rPr>
        <w:t>。决算数与年初预算数不存在差异。</w:t>
      </w:r>
    </w:p>
    <w:p>
      <w:pPr>
        <w:autoSpaceDE w:val="0"/>
        <w:autoSpaceDN w:val="0"/>
        <w:spacing w:line="360" w:lineRule="auto"/>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2.社会保障和就业支出（类）行政事业单位离退休（款）事业单位离退休（项）</w:t>
      </w:r>
      <w:r>
        <w:rPr>
          <w:rFonts w:hint="eastAsia" w:ascii="仿宋_GB2312" w:hAnsi="仿宋_GB2312" w:eastAsia="仿宋_GB2312" w:cs="仿宋_GB2312"/>
          <w:sz w:val="32"/>
          <w:szCs w:val="32"/>
          <w:lang w:val="zh-CN"/>
        </w:rPr>
        <w:t>年初预算为</w:t>
      </w:r>
      <w:r>
        <w:rPr>
          <w:rFonts w:hint="eastAsia" w:ascii="仿宋_GB2312" w:hAnsi="仿宋_GB2312" w:eastAsia="仿宋_GB2312" w:cs="仿宋_GB2312"/>
          <w:sz w:val="32"/>
          <w:szCs w:val="32"/>
          <w:lang w:val="en-US" w:eastAsia="zh-CN"/>
        </w:rPr>
        <w:t>19.22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支出决算为</w:t>
      </w:r>
      <w:r>
        <w:rPr>
          <w:rFonts w:hint="eastAsia" w:ascii="仿宋_GB2312" w:hAnsi="仿宋_GB2312" w:eastAsia="仿宋_GB2312" w:cs="仿宋_GB2312"/>
          <w:sz w:val="32"/>
          <w:szCs w:val="32"/>
          <w:lang w:val="en-US" w:eastAsia="zh-CN"/>
        </w:rPr>
        <w:t>21.14</w:t>
      </w:r>
      <w:r>
        <w:rPr>
          <w:rFonts w:hint="eastAsia" w:ascii="仿宋_GB2312" w:hAnsi="仿宋_GB2312" w:eastAsia="仿宋_GB2312" w:cs="仿宋_GB2312"/>
          <w:sz w:val="32"/>
          <w:szCs w:val="32"/>
          <w:lang w:val="zh-CN"/>
        </w:rPr>
        <w:t>万元，完成年初预算的</w:t>
      </w:r>
      <w:r>
        <w:rPr>
          <w:rFonts w:hint="eastAsia" w:ascii="仿宋_GB2312" w:hAnsi="仿宋_GB2312" w:eastAsia="仿宋_GB2312" w:cs="仿宋_GB2312"/>
          <w:sz w:val="32"/>
          <w:szCs w:val="32"/>
          <w:lang w:val="en-US" w:eastAsia="zh-CN"/>
        </w:rPr>
        <w:t>109.99</w:t>
      </w:r>
      <w:r>
        <w:rPr>
          <w:rFonts w:hint="eastAsia" w:ascii="仿宋_GB2312" w:hAnsi="仿宋_GB2312" w:eastAsia="仿宋_GB2312" w:cs="仿宋_GB2312"/>
          <w:sz w:val="32"/>
          <w:szCs w:val="32"/>
          <w:lang w:val="zh-CN"/>
        </w:rPr>
        <w:t>%。决算数与年初预算数存在差异的主要原因</w:t>
      </w:r>
      <w:r>
        <w:rPr>
          <w:rFonts w:hint="eastAsia" w:ascii="仿宋_GB2312" w:hAnsi="仿宋_GB2312" w:eastAsia="仿宋_GB2312" w:cs="仿宋_GB2312"/>
          <w:sz w:val="32"/>
          <w:szCs w:val="32"/>
        </w:rPr>
        <w:t>是新增1名退休人员</w:t>
      </w:r>
      <w:r>
        <w:rPr>
          <w:rFonts w:hint="eastAsia" w:ascii="仿宋_GB2312" w:hAnsi="仿宋_GB2312" w:eastAsia="仿宋_GB2312" w:cs="仿宋_GB2312"/>
          <w:sz w:val="32"/>
          <w:szCs w:val="32"/>
          <w:lang w:val="zh-CN"/>
        </w:rPr>
        <w:t>。</w:t>
      </w:r>
    </w:p>
    <w:p>
      <w:pPr>
        <w:autoSpaceDE w:val="0"/>
        <w:autoSpaceDN w:val="0"/>
        <w:spacing w:line="360" w:lineRule="auto"/>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3.社会保障和就业支出（类）行政事业单位离退休（款）机关事业单位基本养老保险缴费支出（项）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37.95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40.44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106.56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决算数与年初预算数存在差异的主要原因是</w:t>
      </w:r>
      <w:r>
        <w:rPr>
          <w:rFonts w:hint="eastAsia" w:ascii="仿宋_GB2312" w:hAnsi="仿宋_GB2312" w:eastAsia="仿宋_GB2312" w:cs="仿宋_GB2312"/>
          <w:sz w:val="32"/>
          <w:szCs w:val="32"/>
          <w:lang w:val="en-US" w:eastAsia="zh-CN"/>
        </w:rPr>
        <w:t>年初有结转</w:t>
      </w:r>
      <w:r>
        <w:rPr>
          <w:rFonts w:hint="eastAsia" w:ascii="仿宋_GB2312" w:hAnsi="仿宋_GB2312" w:eastAsia="仿宋_GB2312" w:cs="仿宋_GB2312"/>
          <w:sz w:val="32"/>
          <w:szCs w:val="32"/>
          <w:lang w:val="zh-CN"/>
        </w:rPr>
        <w:t>。</w:t>
      </w:r>
    </w:p>
    <w:p>
      <w:pPr>
        <w:autoSpaceDE w:val="0"/>
        <w:autoSpaceDN w:val="0"/>
        <w:spacing w:line="360" w:lineRule="auto"/>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4.卫生健康支出（类）行政事业单位医疗（款）事业单位医疗（项）。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18.02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19.40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107.66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决算数与年初预算数存在差异的主要原因是</w:t>
      </w:r>
      <w:r>
        <w:rPr>
          <w:rFonts w:hint="eastAsia" w:ascii="仿宋_GB2312" w:hAnsi="仿宋_GB2312" w:eastAsia="仿宋_GB2312" w:cs="仿宋_GB2312"/>
          <w:sz w:val="32"/>
          <w:szCs w:val="32"/>
          <w:lang w:val="zh-CN" w:eastAsia="zh-CN"/>
        </w:rPr>
        <w:t>支出数含</w:t>
      </w:r>
      <w:r>
        <w:rPr>
          <w:rFonts w:hint="eastAsia" w:ascii="仿宋_GB2312" w:hAnsi="仿宋_GB2312" w:eastAsia="仿宋_GB2312" w:cs="仿宋_GB2312"/>
          <w:sz w:val="32"/>
          <w:szCs w:val="32"/>
          <w:lang w:val="en-US" w:eastAsia="zh-CN"/>
        </w:rPr>
        <w:t>年初结转资金</w:t>
      </w:r>
      <w:r>
        <w:rPr>
          <w:rFonts w:hint="eastAsia" w:ascii="仿宋_GB2312" w:hAnsi="仿宋_GB2312" w:eastAsia="仿宋_GB2312" w:cs="仿宋_GB2312"/>
          <w:sz w:val="32"/>
          <w:szCs w:val="32"/>
          <w:lang w:val="zh-CN"/>
        </w:rPr>
        <w:t>。</w:t>
      </w:r>
    </w:p>
    <w:p>
      <w:pPr>
        <w:widowControl/>
        <w:spacing w:line="590" w:lineRule="exact"/>
        <w:ind w:firstLine="643" w:firstLineChars="200"/>
        <w:rPr>
          <w:rFonts w:hint="eastAsia" w:ascii="宋体" w:hAnsi="宋体"/>
          <w:kern w:val="0"/>
          <w:sz w:val="18"/>
          <w:szCs w:val="24"/>
          <w:lang w:val="zh-CN"/>
        </w:rPr>
      </w:pPr>
      <w:r>
        <w:rPr>
          <w:rFonts w:hint="eastAsia" w:ascii="仿宋_GB2312" w:hAnsi="仿宋_GB2312" w:eastAsia="仿宋_GB2312" w:cs="仿宋_GB2312"/>
          <w:b/>
          <w:bCs/>
          <w:sz w:val="32"/>
          <w:szCs w:val="32"/>
        </w:rPr>
        <w:t>5.农林水支出（类）水利（款）水利行业业务管理（项）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617.74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743.99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120.44</w:t>
      </w:r>
      <w:r>
        <w:rPr>
          <w:rFonts w:hint="eastAsia" w:ascii="仿宋_GB2312" w:hAnsi="仿宋_GB2312" w:eastAsia="仿宋_GB2312" w:cs="仿宋_GB2312"/>
          <w:sz w:val="32"/>
          <w:szCs w:val="32"/>
        </w:rPr>
        <w:t>%。决算数与年初预算数存在差异的</w:t>
      </w:r>
      <w:r>
        <w:rPr>
          <w:rFonts w:hint="eastAsia" w:ascii="仿宋_GB2312" w:hAnsi="仿宋_GB2312" w:eastAsia="仿宋_GB2312"/>
          <w:sz w:val="32"/>
          <w:szCs w:val="24"/>
        </w:rPr>
        <w:t>主要原因是</w:t>
      </w:r>
      <w:r>
        <w:rPr>
          <w:rFonts w:hint="eastAsia" w:ascii="仿宋_GB2312" w:hAnsi="仿宋_GB2312" w:eastAsia="仿宋_GB2312"/>
          <w:sz w:val="32"/>
          <w:szCs w:val="24"/>
          <w:lang w:val="en-US" w:eastAsia="zh-CN"/>
        </w:rPr>
        <w:t>增加</w:t>
      </w:r>
      <w:r>
        <w:rPr>
          <w:rFonts w:hint="eastAsia" w:ascii="仿宋" w:hAnsi="仿宋" w:eastAsia="仿宋" w:cs="仿宋"/>
          <w:sz w:val="32"/>
          <w:szCs w:val="32"/>
          <w:lang w:eastAsia="zh-CN"/>
        </w:rPr>
        <w:t>河湖水系维修养护</w:t>
      </w:r>
      <w:r>
        <w:rPr>
          <w:rFonts w:hint="eastAsia" w:ascii="仿宋" w:hAnsi="仿宋" w:eastAsia="仿宋" w:cs="仿宋"/>
          <w:sz w:val="32"/>
          <w:szCs w:val="32"/>
          <w:lang w:val="en-US" w:eastAsia="zh-CN"/>
        </w:rPr>
        <w:t>、关庄泵站运行电费等4个</w:t>
      </w:r>
      <w:r>
        <w:rPr>
          <w:rFonts w:hint="eastAsia" w:ascii="仿宋_GB2312" w:hAnsi="仿宋_GB2312" w:eastAsia="仿宋_GB2312"/>
          <w:sz w:val="32"/>
          <w:szCs w:val="24"/>
          <w:lang w:val="en-US" w:eastAsia="zh-CN"/>
        </w:rPr>
        <w:t>项目</w:t>
      </w:r>
      <w:r>
        <w:rPr>
          <w:rFonts w:hint="eastAsia" w:ascii="仿宋_GB2312" w:hAnsi="仿宋_GB2312" w:eastAsia="仿宋_GB2312"/>
          <w:sz w:val="32"/>
          <w:szCs w:val="24"/>
        </w:rPr>
        <w:t>。</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六、一般公共预算财政拨款基本支出决算情况说明</w:t>
      </w:r>
    </w:p>
    <w:p>
      <w:pPr>
        <w:spacing w:before="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一般公共预算财政拨款基本支出775.65万元。其中：人员经费633.81万元，主要包括：基本工资、津贴补贴、其他社会保障缴费、其他工资福利支出、退休费、生活补助、住房公积金、物业服务补贴、其他对个人和家庭的补助支出；公用经费141.84万元，主要包括：办公费、印刷费、咨询费、水费、电费、邮电费、取暖费、物业管理费、差旅费、维修（护）费、租赁费、培训费、劳务费、工会经费、福利费、公务用车运行维护费、其他商品和服务支出、办公设备购置。</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七、一般公共预算财政拨款</w:t>
      </w:r>
      <w:r>
        <w:rPr>
          <w:rFonts w:hint="default" w:ascii="Times New Roman" w:hAnsi="Times New Roman" w:eastAsia="Times New Roman"/>
          <w:sz w:val="32"/>
          <w:szCs w:val="24"/>
          <w:lang w:val="en-US"/>
        </w:rPr>
        <w:t>“</w:t>
      </w:r>
      <w:r>
        <w:rPr>
          <w:rFonts w:hint="eastAsia" w:ascii="黑体" w:hAnsi="黑体" w:eastAsia="黑体"/>
          <w:sz w:val="32"/>
          <w:szCs w:val="24"/>
          <w:lang w:val="en-US"/>
        </w:rPr>
        <w:t>三公</w:t>
      </w:r>
      <w:r>
        <w:rPr>
          <w:rFonts w:hint="default" w:ascii="Times New Roman" w:hAnsi="Times New Roman" w:eastAsia="Times New Roman"/>
          <w:sz w:val="32"/>
          <w:szCs w:val="24"/>
          <w:lang w:val="en-US"/>
        </w:rPr>
        <w:t>”</w:t>
      </w:r>
      <w:r>
        <w:rPr>
          <w:rFonts w:hint="eastAsia" w:ascii="黑体" w:hAnsi="黑体" w:eastAsia="黑体"/>
          <w:sz w:val="32"/>
          <w:szCs w:val="24"/>
          <w:lang w:val="en-US"/>
        </w:rPr>
        <w:t>经费支出决算情况说明</w:t>
      </w:r>
    </w:p>
    <w:p>
      <w:pPr>
        <w:spacing w:before="0" w:line="590" w:lineRule="exact"/>
        <w:ind w:firstLine="640"/>
        <w:rPr>
          <w:rFonts w:hint="default" w:ascii="Times New Roman" w:hAnsi="Times New Roman" w:eastAsia="Times New Roman"/>
          <w:b/>
          <w:sz w:val="32"/>
          <w:szCs w:val="24"/>
          <w:lang w:val="en-US"/>
        </w:rPr>
      </w:pPr>
      <w:r>
        <w:rPr>
          <w:rFonts w:hint="eastAsia" w:ascii="楷体_GB2312" w:hAnsi="楷体_GB2312" w:eastAsia="楷体_GB2312"/>
          <w:b/>
          <w:sz w:val="32"/>
          <w:szCs w:val="24"/>
          <w:lang w:val="en-US"/>
        </w:rPr>
        <w:t>（一）</w:t>
      </w:r>
      <w:r>
        <w:rPr>
          <w:rFonts w:hint="default" w:ascii="Times New Roman" w:hAnsi="Times New Roman" w:eastAsia="Times New Roman"/>
          <w:b/>
          <w:sz w:val="32"/>
          <w:szCs w:val="24"/>
          <w:lang w:val="en-US"/>
        </w:rPr>
        <w:t>“</w:t>
      </w:r>
      <w:r>
        <w:rPr>
          <w:rFonts w:hint="eastAsia" w:ascii="楷体_GB2312" w:hAnsi="楷体_GB2312" w:eastAsia="楷体_GB2312"/>
          <w:b/>
          <w:sz w:val="32"/>
          <w:szCs w:val="24"/>
          <w:lang w:val="en-US"/>
        </w:rPr>
        <w:t>三公</w:t>
      </w:r>
      <w:r>
        <w:rPr>
          <w:rFonts w:hint="default" w:ascii="Times New Roman" w:hAnsi="Times New Roman" w:eastAsia="Times New Roman"/>
          <w:b/>
          <w:sz w:val="32"/>
          <w:szCs w:val="24"/>
          <w:lang w:val="en-US"/>
        </w:rPr>
        <w:t>”</w:t>
      </w:r>
      <w:r>
        <w:rPr>
          <w:rFonts w:hint="eastAsia" w:ascii="楷体_GB2312" w:hAnsi="楷体_GB2312" w:eastAsia="楷体_GB2312"/>
          <w:b/>
          <w:sz w:val="32"/>
          <w:szCs w:val="24"/>
          <w:lang w:val="en-US"/>
        </w:rPr>
        <w:t>经费财政拨款支出决算总体情况说明。</w:t>
      </w:r>
    </w:p>
    <w:p>
      <w:pPr>
        <w:spacing w:before="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w:t>
      </w:r>
      <w:r>
        <w:rPr>
          <w:rFonts w:hint="eastAsia" w:ascii="仿宋_GB2312" w:hAnsi="仿宋_GB2312" w:eastAsia="仿宋_GB2312"/>
          <w:sz w:val="32"/>
          <w:szCs w:val="24"/>
          <w:lang w:val="en-US" w:eastAsia="zh-CN"/>
        </w:rPr>
        <w:t>9.00</w:t>
      </w:r>
      <w:r>
        <w:rPr>
          <w:rFonts w:hint="eastAsia" w:ascii="仿宋_GB2312" w:hAnsi="仿宋_GB2312" w:eastAsia="仿宋_GB2312"/>
          <w:sz w:val="32"/>
          <w:szCs w:val="24"/>
          <w:lang w:val="en-US"/>
        </w:rPr>
        <w:t>万元，支出决算为8.42万元，完成预算的</w:t>
      </w:r>
      <w:r>
        <w:rPr>
          <w:rFonts w:hint="eastAsia" w:ascii="仿宋_GB2312" w:hAnsi="仿宋_GB2312" w:eastAsia="仿宋_GB2312"/>
          <w:sz w:val="32"/>
          <w:szCs w:val="24"/>
          <w:lang w:val="en-US" w:eastAsia="zh-CN"/>
        </w:rPr>
        <w:t>93.56</w:t>
      </w: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经费支出决算数与预算数存在差异的主要原因是</w:t>
      </w:r>
      <w:r>
        <w:rPr>
          <w:rFonts w:hint="eastAsia" w:ascii="仿宋_GB2312" w:hAnsi="仿宋_GB2312" w:eastAsia="仿宋_GB2312" w:cs="仿宋_GB2312"/>
          <w:sz w:val="32"/>
          <w:szCs w:val="32"/>
        </w:rPr>
        <w:t>减少公务车油修经费支出</w:t>
      </w:r>
      <w:r>
        <w:rPr>
          <w:rFonts w:hint="eastAsia" w:ascii="仿宋_GB2312" w:hAnsi="仿宋_GB2312" w:eastAsia="仿宋_GB2312"/>
          <w:sz w:val="32"/>
          <w:szCs w:val="24"/>
          <w:lang w:val="en-US"/>
        </w:rPr>
        <w:t>。</w:t>
      </w:r>
    </w:p>
    <w:p>
      <w:pPr>
        <w:spacing w:before="0" w:line="590" w:lineRule="exact"/>
        <w:ind w:firstLine="640"/>
        <w:rPr>
          <w:rFonts w:hint="default" w:ascii="Times New Roman" w:hAnsi="Times New Roman" w:eastAsia="Times New Roman"/>
          <w:b/>
          <w:sz w:val="32"/>
          <w:szCs w:val="24"/>
          <w:lang w:val="en-US"/>
        </w:rPr>
      </w:pPr>
      <w:r>
        <w:rPr>
          <w:rFonts w:hint="eastAsia" w:ascii="楷体_GB2312" w:hAnsi="楷体_GB2312" w:eastAsia="楷体_GB2312"/>
          <w:b/>
          <w:sz w:val="32"/>
          <w:szCs w:val="24"/>
          <w:lang w:val="en-US"/>
        </w:rPr>
        <w:t>（二）</w:t>
      </w:r>
      <w:r>
        <w:rPr>
          <w:rFonts w:hint="default" w:ascii="Times New Roman" w:hAnsi="Times New Roman" w:eastAsia="Times New Roman"/>
          <w:b/>
          <w:sz w:val="32"/>
          <w:szCs w:val="24"/>
          <w:lang w:val="en-US"/>
        </w:rPr>
        <w:t>“</w:t>
      </w:r>
      <w:r>
        <w:rPr>
          <w:rFonts w:hint="eastAsia" w:ascii="楷体_GB2312" w:hAnsi="楷体_GB2312" w:eastAsia="楷体_GB2312"/>
          <w:b/>
          <w:sz w:val="32"/>
          <w:szCs w:val="24"/>
          <w:lang w:val="en-US"/>
        </w:rPr>
        <w:t>三公</w:t>
      </w:r>
      <w:r>
        <w:rPr>
          <w:rFonts w:hint="default" w:ascii="Times New Roman" w:hAnsi="Times New Roman" w:eastAsia="Times New Roman"/>
          <w:b/>
          <w:sz w:val="32"/>
          <w:szCs w:val="24"/>
          <w:lang w:val="en-US"/>
        </w:rPr>
        <w:t>”</w:t>
      </w:r>
      <w:r>
        <w:rPr>
          <w:rFonts w:hint="eastAsia" w:ascii="楷体_GB2312" w:hAnsi="楷体_GB2312" w:eastAsia="楷体_GB2312"/>
          <w:b/>
          <w:sz w:val="32"/>
          <w:szCs w:val="24"/>
          <w:lang w:val="en-US"/>
        </w:rPr>
        <w:t>经费财政拨款支出决算具体情况说明。</w:t>
      </w:r>
    </w:p>
    <w:p>
      <w:pPr>
        <w:spacing w:before="0" w:line="590" w:lineRule="exact"/>
        <w:ind w:firstLine="640"/>
        <w:rPr>
          <w:rFonts w:hint="default" w:ascii="Times New Roman" w:hAnsi="Times New Roman" w:eastAsia="Times New Roman"/>
          <w:kern w:val="0"/>
          <w:sz w:val="18"/>
          <w:szCs w:val="24"/>
          <w:lang w:val="en-US"/>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万元；公务用车购置及运行费支出决算8.42万元，完成预算的99.0</w:t>
      </w:r>
      <w:r>
        <w:rPr>
          <w:rFonts w:hint="eastAsia" w:ascii="仿宋_GB2312" w:hAnsi="仿宋_GB2312" w:eastAsia="仿宋_GB2312"/>
          <w:sz w:val="32"/>
          <w:szCs w:val="24"/>
          <w:lang w:val="en-US" w:eastAsia="zh-CN"/>
        </w:rPr>
        <w:t>6</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100%</w:t>
      </w:r>
      <w:r>
        <w:rPr>
          <w:rFonts w:hint="eastAsia" w:ascii="仿宋_GB2312" w:hAnsi="仿宋_GB2312" w:eastAsia="仿宋_GB2312"/>
          <w:sz w:val="32"/>
          <w:szCs w:val="24"/>
          <w:lang w:val="en-US"/>
        </w:rPr>
        <w:t>；公务接待费支出决算</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万元，完成预算的</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%；具体情况如下：</w:t>
      </w:r>
    </w:p>
    <w:p>
      <w:pPr>
        <w:spacing w:before="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万元，支出决算为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lang w:val="zh-CN"/>
        </w:rPr>
        <w:t>决算数与预算数不存在差异</w:t>
      </w:r>
      <w:r>
        <w:rPr>
          <w:rFonts w:hint="eastAsia" w:ascii="仿宋_GB2312" w:hAnsi="仿宋_GB2312" w:eastAsia="仿宋_GB2312"/>
          <w:sz w:val="32"/>
          <w:szCs w:val="24"/>
          <w:lang w:val="en-US"/>
        </w:rPr>
        <w:t>。因公出国（境）团组数0个，因公出国（境）人次数0人。</w:t>
      </w:r>
    </w:p>
    <w:p>
      <w:pPr>
        <w:spacing w:before="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2．公务用车购置及运行费</w:t>
      </w:r>
      <w:r>
        <w:rPr>
          <w:rFonts w:hint="eastAsia" w:ascii="仿宋_GB2312" w:hAnsi="仿宋_GB2312" w:eastAsia="仿宋_GB2312"/>
          <w:sz w:val="32"/>
          <w:szCs w:val="24"/>
          <w:lang w:val="en-US"/>
        </w:rPr>
        <w:t>预算为8.5</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万元，支出决算为8.42万元，完成预算的99.0</w:t>
      </w:r>
      <w:r>
        <w:rPr>
          <w:rFonts w:hint="eastAsia" w:ascii="仿宋_GB2312" w:hAnsi="仿宋_GB2312" w:eastAsia="仿宋_GB2312"/>
          <w:sz w:val="32"/>
          <w:szCs w:val="24"/>
          <w:lang w:val="en-US" w:eastAsia="zh-CN"/>
        </w:rPr>
        <w:t>6</w:t>
      </w:r>
      <w:r>
        <w:rPr>
          <w:rFonts w:hint="eastAsia" w:ascii="仿宋_GB2312" w:hAnsi="仿宋_GB2312" w:eastAsia="仿宋_GB2312"/>
          <w:sz w:val="32"/>
          <w:szCs w:val="24"/>
          <w:lang w:val="en-US"/>
        </w:rPr>
        <w:t>%，决算数与预算数存在差异的主要原因是</w:t>
      </w:r>
      <w:r>
        <w:rPr>
          <w:rFonts w:hint="eastAsia" w:ascii="仿宋_GB2312" w:hAnsi="仿宋_GB2312" w:eastAsia="仿宋_GB2312" w:cs="仿宋_GB2312"/>
          <w:sz w:val="32"/>
          <w:szCs w:val="32"/>
        </w:rPr>
        <w:t>减少公务车油修经费支出</w:t>
      </w:r>
      <w:r>
        <w:rPr>
          <w:rFonts w:hint="eastAsia" w:ascii="仿宋_GB2312" w:hAnsi="仿宋_GB2312" w:eastAsia="仿宋_GB2312"/>
          <w:sz w:val="32"/>
          <w:szCs w:val="24"/>
          <w:lang w:val="en-US"/>
        </w:rPr>
        <w:t>。其中：</w:t>
      </w:r>
    </w:p>
    <w:p>
      <w:pPr>
        <w:spacing w:before="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公务用车购置支出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万元，购置车辆</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台。</w:t>
      </w:r>
    </w:p>
    <w:p>
      <w:pPr>
        <w:spacing w:before="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公务用车运行支出</w:t>
      </w:r>
      <w:r>
        <w:rPr>
          <w:rFonts w:hint="eastAsia" w:ascii="仿宋_GB2312" w:hAnsi="仿宋_GB2312" w:eastAsia="仿宋_GB2312"/>
          <w:sz w:val="32"/>
          <w:szCs w:val="24"/>
          <w:lang w:val="en-US"/>
        </w:rPr>
        <w:t>8.42万元。</w:t>
      </w:r>
      <w:r>
        <w:rPr>
          <w:rFonts w:hint="eastAsia" w:ascii="仿宋_GB2312" w:hAnsi="仿宋_GB2312" w:eastAsia="仿宋_GB2312" w:cs="仿宋_GB2312"/>
          <w:sz w:val="32"/>
          <w:szCs w:val="32"/>
          <w:lang w:val="zh-CN"/>
        </w:rPr>
        <w:t>主要用于公务用车维修维护及</w:t>
      </w:r>
      <w:r>
        <w:rPr>
          <w:rFonts w:hint="eastAsia" w:ascii="仿宋_GB2312" w:hAnsi="仿宋_GB2312" w:eastAsia="仿宋_GB2312" w:cs="仿宋_GB2312"/>
          <w:sz w:val="32"/>
          <w:szCs w:val="32"/>
        </w:rPr>
        <w:t>市区河湖水系的日常巡查车辆保障</w:t>
      </w:r>
      <w:r>
        <w:rPr>
          <w:rFonts w:hint="eastAsia" w:ascii="仿宋_GB2312" w:hAnsi="仿宋_GB2312" w:eastAsia="仿宋_GB2312"/>
          <w:sz w:val="32"/>
          <w:szCs w:val="24"/>
          <w:lang w:val="en-US"/>
        </w:rPr>
        <w:t>。2021年期末，单位开支财政拨款的公务用车保有量为</w:t>
      </w:r>
      <w:r>
        <w:rPr>
          <w:rFonts w:hint="eastAsia" w:ascii="仿宋_GB2312" w:hAnsi="仿宋_GB2312" w:eastAsia="仿宋_GB2312"/>
          <w:sz w:val="32"/>
          <w:szCs w:val="24"/>
          <w:lang w:val="en-US" w:eastAsia="zh-CN"/>
        </w:rPr>
        <w:t>7辆</w:t>
      </w:r>
      <w:r>
        <w:rPr>
          <w:rFonts w:hint="eastAsia" w:ascii="仿宋_GB2312" w:hAnsi="仿宋_GB2312" w:eastAsia="仿宋_GB2312"/>
          <w:sz w:val="32"/>
          <w:szCs w:val="24"/>
          <w:lang w:val="en-US"/>
        </w:rPr>
        <w:t>。</w:t>
      </w:r>
    </w:p>
    <w:p>
      <w:pPr>
        <w:spacing w:before="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3.公务接待费</w:t>
      </w:r>
      <w:r>
        <w:rPr>
          <w:rFonts w:hint="eastAsia" w:ascii="仿宋_GB2312" w:hAnsi="仿宋_GB2312" w:eastAsia="仿宋_GB2312"/>
          <w:sz w:val="32"/>
          <w:szCs w:val="24"/>
          <w:lang w:val="en-US"/>
        </w:rPr>
        <w:t>预算为</w:t>
      </w:r>
      <w:r>
        <w:rPr>
          <w:rFonts w:hint="eastAsia" w:ascii="仿宋_GB2312" w:hAnsi="仿宋_GB2312" w:eastAsia="仿宋_GB2312"/>
          <w:sz w:val="32"/>
          <w:szCs w:val="24"/>
          <w:lang w:val="en-US" w:eastAsia="zh-CN"/>
        </w:rPr>
        <w:t>0.50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r>
        <w:rPr>
          <w:rFonts w:hint="eastAsia" w:ascii="仿宋_GB2312" w:hAnsi="仿宋_GB2312" w:eastAsia="仿宋_GB2312"/>
          <w:sz w:val="32"/>
          <w:szCs w:val="24"/>
          <w:lang w:val="en-US"/>
        </w:rPr>
        <w:t>。决算数与预算数存在差异的主要原因是</w:t>
      </w:r>
      <w:r>
        <w:rPr>
          <w:rFonts w:hint="eastAsia" w:ascii="仿宋_GB2312" w:hAnsi="仿宋_GB2312" w:eastAsia="仿宋_GB2312"/>
          <w:sz w:val="32"/>
          <w:szCs w:val="24"/>
          <w:lang w:val="en-US" w:eastAsia="zh-CN"/>
        </w:rPr>
        <w:t>本年度我单位没有公务接待</w:t>
      </w:r>
      <w:r>
        <w:rPr>
          <w:rFonts w:hint="eastAsia" w:ascii="仿宋_GB2312" w:hAnsi="仿宋_GB2312" w:eastAsia="仿宋_GB2312"/>
          <w:sz w:val="32"/>
          <w:szCs w:val="24"/>
          <w:lang w:val="en-US"/>
        </w:rPr>
        <w:t>。</w:t>
      </w:r>
    </w:p>
    <w:p>
      <w:pPr>
        <w:spacing w:before="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外宾接待支出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spacing w:before="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其他国内公务接待支出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八、政府性基金预算财政拨款支出决算情况说明</w:t>
      </w:r>
    </w:p>
    <w:p>
      <w:pPr>
        <w:spacing w:before="0" w:line="590" w:lineRule="exact"/>
        <w:ind w:firstLine="64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lang w:val="en-US" w:eastAsia="zh-CN"/>
        </w:rPr>
        <w:t>。不存在项目年末结转和结余资金数额较大。</w:t>
      </w:r>
    </w:p>
    <w:p>
      <w:pPr>
        <w:spacing w:before="0"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九、机关运行经费支出情况说明</w:t>
      </w:r>
    </w:p>
    <w:p>
      <w:pPr>
        <w:widowControl/>
        <w:spacing w:line="590" w:lineRule="exact"/>
        <w:ind w:firstLine="640" w:firstLineChars="200"/>
        <w:rPr>
          <w:rFonts w:hint="eastAsia" w:ascii="宋体" w:hAnsi="宋体"/>
          <w:kern w:val="0"/>
          <w:sz w:val="18"/>
          <w:szCs w:val="24"/>
          <w:lang w:val="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十、政府采购支出情况说明</w:t>
      </w:r>
    </w:p>
    <w:p>
      <w:pPr>
        <w:spacing w:before="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2021年度政府采购支出总额0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万元，其中：政府采购货物支出0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万元、政府采购工程支出0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万元、政府采购服务支出0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万元。授予中小企业合同金额0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万元,其中：授予小微企业合同金额0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p>
    <w:p>
      <w:pPr>
        <w:spacing w:before="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十一、国有资产占用情况说明</w:t>
      </w:r>
    </w:p>
    <w:p>
      <w:pPr>
        <w:spacing w:before="0" w:line="590" w:lineRule="exact"/>
        <w:ind w:firstLine="640"/>
        <w:rPr>
          <w:rFonts w:hint="default" w:ascii="Times New Roman" w:hAnsi="Times New Roman" w:eastAsia="Times New Roman"/>
          <w:kern w:val="0"/>
          <w:sz w:val="18"/>
          <w:szCs w:val="24"/>
          <w:lang w:val="en-US"/>
        </w:rPr>
      </w:pPr>
      <w:r>
        <w:rPr>
          <w:rFonts w:hint="eastAsia" w:ascii="仿宋_GB2312" w:hAnsi="仿宋_GB2312" w:eastAsia="仿宋_GB2312"/>
          <w:sz w:val="32"/>
          <w:szCs w:val="24"/>
          <w:lang w:val="en-US"/>
        </w:rPr>
        <w:t>2021年期末，我单位共有车辆7辆，其中：省级领导干部用车0辆、主要领导干部用车0辆、机要通信用车0辆、应急保障车7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1.加强管理制度建设。把制度建设作为开展绩效管理的关键环节，进一步增强支出责任和效率意识。全面加强预算管理，优化资源配置，提高财政资金使用效率。</w:t>
      </w:r>
    </w:p>
    <w:p>
      <w:pPr>
        <w:pStyle w:val="7"/>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2.全面实施预算编制项目绩效目标管理一是加强预算编制绩效管理；二是完善项目绩效管理责任；三是积极推进项目绩效评价。</w:t>
      </w:r>
    </w:p>
    <w:p>
      <w:pPr>
        <w:pStyle w:val="7"/>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3.加强培训和指导。采取集中学、讲座、专题会议等方式加大人员培训力度充实业务知识。</w:t>
      </w:r>
    </w:p>
    <w:p>
      <w:pPr>
        <w:pStyle w:val="7"/>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4.做好项目绩效监控、认真开展绩效自评工作，能够运用绩效评价结果指导下一步工作。</w:t>
      </w:r>
    </w:p>
    <w:p>
      <w:pPr>
        <w:pStyle w:val="7"/>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5.积极运用绩效评价结果，将绩效结果向社会公布。进一步增强单位的责任感和紧迫感。</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w:t>
      </w:r>
      <w:r>
        <w:rPr>
          <w:rFonts w:hint="eastAsia" w:ascii="仿宋_GB2312" w:hAnsi="仿宋_GB2312" w:eastAsia="仿宋_GB2312" w:cs="仿宋_GB2312"/>
          <w:color w:val="000000"/>
          <w:kern w:val="0"/>
          <w:sz w:val="32"/>
          <w:szCs w:val="32"/>
        </w:rPr>
        <w:t>完成年度水系科学调度，保持水系清水长流；水系管护实地监督复查强化监管，巩固水系建设成果；加强工程维修养护，保障闸坝平稳运行。</w:t>
      </w:r>
      <w:r>
        <w:rPr>
          <w:rFonts w:hint="eastAsia" w:ascii="仿宋_GB2312" w:hAnsi="仿宋_GB2312" w:eastAsia="仿宋_GB2312" w:cs="仿宋_GB2312"/>
          <w:color w:val="000000"/>
          <w:kern w:val="0"/>
          <w:sz w:val="32"/>
          <w:szCs w:val="32"/>
          <w:lang w:eastAsia="zh-CN"/>
        </w:rPr>
        <w:t>单位</w:t>
      </w:r>
      <w:r>
        <w:rPr>
          <w:rFonts w:hint="eastAsia" w:ascii="仿宋_GB2312" w:hAnsi="仿宋_GB2312" w:eastAsia="仿宋_GB2312" w:cs="仿宋_GB2312"/>
          <w:color w:val="000000"/>
          <w:kern w:val="0"/>
          <w:sz w:val="32"/>
          <w:szCs w:val="32"/>
        </w:rPr>
        <w:t>预算总金额</w:t>
      </w:r>
      <w:r>
        <w:rPr>
          <w:rFonts w:hint="eastAsia" w:ascii="仿宋_GB2312" w:hAnsi="仿宋_GB2312" w:eastAsia="仿宋_GB2312" w:cs="仿宋_GB2312"/>
          <w:color w:val="auto"/>
          <w:sz w:val="32"/>
          <w:szCs w:val="32"/>
          <w:highlight w:val="none"/>
          <w:lang w:val="en-US" w:eastAsia="zh-CN"/>
        </w:rPr>
        <w:t>768.62</w:t>
      </w:r>
      <w:r>
        <w:rPr>
          <w:rFonts w:hint="eastAsia" w:ascii="仿宋_GB2312" w:hAnsi="仿宋_GB2312" w:eastAsia="仿宋_GB2312" w:cs="仿宋_GB2312"/>
          <w:color w:val="000000"/>
          <w:kern w:val="0"/>
          <w:sz w:val="32"/>
          <w:szCs w:val="32"/>
        </w:rPr>
        <w:t>万元其中：基本支出</w:t>
      </w:r>
      <w:r>
        <w:rPr>
          <w:rFonts w:hint="eastAsia" w:ascii="仿宋_GB2312" w:hAnsi="仿宋_GB2312" w:eastAsia="仿宋_GB2312" w:cs="仿宋_GB2312"/>
          <w:color w:val="auto"/>
          <w:sz w:val="32"/>
          <w:szCs w:val="32"/>
          <w:highlight w:val="none"/>
          <w:lang w:val="en-US" w:eastAsia="zh-CN"/>
        </w:rPr>
        <w:t>722.02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项目支出</w:t>
      </w:r>
      <w:r>
        <w:rPr>
          <w:rFonts w:hint="eastAsia" w:ascii="仿宋_GB2312" w:hAnsi="仿宋_GB2312" w:eastAsia="仿宋_GB2312" w:cs="仿宋_GB2312"/>
          <w:color w:val="auto"/>
          <w:sz w:val="32"/>
          <w:szCs w:val="32"/>
          <w:highlight w:val="none"/>
          <w:lang w:val="en-US" w:eastAsia="zh-CN"/>
        </w:rPr>
        <w:t>46.60</w:t>
      </w:r>
      <w:r>
        <w:rPr>
          <w:rFonts w:hint="eastAsia" w:ascii="仿宋_GB2312" w:hAnsi="仿宋_GB2312" w:eastAsia="仿宋_GB2312" w:cs="仿宋_GB2312"/>
          <w:color w:val="000000"/>
          <w:kern w:val="0"/>
          <w:sz w:val="32"/>
          <w:szCs w:val="32"/>
        </w:rPr>
        <w:t>万元。完成率均达到100%；</w:t>
      </w:r>
      <w:r>
        <w:rPr>
          <w:rFonts w:hint="eastAsia" w:ascii="仿宋_GB2312" w:hAnsi="仿宋_GB2312" w:eastAsia="仿宋_GB2312" w:cs="仿宋_GB2312"/>
          <w:color w:val="000000"/>
          <w:kern w:val="0"/>
          <w:sz w:val="32"/>
          <w:szCs w:val="32"/>
          <w:lang w:eastAsia="zh-CN"/>
        </w:rPr>
        <w:t>单位</w:t>
      </w:r>
      <w:r>
        <w:rPr>
          <w:rFonts w:hint="eastAsia" w:ascii="仿宋_GB2312" w:hAnsi="仿宋_GB2312" w:eastAsia="仿宋_GB2312" w:cs="仿宋_GB2312"/>
          <w:color w:val="000000"/>
          <w:kern w:val="0"/>
          <w:sz w:val="32"/>
          <w:szCs w:val="32"/>
        </w:rPr>
        <w:t>目标实现率100%，整体绩效自评为优秀</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auto"/>
          <w:sz w:val="32"/>
          <w:szCs w:val="32"/>
          <w:highlight w:val="none"/>
          <w:lang w:val="en-US" w:eastAsia="zh-CN"/>
        </w:rPr>
        <w:t>二是项目绩效自评情况。我单位共有4个项目批复了绩效目标，项目金额46.60万元。其中：</w:t>
      </w:r>
    </w:p>
    <w:p>
      <w:pPr>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eastAsia="zh-CN"/>
        </w:rPr>
        <w:t>河湖水系维修养护经费</w:t>
      </w:r>
      <w:r>
        <w:rPr>
          <w:rFonts w:hint="eastAsia" w:ascii="仿宋" w:hAnsi="仿宋" w:eastAsia="仿宋" w:cs="仿宋"/>
          <w:sz w:val="32"/>
          <w:szCs w:val="32"/>
          <w:lang w:val="en-US" w:eastAsia="zh-CN"/>
        </w:rPr>
        <w:t>24.90万元；</w:t>
      </w:r>
    </w:p>
    <w:p>
      <w:pPr>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关庄泵站运行电费12.00万元；</w:t>
      </w:r>
    </w:p>
    <w:p>
      <w:pPr>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河湖水系实地复查监督管理保障经费1.80万元；</w:t>
      </w:r>
    </w:p>
    <w:p>
      <w:pPr>
        <w:ind w:firstLine="640" w:firstLineChars="200"/>
        <w:outlineLvl w:val="0"/>
        <w:rPr>
          <w:rFonts w:hint="eastAsia" w:ascii="仿宋_GB2312" w:eastAsia="仿宋_GB2312"/>
          <w:sz w:val="32"/>
          <w:szCs w:val="32"/>
          <w:lang w:eastAsia="zh-CN"/>
        </w:rPr>
      </w:pPr>
      <w:r>
        <w:rPr>
          <w:rFonts w:hint="eastAsia" w:ascii="仿宋" w:hAnsi="仿宋" w:eastAsia="仿宋" w:cs="仿宋"/>
          <w:sz w:val="32"/>
          <w:szCs w:val="32"/>
          <w:lang w:val="en-US" w:eastAsia="zh-CN"/>
        </w:rPr>
        <w:t>水系监测运行电费7.90万元。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4个项目评价等级为“优”、0个项目评价等级为“良”、0个项目评价等级为“中”、0个项目评价等级为“差”。</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960" w:firstLineChars="3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KX8sPEAQAAkg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103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vFT+MYBAACSAwAADgAAAAAAAAABACAAAAAf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mEzMTAwOTFlNjMyZWI5NDk4MDZiNTUyNTFlYTIifQ=="/>
  </w:docVars>
  <w:rsids>
    <w:rsidRoot w:val="00000000"/>
    <w:rsid w:val="0149727D"/>
    <w:rsid w:val="1CE71693"/>
    <w:rsid w:val="244D4211"/>
    <w:rsid w:val="65BB098D"/>
    <w:rsid w:val="73E57EF0"/>
    <w:rsid w:val="7F8F7A4A"/>
    <w:rsid w:val="BD5DF0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unhideWhenUsed/>
    <w:qFormat/>
    <w:uiPriority w:val="99"/>
    <w:pPr>
      <w:spacing w:line="560" w:lineRule="atLeast"/>
      <w:ind w:firstLine="560" w:firstLineChars="200"/>
    </w:pPr>
    <w:rPr>
      <w:sz w:val="28"/>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next w:val="8"/>
    <w:qFormat/>
    <w:uiPriority w:val="0"/>
    <w:pPr>
      <w:ind w:firstLine="420" w:firstLineChars="100"/>
    </w:pPr>
  </w:style>
  <w:style w:type="paragraph" w:styleId="8">
    <w:name w:val="Body Text First Indent 2"/>
    <w:basedOn w:val="3"/>
    <w:unhideWhenUsed/>
    <w:qFormat/>
    <w:uiPriority w:val="99"/>
    <w:pPr>
      <w:spacing w:after="120" w:line="360" w:lineRule="auto"/>
      <w:ind w:left="420" w:leftChars="200" w:firstLine="420"/>
    </w:pPr>
    <w:rPr>
      <w:rFonts w:cs="Times New Roman"/>
      <w:szCs w:val="22"/>
    </w:r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Char Char"/>
    <w:link w:val="4"/>
    <w:qFormat/>
    <w:uiPriority w:val="99"/>
    <w:rPr>
      <w:kern w:val="2"/>
      <w:sz w:val="18"/>
      <w:szCs w:val="18"/>
    </w:rPr>
  </w:style>
  <w:style w:type="character" w:customStyle="1" w:styleId="14">
    <w:name w:val="页脚 Char Char Char"/>
    <w:link w:val="5"/>
    <w:qFormat/>
    <w:uiPriority w:val="99"/>
    <w:rPr>
      <w:kern w:val="2"/>
      <w:sz w:val="18"/>
      <w:szCs w:val="18"/>
    </w:rPr>
  </w:style>
  <w:style w:type="character" w:customStyle="1" w:styleId="15">
    <w:name w:val="页眉 Char Char Char"/>
    <w:link w:val="6"/>
    <w:qFormat/>
    <w:uiPriority w:val="99"/>
    <w:rPr>
      <w:kern w:val="2"/>
      <w:sz w:val="18"/>
      <w:szCs w:val="18"/>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01"/>
    <w:qFormat/>
    <w:uiPriority w:val="0"/>
    <w:rPr>
      <w:rFonts w:hint="eastAsia" w:ascii="宋体" w:hAnsi="宋体" w:eastAsia="宋体" w:cs="宋体"/>
      <w:color w:val="000000"/>
      <w:sz w:val="22"/>
      <w:szCs w:val="22"/>
      <w:u w:val="none"/>
    </w:rPr>
  </w:style>
  <w:style w:type="character" w:customStyle="1" w:styleId="19">
    <w:name w:val="font51"/>
    <w:qFormat/>
    <w:uiPriority w:val="0"/>
    <w:rPr>
      <w:rFonts w:hint="eastAsia" w:ascii="宋体" w:hAnsi="宋体" w:eastAsia="宋体" w:cs="宋体"/>
      <w:color w:val="000000"/>
      <w:sz w:val="24"/>
      <w:szCs w:val="24"/>
      <w:u w:val="none"/>
    </w:rPr>
  </w:style>
  <w:style w:type="character" w:customStyle="1" w:styleId="20">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7985</Words>
  <Characters>9735</Characters>
  <Lines>60</Lines>
  <Paragraphs>16</Paragraphs>
  <TotalTime>0</TotalTime>
  <ScaleCrop>false</ScaleCrop>
  <LinksUpToDate>false</LinksUpToDate>
  <CharactersWithSpaces>9953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秦志强</cp:lastModifiedBy>
  <cp:lastPrinted>2018-07-24T18:50:00Z</cp:lastPrinted>
  <dcterms:modified xsi:type="dcterms:W3CDTF">2023-05-09T01:16:20Z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28CA392595A3411D9B6424DF313DCCEA</vt:lpwstr>
  </property>
</Properties>
</file>