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许昌市水利规划设计院单位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许昌市水利规划设计院</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许昌市水利规划设计院</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（一）为水利工程建设和城市建设提供勘测设计服务。水利工程规划与工业民用建筑工程设计、工程地质勘察、工程测量与工程监理。</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（二）承担河道水库及重点水利工程规划、防洪规划、水资源综合规划、水资源保护规划、水土保持规划等全市性规划编制工作。组织编制水利发展规划。</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 (三）依照规划要求，提出我市重点水利建设工程项目建议书、可行性研究报告、前期计划调整建议。负责我市水利建设工程项目建议书、可行性研究报告、初步设计报告及水利行业项目的水保方案、水保工程建设项目的技术审查。</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（四）编制全市中、小型水利基本建设项目建议书、可行性研究报告。</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（五）拟定全市水利发展战略，编制全市水利中长期发展规划。</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许昌市水利规划设计院内设机构</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个，包括：办公室、计财科、水利规划室、建筑规划室、测绘队、勘测队。</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从决算单位构成看，许昌市水利规划设计院</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决算包括：本级决算。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黑体" w:hAnsi="宋体" w:eastAsia="黑体" w:cs="宋体"/>
          <w:kern w:val="0"/>
          <w:sz w:val="28"/>
          <w:szCs w:val="28"/>
          <w:highlight w:val="none"/>
        </w:rPr>
      </w:pPr>
      <w:r>
        <w:rPr>
          <w:rFonts w:hint="eastAsia" w:ascii="仿宋_GB2312" w:hAnsi="仿宋_GB2312" w:eastAsia="仿宋_GB2312" w:cs="仿宋_GB2312"/>
          <w:kern w:val="0"/>
          <w:sz w:val="32"/>
          <w:szCs w:val="32"/>
          <w:highlight w:val="none"/>
          <w:lang w:eastAsia="zh-CN"/>
        </w:rPr>
        <w:t>许昌市水利规划设计院</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9"/>
        <w:gridCol w:w="836"/>
        <w:gridCol w:w="1116"/>
        <w:gridCol w:w="4479"/>
        <w:gridCol w:w="836"/>
        <w:gridCol w:w="1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140" w:type="dxa"/>
            <w:gridSpan w:val="6"/>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59"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83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1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47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950"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711" w:type="dxa"/>
            <w:gridSpan w:val="3"/>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：许昌市水利规划设计院</w:t>
            </w:r>
          </w:p>
        </w:tc>
        <w:tc>
          <w:tcPr>
            <w:tcW w:w="447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950"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429"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1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36"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36"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248.32</w:t>
            </w: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143.69</w:t>
            </w: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1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392.01</w:t>
            </w: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1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31.47</w:t>
            </w: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79"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14"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1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423.47</w:t>
            </w:r>
          </w:p>
        </w:tc>
        <w:tc>
          <w:tcPr>
            <w:tcW w:w="4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40" w:type="dxa"/>
            <w:gridSpan w:val="6"/>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3055"/>
        <w:gridCol w:w="1866"/>
        <w:gridCol w:w="1866"/>
        <w:gridCol w:w="1379"/>
        <w:gridCol w:w="1201"/>
        <w:gridCol w:w="1522"/>
        <w:gridCol w:w="1128"/>
        <w:gridCol w:w="1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235" w:type="dxa"/>
            <w:gridSpan w:val="11"/>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32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32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305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86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86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37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01"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52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359"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08" w:type="dxa"/>
            <w:gridSpan w:val="5"/>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：许昌市水利规划设计院</w:t>
            </w:r>
          </w:p>
        </w:tc>
        <w:tc>
          <w:tcPr>
            <w:tcW w:w="186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37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01"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52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359"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6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6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7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0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5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2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3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0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42"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6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6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42"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6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392.01</w:t>
            </w:r>
          </w:p>
        </w:tc>
        <w:tc>
          <w:tcPr>
            <w:tcW w:w="186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248.32</w:t>
            </w:r>
          </w:p>
        </w:tc>
        <w:tc>
          <w:tcPr>
            <w:tcW w:w="13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52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143.69</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2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86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392.01</w:t>
            </w:r>
          </w:p>
        </w:tc>
        <w:tc>
          <w:tcPr>
            <w:tcW w:w="186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248.32</w:t>
            </w:r>
          </w:p>
        </w:tc>
        <w:tc>
          <w:tcPr>
            <w:tcW w:w="13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2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143.69</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3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186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392.01</w:t>
            </w:r>
          </w:p>
        </w:tc>
        <w:tc>
          <w:tcPr>
            <w:tcW w:w="186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248.32</w:t>
            </w:r>
          </w:p>
        </w:tc>
        <w:tc>
          <w:tcPr>
            <w:tcW w:w="13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2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143.69</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3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水利行业业务管理</w:t>
            </w:r>
          </w:p>
        </w:tc>
        <w:tc>
          <w:tcPr>
            <w:tcW w:w="186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248.32</w:t>
            </w:r>
          </w:p>
        </w:tc>
        <w:tc>
          <w:tcPr>
            <w:tcW w:w="186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248.32</w:t>
            </w:r>
          </w:p>
        </w:tc>
        <w:tc>
          <w:tcPr>
            <w:tcW w:w="13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2130308</w:t>
            </w:r>
          </w:p>
        </w:tc>
        <w:tc>
          <w:tcPr>
            <w:tcW w:w="3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水利前期工作</w:t>
            </w:r>
          </w:p>
        </w:tc>
        <w:tc>
          <w:tcPr>
            <w:tcW w:w="186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143.69</w:t>
            </w:r>
          </w:p>
        </w:tc>
        <w:tc>
          <w:tcPr>
            <w:tcW w:w="186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2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143.69</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05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05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05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05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35" w:type="dxa"/>
            <w:gridSpan w:val="11"/>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3049"/>
        <w:gridCol w:w="1862"/>
        <w:gridCol w:w="1862"/>
        <w:gridCol w:w="1552"/>
        <w:gridCol w:w="1480"/>
        <w:gridCol w:w="1862"/>
        <w:gridCol w:w="1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208" w:type="dxa"/>
            <w:gridSpan w:val="10"/>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32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304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86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86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55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48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3416"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898" w:type="dxa"/>
            <w:gridSpan w:val="5"/>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：许昌市水利规划设计院</w:t>
            </w:r>
          </w:p>
        </w:tc>
        <w:tc>
          <w:tcPr>
            <w:tcW w:w="186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55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48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3416"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3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6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6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5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86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5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04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36"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36"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423.47</w:t>
            </w:r>
          </w:p>
        </w:tc>
        <w:tc>
          <w:tcPr>
            <w:tcW w:w="1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279.78</w:t>
            </w:r>
          </w:p>
        </w:tc>
        <w:tc>
          <w:tcPr>
            <w:tcW w:w="15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4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143.69</w:t>
            </w:r>
          </w:p>
        </w:tc>
        <w:tc>
          <w:tcPr>
            <w:tcW w:w="15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0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423.47</w:t>
            </w:r>
          </w:p>
        </w:tc>
        <w:tc>
          <w:tcPr>
            <w:tcW w:w="1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279.78</w:t>
            </w:r>
          </w:p>
        </w:tc>
        <w:tc>
          <w:tcPr>
            <w:tcW w:w="15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143.69</w:t>
            </w:r>
          </w:p>
        </w:tc>
        <w:tc>
          <w:tcPr>
            <w:tcW w:w="15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30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1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423.47</w:t>
            </w:r>
          </w:p>
        </w:tc>
        <w:tc>
          <w:tcPr>
            <w:tcW w:w="1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279.78</w:t>
            </w:r>
          </w:p>
        </w:tc>
        <w:tc>
          <w:tcPr>
            <w:tcW w:w="15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143.69</w:t>
            </w:r>
          </w:p>
        </w:tc>
        <w:tc>
          <w:tcPr>
            <w:tcW w:w="15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30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水利行业业务管理</w:t>
            </w:r>
          </w:p>
        </w:tc>
        <w:tc>
          <w:tcPr>
            <w:tcW w:w="1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279.78</w:t>
            </w:r>
          </w:p>
        </w:tc>
        <w:tc>
          <w:tcPr>
            <w:tcW w:w="1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279.78</w:t>
            </w:r>
          </w:p>
        </w:tc>
        <w:tc>
          <w:tcPr>
            <w:tcW w:w="15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86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2130308</w:t>
            </w:r>
          </w:p>
        </w:tc>
        <w:tc>
          <w:tcPr>
            <w:tcW w:w="30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水利前期工作</w:t>
            </w:r>
          </w:p>
        </w:tc>
        <w:tc>
          <w:tcPr>
            <w:tcW w:w="1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143.69</w:t>
            </w:r>
          </w:p>
        </w:tc>
        <w:tc>
          <w:tcPr>
            <w:tcW w:w="186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143.69</w:t>
            </w:r>
          </w:p>
        </w:tc>
        <w:tc>
          <w:tcPr>
            <w:tcW w:w="15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049"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86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86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86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049"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86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86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86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049"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86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86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86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049"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86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86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86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8" w:type="dxa"/>
            <w:gridSpan w:val="10"/>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12"/>
        <w:gridCol w:w="588"/>
        <w:gridCol w:w="1301"/>
        <w:gridCol w:w="4109"/>
        <w:gridCol w:w="588"/>
        <w:gridCol w:w="1024"/>
        <w:gridCol w:w="1213"/>
        <w:gridCol w:w="1131"/>
        <w:gridCol w:w="1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715"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12"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588"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301"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10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588"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024"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1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80"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01" w:type="dxa"/>
            <w:gridSpan w:val="3"/>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：许昌市水利规划设计院</w:t>
            </w:r>
          </w:p>
        </w:tc>
        <w:tc>
          <w:tcPr>
            <w:tcW w:w="410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588"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024"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1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80"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214"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61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0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10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2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3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4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61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0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88"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88"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3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248.32</w:t>
            </w: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2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279.78</w:t>
            </w:r>
          </w:p>
        </w:tc>
        <w:tc>
          <w:tcPr>
            <w:tcW w:w="121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279.78</w:t>
            </w: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248.32</w:t>
            </w: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2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279.78</w:t>
            </w:r>
          </w:p>
        </w:tc>
        <w:tc>
          <w:tcPr>
            <w:tcW w:w="121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279.78</w:t>
            </w: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31.47</w:t>
            </w: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31.47</w:t>
            </w:r>
          </w:p>
        </w:tc>
        <w:tc>
          <w:tcPr>
            <w:tcW w:w="4109"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109"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8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279.78</w:t>
            </w:r>
          </w:p>
        </w:tc>
        <w:tc>
          <w:tcPr>
            <w:tcW w:w="4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2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279.78</w:t>
            </w:r>
          </w:p>
        </w:tc>
        <w:tc>
          <w:tcPr>
            <w:tcW w:w="121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279.78</w:t>
            </w:r>
          </w:p>
        </w:tc>
        <w:tc>
          <w:tcPr>
            <w:tcW w:w="113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71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0"/>
        <w:gridCol w:w="380"/>
        <w:gridCol w:w="380"/>
        <w:gridCol w:w="3756"/>
        <w:gridCol w:w="3385"/>
        <w:gridCol w:w="3103"/>
        <w:gridCol w:w="2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80" w:type="dxa"/>
            <w:gridSpan w:val="7"/>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80"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38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38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375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338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5399"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896" w:type="dxa"/>
            <w:gridSpan w:val="4"/>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：许昌市水利规划设计院</w:t>
            </w:r>
          </w:p>
        </w:tc>
        <w:tc>
          <w:tcPr>
            <w:tcW w:w="338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5399"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9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784"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7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3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10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14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3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0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3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0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96"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3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0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96"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38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279.78</w:t>
            </w:r>
          </w:p>
        </w:tc>
        <w:tc>
          <w:tcPr>
            <w:tcW w:w="31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279.78</w:t>
            </w:r>
          </w:p>
        </w:tc>
        <w:tc>
          <w:tcPr>
            <w:tcW w:w="2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7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338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279.78</w:t>
            </w:r>
          </w:p>
        </w:tc>
        <w:tc>
          <w:tcPr>
            <w:tcW w:w="31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279.78</w:t>
            </w:r>
          </w:p>
        </w:tc>
        <w:tc>
          <w:tcPr>
            <w:tcW w:w="2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37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338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279.78</w:t>
            </w:r>
          </w:p>
        </w:tc>
        <w:tc>
          <w:tcPr>
            <w:tcW w:w="31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279.78</w:t>
            </w:r>
          </w:p>
        </w:tc>
        <w:tc>
          <w:tcPr>
            <w:tcW w:w="2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37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水利行业业务管理</w:t>
            </w:r>
          </w:p>
        </w:tc>
        <w:tc>
          <w:tcPr>
            <w:tcW w:w="338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279.78</w:t>
            </w:r>
          </w:p>
        </w:tc>
        <w:tc>
          <w:tcPr>
            <w:tcW w:w="31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279.78</w:t>
            </w:r>
          </w:p>
        </w:tc>
        <w:tc>
          <w:tcPr>
            <w:tcW w:w="2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756"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3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756"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3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756"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3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756"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3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756"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3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80" w:type="dxa"/>
            <w:gridSpan w:val="7"/>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517"/>
        <w:gridCol w:w="877"/>
        <w:gridCol w:w="766"/>
        <w:gridCol w:w="2417"/>
        <w:gridCol w:w="877"/>
        <w:gridCol w:w="766"/>
        <w:gridCol w:w="4397"/>
        <w:gridCol w:w="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260"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6"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351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87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41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87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5274"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160" w:type="dxa"/>
            <w:gridSpan w:val="3"/>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：许昌市水利规划设计院</w:t>
            </w:r>
          </w:p>
        </w:tc>
        <w:tc>
          <w:tcPr>
            <w:tcW w:w="76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41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87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5274"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010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51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1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439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1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1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9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87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173.21</w:t>
            </w: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7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103.36</w:t>
            </w: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7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84.99</w:t>
            </w: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7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7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87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48.39</w:t>
            </w: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7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7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26.66</w:t>
            </w: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7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7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7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7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7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7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439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439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5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439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51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439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7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83"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87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176.43</w:t>
            </w:r>
          </w:p>
        </w:tc>
        <w:tc>
          <w:tcPr>
            <w:tcW w:w="9223" w:type="dxa"/>
            <w:gridSpan w:val="5"/>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87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26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5"/>
        <w:gridCol w:w="1875"/>
        <w:gridCol w:w="1155"/>
        <w:gridCol w:w="1200"/>
        <w:gridCol w:w="1200"/>
        <w:gridCol w:w="1200"/>
        <w:gridCol w:w="1005"/>
        <w:gridCol w:w="1875"/>
        <w:gridCol w:w="1170"/>
        <w:gridCol w:w="1200"/>
        <w:gridCol w:w="120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805" w:type="dxa"/>
            <w:gridSpan w:val="12"/>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25"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187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00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87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7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400"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55" w:type="dxa"/>
            <w:gridSpan w:val="3"/>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：许昌市水利规划设计院</w:t>
            </w:r>
          </w:p>
        </w:tc>
        <w:tc>
          <w:tcPr>
            <w:tcW w:w="120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00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87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7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400"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5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65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5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7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2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25" w:type="dxa"/>
            <w:tcBorders>
              <w:top w:val="nil"/>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8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8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805"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宋体" w:hAnsi="宋体" w:cs="宋体"/>
          <w:color w:val="000000"/>
          <w:sz w:val="24"/>
          <w:szCs w:val="24"/>
          <w:highlight w:val="none"/>
        </w:rPr>
      </w:pPr>
    </w:p>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r>
        <w:rPr>
          <w:rFonts w:hint="eastAsia" w:ascii="宋体" w:hAnsi="宋体" w:cs="宋体"/>
          <w:color w:val="000000"/>
          <w:sz w:val="24"/>
          <w:szCs w:val="24"/>
          <w:highlight w:val="none"/>
        </w:rPr>
        <w:t>说明：我</w:t>
      </w:r>
      <w:r>
        <w:rPr>
          <w:rFonts w:hint="eastAsia" w:ascii="宋体" w:hAnsi="宋体" w:cs="宋体"/>
          <w:color w:val="000000"/>
          <w:sz w:val="24"/>
          <w:szCs w:val="24"/>
          <w:highlight w:val="none"/>
          <w:lang w:eastAsia="zh-CN"/>
        </w:rPr>
        <w:t>单位</w:t>
      </w:r>
      <w:r>
        <w:rPr>
          <w:rFonts w:hint="eastAsia" w:ascii="宋体" w:hAnsi="宋体" w:cs="宋体"/>
          <w:color w:val="000000"/>
          <w:sz w:val="24"/>
          <w:szCs w:val="24"/>
          <w:highlight w:val="none"/>
        </w:rPr>
        <w:t>没有</w:t>
      </w:r>
      <w:r>
        <w:rPr>
          <w:rFonts w:hint="eastAsia" w:ascii="宋体" w:hAnsi="宋体" w:cs="宋体"/>
          <w:color w:val="000000"/>
          <w:sz w:val="24"/>
          <w:szCs w:val="24"/>
          <w:highlight w:val="none"/>
          <w:lang w:eastAsia="zh-CN"/>
        </w:rPr>
        <w:t>预算安排的三公经费</w:t>
      </w:r>
      <w:r>
        <w:rPr>
          <w:rFonts w:hint="eastAsia" w:ascii="宋体" w:hAnsi="宋体" w:cs="宋体"/>
          <w:color w:val="000000"/>
          <w:sz w:val="24"/>
          <w:szCs w:val="24"/>
          <w:highlight w:val="none"/>
        </w:rPr>
        <w:t>，也没有</w:t>
      </w:r>
      <w:r>
        <w:rPr>
          <w:rFonts w:hint="eastAsia" w:ascii="宋体" w:hAnsi="宋体" w:cs="宋体"/>
          <w:color w:val="000000"/>
          <w:sz w:val="24"/>
          <w:szCs w:val="24"/>
          <w:highlight w:val="none"/>
          <w:lang w:eastAsia="zh-CN"/>
        </w:rPr>
        <w:t>也没有预算安排的三公</w:t>
      </w:r>
      <w:r>
        <w:rPr>
          <w:rFonts w:hint="eastAsia" w:ascii="宋体" w:hAnsi="宋体" w:cs="宋体"/>
          <w:color w:val="000000"/>
          <w:sz w:val="24"/>
          <w:szCs w:val="24"/>
          <w:highlight w:val="none"/>
        </w:rPr>
        <w:t>支出，故本表无数据。</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1"/>
        <w:gridCol w:w="411"/>
        <w:gridCol w:w="411"/>
        <w:gridCol w:w="2027"/>
        <w:gridCol w:w="1957"/>
        <w:gridCol w:w="1957"/>
        <w:gridCol w:w="1957"/>
        <w:gridCol w:w="1957"/>
        <w:gridCol w:w="1957"/>
        <w:gridCol w:w="1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000" w:type="dxa"/>
            <w:gridSpan w:val="10"/>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1"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411"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11"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02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95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95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95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95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3912"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60" w:type="dxa"/>
            <w:gridSpan w:val="4"/>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：许昌市水利规划设计院</w:t>
            </w:r>
          </w:p>
        </w:tc>
        <w:tc>
          <w:tcPr>
            <w:tcW w:w="195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95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95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95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3912"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9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871"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9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02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9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9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02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02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02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02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02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02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0" w:type="dxa"/>
            <w:gridSpan w:val="10"/>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000000"/>
          <w:sz w:val="24"/>
          <w:szCs w:val="24"/>
          <w:highlight w:val="none"/>
        </w:rPr>
        <w:t>说明：我</w:t>
      </w:r>
      <w:r>
        <w:rPr>
          <w:rFonts w:hint="eastAsia" w:ascii="宋体" w:hAnsi="宋体" w:cs="宋体"/>
          <w:color w:val="000000"/>
          <w:sz w:val="24"/>
          <w:szCs w:val="24"/>
          <w:highlight w:val="none"/>
          <w:lang w:eastAsia="zh-CN"/>
        </w:rPr>
        <w:t>单位</w:t>
      </w:r>
      <w:r>
        <w:rPr>
          <w:rFonts w:hint="eastAsia" w:ascii="宋体" w:hAnsi="宋体" w:cs="宋体"/>
          <w:color w:val="000000"/>
          <w:sz w:val="24"/>
          <w:szCs w:val="24"/>
          <w:highlight w:val="none"/>
        </w:rPr>
        <w:t>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sz w:val="32"/>
          <w:szCs w:val="24"/>
        </w:rPr>
        <w:t>423.47</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sz w:val="32"/>
          <w:szCs w:val="24"/>
        </w:rPr>
        <w:t>1006.97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rPr>
        <w:t>70.4</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%。主要原因是财政补助收入和经营收入</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sz w:val="32"/>
          <w:szCs w:val="24"/>
          <w:lang w:val="en-US"/>
        </w:rPr>
        <w:t>392.01</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sz w:val="32"/>
          <w:szCs w:val="24"/>
          <w:lang w:val="en-US"/>
        </w:rPr>
        <w:t>248.32</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63.35</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sz w:val="32"/>
          <w:szCs w:val="24"/>
          <w:lang w:val="en-US"/>
        </w:rPr>
        <w:t>143.69</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36.65</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sz w:val="32"/>
          <w:szCs w:val="24"/>
          <w:lang w:val="en-US"/>
        </w:rPr>
        <w:t>423.47</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sz w:val="32"/>
          <w:szCs w:val="24"/>
          <w:lang w:val="en-US"/>
        </w:rPr>
        <w:t>279.78</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66.07</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sz w:val="32"/>
          <w:szCs w:val="24"/>
          <w:lang w:val="en-US"/>
        </w:rPr>
        <w:t>143.69</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33.93</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sz w:val="32"/>
          <w:szCs w:val="24"/>
          <w:lang w:val="en-US"/>
        </w:rPr>
        <w:t>279.78</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sz w:val="32"/>
          <w:szCs w:val="24"/>
          <w:lang w:val="en-US"/>
        </w:rPr>
        <w:t>877.78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lang w:val="en-US"/>
        </w:rPr>
        <w:t>75.83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财政拨款减少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279.78</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sz w:val="32"/>
          <w:szCs w:val="24"/>
          <w:lang w:val="en-US"/>
        </w:rPr>
        <w:t>66.07</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sz w:val="32"/>
          <w:szCs w:val="24"/>
          <w:lang w:val="en-US"/>
        </w:rPr>
        <w:t>153.89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sz w:val="32"/>
          <w:szCs w:val="24"/>
          <w:lang w:val="en-US"/>
        </w:rPr>
        <w:t>122.24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本年支付上年暂欠应付职工薪酬</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279.78</w:t>
      </w:r>
      <w:r>
        <w:rPr>
          <w:rFonts w:hint="eastAsia" w:ascii="仿宋_GB2312" w:hAnsi="仿宋_GB2312" w:eastAsia="仿宋_GB2312" w:cs="仿宋_GB2312"/>
          <w:sz w:val="32"/>
          <w:szCs w:val="32"/>
          <w:highlight w:val="none"/>
        </w:rPr>
        <w:t>万元，主要用于以下方面：农林水（类）支出</w:t>
      </w:r>
      <w:r>
        <w:rPr>
          <w:rFonts w:hint="eastAsia" w:ascii="仿宋_GB2312" w:hAnsi="仿宋_GB2312" w:eastAsia="仿宋_GB2312"/>
          <w:sz w:val="32"/>
          <w:szCs w:val="24"/>
          <w:lang w:val="en-US"/>
        </w:rPr>
        <w:t>279.78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val="en-US"/>
        </w:rPr>
        <w:t>146.42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279.78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sz w:val="32"/>
          <w:szCs w:val="24"/>
          <w:lang w:val="en-US"/>
        </w:rPr>
        <w:t>191.08</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农林水支出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水利</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水利行业业务管理</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val="en-US"/>
        </w:rPr>
        <w:t>146.42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279.78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sz w:val="32"/>
          <w:szCs w:val="24"/>
          <w:lang w:val="en-US"/>
        </w:rPr>
        <w:t>191.08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本年财政拨款增加并支付上年暂欠应付职工薪酬</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sz w:val="32"/>
          <w:szCs w:val="24"/>
          <w:lang w:val="en-US"/>
        </w:rPr>
        <w:t>279.78</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sz w:val="32"/>
          <w:szCs w:val="24"/>
          <w:lang w:val="en-US"/>
        </w:rPr>
        <w:t>176.43</w:t>
      </w:r>
      <w:r>
        <w:rPr>
          <w:rFonts w:hint="eastAsia" w:ascii="仿宋_GB2312" w:hAnsi="仿宋_GB2312" w:eastAsia="仿宋_GB2312" w:cs="仿宋_GB2312"/>
          <w:sz w:val="32"/>
          <w:szCs w:val="32"/>
          <w:highlight w:val="none"/>
        </w:rPr>
        <w:t>万元，主要包括：基本工资、津贴补贴、绩效工资、机关事业单位基本养老保险缴费、其他社会保障缴费、生活补助；公用经费</w:t>
      </w:r>
      <w:r>
        <w:rPr>
          <w:rFonts w:hint="eastAsia" w:ascii="仿宋_GB2312" w:hAnsi="仿宋_GB2312" w:eastAsia="仿宋_GB2312"/>
          <w:sz w:val="32"/>
          <w:szCs w:val="24"/>
          <w:lang w:val="en-US"/>
        </w:rPr>
        <w:t>103.36</w:t>
      </w:r>
      <w:r>
        <w:rPr>
          <w:rFonts w:hint="eastAsia" w:ascii="仿宋_GB2312" w:hAnsi="仿宋_GB2312" w:eastAsia="仿宋_GB2312" w:cs="仿宋_GB2312"/>
          <w:sz w:val="32"/>
          <w:szCs w:val="32"/>
          <w:highlight w:val="none"/>
        </w:rPr>
        <w:t>万元，主要包括：办公费、水费、电费、邮电费、委托业务费。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不存在差异</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numPr>
          <w:ilvl w:val="0"/>
          <w:numId w:val="2"/>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万元。决算数与预算数不存在差异。因公出国（境）团组数0个，因公出国（境）人次数0人。</w:t>
      </w:r>
    </w:p>
    <w:p>
      <w:pPr>
        <w:widowControl/>
        <w:numPr>
          <w:ilvl w:val="0"/>
          <w:numId w:val="0"/>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情况说明：我单位</w:t>
      </w:r>
      <w:r>
        <w:rPr>
          <w:rFonts w:hint="eastAsia" w:ascii="仿宋_GB2312" w:hAnsi="仿宋_GB2312" w:eastAsia="仿宋_GB2312" w:cs="仿宋_GB2312"/>
          <w:sz w:val="32"/>
          <w:szCs w:val="32"/>
          <w:highlight w:val="none"/>
          <w:lang w:val="en-US" w:eastAsia="zh-CN"/>
        </w:rPr>
        <w:t>2021年度没有</w:t>
      </w:r>
      <w:r>
        <w:rPr>
          <w:rFonts w:hint="eastAsia" w:ascii="仿宋_GB2312" w:hAnsi="仿宋_GB2312" w:eastAsia="仿宋_GB2312" w:cs="仿宋_GB2312"/>
          <w:sz w:val="32"/>
          <w:szCs w:val="32"/>
          <w:highlight w:val="none"/>
        </w:rPr>
        <w:t>政府性基金</w:t>
      </w:r>
      <w:r>
        <w:rPr>
          <w:rFonts w:hint="eastAsia" w:ascii="仿宋_GB2312" w:hAnsi="仿宋_GB2312" w:eastAsia="仿宋_GB2312" w:cs="仿宋_GB2312"/>
          <w:sz w:val="32"/>
          <w:szCs w:val="32"/>
          <w:highlight w:val="none"/>
          <w:lang w:eastAsia="zh-CN"/>
        </w:rPr>
        <w:t>收入，也没有使用</w:t>
      </w:r>
      <w:r>
        <w:rPr>
          <w:rFonts w:hint="eastAsia" w:ascii="仿宋_GB2312" w:hAnsi="仿宋_GB2312" w:eastAsia="仿宋_GB2312" w:cs="仿宋_GB2312"/>
          <w:sz w:val="32"/>
          <w:szCs w:val="32"/>
          <w:highlight w:val="none"/>
        </w:rPr>
        <w:t>政府性基金</w:t>
      </w:r>
      <w:r>
        <w:rPr>
          <w:rFonts w:hint="eastAsia" w:ascii="仿宋_GB2312" w:hAnsi="仿宋_GB2312" w:eastAsia="仿宋_GB2312" w:cs="仿宋_GB2312"/>
          <w:sz w:val="32"/>
          <w:szCs w:val="32"/>
          <w:highlight w:val="none"/>
          <w:lang w:eastAsia="zh-CN"/>
        </w:rPr>
        <w:t>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widowControl/>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w:t>
      </w:r>
      <w:r>
        <w:rPr>
          <w:rFonts w:hint="eastAsia" w:ascii="仿宋_GB2312" w:hAnsi="仿宋_GB2312" w:eastAsia="仿宋_GB2312" w:cs="仿宋_GB2312"/>
          <w:sz w:val="32"/>
          <w:szCs w:val="32"/>
        </w:rPr>
        <w:t>以绩效目标实现为导向，加强组织领导，制定工作方案，认真组织开展绩效工作，按照年度目标任务，逐项落实责任人和完成时间节点。</w:t>
      </w:r>
      <w:r>
        <w:rPr>
          <w:rFonts w:hint="eastAsia" w:ascii="仿宋_GB2312" w:eastAsia="仿宋_GB2312"/>
          <w:sz w:val="32"/>
          <w:szCs w:val="32"/>
        </w:rPr>
        <w:t>对本单位预算绩效监控工作进行明确分工，明确工作要求，整体预算绩效做到日常监控，并对绩效运行监控信息进行收集、审核、分析、填报，分析偏离绩效目标的原因，并及时采取纠偏措施，</w:t>
      </w:r>
      <w:r>
        <w:rPr>
          <w:rFonts w:hint="eastAsia" w:ascii="仿宋_GB2312" w:hAnsi="仿宋_GB2312" w:eastAsia="仿宋_GB2312" w:cs="仿宋_GB2312"/>
          <w:sz w:val="32"/>
          <w:szCs w:val="32"/>
        </w:rPr>
        <w:t>定期对绩效目标完成情况开展自查，及时发现问题并解决问题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将绩效评价结果更好地应用到工作中。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r>
        <w:rPr>
          <w:rFonts w:hint="eastAsia" w:ascii="仿宋_GB2312" w:hAnsi="仿宋_GB2312" w:eastAsia="仿宋_GB2312" w:cs="仿宋_GB2312"/>
          <w:sz w:val="32"/>
          <w:szCs w:val="32"/>
        </w:rPr>
        <w:t>（许财效〔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情况，2021年，我单位整体绩效评价结果优秀，我院针对绩效管理中存在的问题，专门召开会议进行分析了分析，并商讨切实可行的改进方法，切实进行了认真改进，具体如下：1、统一思想，提高认识，共同抓好绩效管理工作，从思想上，行动上高度重视绩效管理工作，积极参与到绩效管理工作中来；2、加强绩效培训力度，举办绩效全员培训，进一步加强绩效教育领引，使每一位职工都充分认识到绩效管理工作的重大意义；3、在履职效能方面，绩效工作目标管理充分、合理、有效，整体工作、重点工作、目标实现完成率均为100%。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default" w:ascii="黑体" w:hAnsi="宋体" w:eastAsia="黑体" w:cs="宋体"/>
          <w:kern w:val="0"/>
          <w:sz w:val="28"/>
          <w:szCs w:val="28"/>
          <w:highlight w:val="none"/>
          <w:lang w:val="en-US"/>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lang w:val="en-US" w:eastAsia="zh-CN"/>
        </w:rPr>
      </w:pPr>
      <w:r>
        <w:rPr>
          <w:rFonts w:hint="eastAsia" w:ascii="黑体" w:hAnsi="宋体" w:eastAsia="黑体" w:cs="宋体"/>
          <w:kern w:val="0"/>
          <w:sz w:val="28"/>
          <w:szCs w:val="28"/>
          <w:highlight w:val="none"/>
          <w:lang w:val="en-US" w:eastAsia="zh-CN"/>
        </w:rPr>
        <w:t xml:space="preserve"> </w:t>
      </w: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OVRwbgAQAAwQMAAA4AAAAA&#10;AAAAAQAgAAAAHgEAAGRycy9lMm9Eb2MueG1s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65801EC1"/>
    <w:multiLevelType w:val="singleLevel"/>
    <w:tmpl w:val="65801EC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ZDk1OWQ4YTMzZmExMTQxNzk5OTk4ODk0M2YyYmYifQ=="/>
  </w:docVars>
  <w:rsids>
    <w:rsidRoot w:val="00172A27"/>
    <w:rsid w:val="005302D8"/>
    <w:rsid w:val="02E33EDE"/>
    <w:rsid w:val="181322D1"/>
    <w:rsid w:val="36281A66"/>
    <w:rsid w:val="4A703F30"/>
    <w:rsid w:val="533E7766"/>
    <w:rsid w:val="5E8C39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uiPriority w:val="99"/>
    <w:rPr>
      <w:color w:val="0000FF"/>
      <w:u w:val="single"/>
    </w:rPr>
  </w:style>
  <w:style w:type="character" w:customStyle="1" w:styleId="9">
    <w:name w:val="批注框文本 Char Char Char"/>
    <w:link w:val="2"/>
    <w:uiPriority w:val="99"/>
    <w:rPr>
      <w:kern w:val="2"/>
      <w:sz w:val="18"/>
      <w:szCs w:val="18"/>
    </w:rPr>
  </w:style>
  <w:style w:type="character" w:customStyle="1" w:styleId="10">
    <w:name w:val="页脚 Char Char Char"/>
    <w:link w:val="3"/>
    <w:uiPriority w:val="99"/>
    <w:rPr>
      <w:kern w:val="2"/>
      <w:sz w:val="18"/>
      <w:szCs w:val="18"/>
    </w:rPr>
  </w:style>
  <w:style w:type="character" w:customStyle="1" w:styleId="11">
    <w:name w:val="页眉 Char Char Char"/>
    <w:link w:val="4"/>
    <w:uiPriority w:val="99"/>
    <w:rPr>
      <w:kern w:val="2"/>
      <w:sz w:val="18"/>
      <w:szCs w:val="18"/>
    </w:rPr>
  </w:style>
  <w:style w:type="character" w:customStyle="1" w:styleId="12">
    <w:name w:val="font21"/>
    <w:uiPriority w:val="0"/>
    <w:rPr>
      <w:rFonts w:hint="eastAsia" w:ascii="宋体" w:hAnsi="宋体" w:eastAsia="宋体" w:cs="宋体"/>
      <w:color w:val="000000"/>
      <w:sz w:val="22"/>
      <w:szCs w:val="22"/>
      <w:u w:val="none"/>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51"/>
    <w:qFormat/>
    <w:uiPriority w:val="0"/>
    <w:rPr>
      <w:rFonts w:hint="eastAsia" w:ascii="宋体" w:hAnsi="宋体" w:eastAsia="宋体" w:cs="宋体"/>
      <w:color w:val="000000"/>
      <w:sz w:val="24"/>
      <w:szCs w:val="24"/>
      <w:u w:val="none"/>
    </w:rPr>
  </w:style>
  <w:style w:type="character" w:customStyle="1" w:styleId="15">
    <w:name w:val="font11"/>
    <w:uiPriority w:val="0"/>
    <w:rPr>
      <w:rFonts w:hint="eastAsia" w:ascii="宋体" w:hAnsi="宋体" w:eastAsia="宋体" w:cs="宋体"/>
      <w:color w:val="000000"/>
      <w:sz w:val="20"/>
      <w:szCs w:val="20"/>
      <w:u w:val="none"/>
    </w:rPr>
  </w:style>
  <w:style w:type="character" w:customStyle="1" w:styleId="16">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7144</Words>
  <Characters>8333</Characters>
  <Lines>60</Lines>
  <Paragraphs>16</Paragraphs>
  <TotalTime>6</TotalTime>
  <ScaleCrop>false</ScaleCrop>
  <LinksUpToDate>false</LinksUpToDate>
  <CharactersWithSpaces>8525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2018-07-24T10:50:00Z</cp:lastPrinted>
  <dcterms:modified xsi:type="dcterms:W3CDTF">2023-05-29T03:09:39Z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A2BAD845EC6B4AA28D824D22E2544804_13</vt:lpwstr>
  </property>
</Properties>
</file>