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许昌市水利工程质量监督站</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许昌市水利工程质量监督站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ind w:left="2400" w:hanging="2400" w:hangingChars="500"/>
        <w:jc w:val="left"/>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许昌市水利工程质量监督</w:t>
      </w:r>
      <w:r>
        <w:rPr>
          <w:rFonts w:hint="eastAsia" w:ascii="黑体" w:hAnsi="黑体" w:eastAsia="黑体" w:cs="黑体"/>
          <w:sz w:val="48"/>
          <w:szCs w:val="48"/>
          <w:highlight w:val="none"/>
          <w:lang w:eastAsia="zh-CN"/>
        </w:rPr>
        <w:t>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ordWrap/>
        <w:adjustRightInd w:val="0"/>
        <w:snapToGrid/>
        <w:spacing w:before="0" w:after="0" w:line="360" w:lineRule="auto"/>
        <w:ind w:left="0" w:leftChars="0"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rPr>
        <w:t>许昌市水利工程质量监督站</w:t>
      </w:r>
      <w:r>
        <w:rPr>
          <w:rFonts w:hint="eastAsia" w:ascii="仿宋_GB2312" w:hAnsi="仿宋_GB2312" w:eastAsia="仿宋_GB2312" w:cs="仿宋_GB2312"/>
          <w:sz w:val="32"/>
          <w:szCs w:val="32"/>
        </w:rPr>
        <w:t>主要职责是负责全市水利工程的质量监督。</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ordWrap/>
        <w:adjustRightInd w:val="0"/>
        <w:snapToGrid/>
        <w:spacing w:before="0" w:after="0" w:line="360" w:lineRule="auto"/>
        <w:ind w:left="0" w:leftChars="0" w:right="0" w:firstLine="640" w:firstLineChars="200"/>
        <w:textAlignment w:val="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kern w:val="0"/>
          <w:sz w:val="32"/>
          <w:szCs w:val="32"/>
        </w:rPr>
        <w:t>许昌市水利工程质量监督站内设</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3个，包括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技术科、人事财务科、综合办公室。</w:t>
      </w:r>
    </w:p>
    <w:p>
      <w:pPr>
        <w:widowControl/>
        <w:wordWrap/>
        <w:snapToGrid/>
        <w:spacing w:before="0" w:after="0"/>
        <w:ind w:left="0" w:leftChars="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从决算单位构成看，许昌市水利工程质量监督站</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wordWrap/>
        <w:snapToGrid/>
        <w:spacing w:before="0" w:after="0"/>
        <w:ind w:left="0" w:leftChars="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960" w:firstLineChars="300"/>
        <w:jc w:val="left"/>
        <w:rPr>
          <w:rFonts w:hint="eastAsia" w:ascii="黑体" w:hAnsi="宋体" w:eastAsia="仿宋_GB2312" w:cs="宋体"/>
          <w:kern w:val="0"/>
          <w:sz w:val="28"/>
          <w:szCs w:val="28"/>
          <w:lang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许昌市水利工程</w:t>
      </w:r>
      <w:r>
        <w:rPr>
          <w:rFonts w:hint="eastAsia" w:ascii="仿宋_GB2312" w:hAnsi="仿宋_GB2312" w:eastAsia="仿宋_GB2312" w:cs="仿宋_GB2312"/>
          <w:kern w:val="0"/>
          <w:sz w:val="32"/>
          <w:szCs w:val="32"/>
          <w:lang w:eastAsia="zh-CN"/>
        </w:rPr>
        <w:t>质量监督站</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5"/>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2"/>
        <w:gridCol w:w="787"/>
        <w:gridCol w:w="853"/>
        <w:gridCol w:w="4218"/>
        <w:gridCol w:w="787"/>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065"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82" w:type="dxa"/>
            <w:tcBorders>
              <w:top w:val="nil"/>
              <w:left w:val="nil"/>
              <w:bottom w:val="nil"/>
              <w:right w:val="nil"/>
            </w:tcBorders>
            <w:vAlign w:val="bottom"/>
          </w:tcPr>
          <w:p>
            <w:pPr>
              <w:jc w:val="center"/>
              <w:rPr>
                <w:rFonts w:hint="eastAsia" w:ascii="Arial" w:hAnsi="Arial" w:cs="Arial"/>
                <w:i w:val="0"/>
                <w:iCs w:val="0"/>
                <w:color w:val="000000"/>
                <w:sz w:val="18"/>
                <w:szCs w:val="18"/>
                <w:u w:val="none"/>
              </w:rPr>
            </w:pPr>
          </w:p>
        </w:tc>
        <w:tc>
          <w:tcPr>
            <w:tcW w:w="78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5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2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8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93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82"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78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5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2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8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93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12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94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85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2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9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87"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2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87"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80.42</w:t>
            </w: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9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9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9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9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8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80.42</w:t>
            </w:r>
          </w:p>
        </w:tc>
        <w:tc>
          <w:tcPr>
            <w:tcW w:w="42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9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8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8.09</w:t>
            </w:r>
          </w:p>
        </w:tc>
        <w:tc>
          <w:tcPr>
            <w:tcW w:w="421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9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8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1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93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87"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8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c>
          <w:tcPr>
            <w:tcW w:w="42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9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065"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650"/>
        <w:gridCol w:w="1650"/>
        <w:gridCol w:w="1129"/>
        <w:gridCol w:w="750"/>
        <w:gridCol w:w="1169"/>
        <w:gridCol w:w="1109"/>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16"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9"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6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0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94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16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6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0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6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12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7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事业</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116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1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rPr>
              <w:t>80.42</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rPr>
              <w:t>80.42</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7.63</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7.63</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7.63</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7.63</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3.54</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4.09</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4.09</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1.97</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70.44</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70.44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水利</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70.44</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70.44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70.44</w:t>
            </w:r>
          </w:p>
        </w:tc>
        <w:tc>
          <w:tcPr>
            <w:tcW w:w="16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70.44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016"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6"/>
        <w:gridCol w:w="222"/>
        <w:gridCol w:w="222"/>
        <w:gridCol w:w="3956"/>
        <w:gridCol w:w="1090"/>
        <w:gridCol w:w="1079"/>
        <w:gridCol w:w="926"/>
        <w:gridCol w:w="737"/>
        <w:gridCol w:w="73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801"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16"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9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7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92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3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3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22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9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7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92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3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3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0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07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92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73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73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0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73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73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rPr>
              <w:t>88.51</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rPr>
              <w:t>81.38</w:t>
            </w:r>
          </w:p>
        </w:tc>
        <w:tc>
          <w:tcPr>
            <w:tcW w:w="9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rPr>
              <w:t>7.13</w:t>
            </w: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4.46</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4.46</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70.61</w:t>
            </w:r>
          </w:p>
        </w:tc>
        <w:tc>
          <w:tcPr>
            <w:tcW w:w="9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水利</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70.61</w:t>
            </w:r>
          </w:p>
        </w:tc>
        <w:tc>
          <w:tcPr>
            <w:tcW w:w="9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0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70.61</w:t>
            </w:r>
          </w:p>
        </w:tc>
        <w:tc>
          <w:tcPr>
            <w:tcW w:w="9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801"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0"/>
        <w:gridCol w:w="570"/>
        <w:gridCol w:w="1065"/>
        <w:gridCol w:w="3660"/>
        <w:gridCol w:w="570"/>
        <w:gridCol w:w="862"/>
        <w:gridCol w:w="1267"/>
        <w:gridCol w:w="85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737"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70"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57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66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7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6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6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5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70"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57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66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7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6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6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5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832"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2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8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85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2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80.42</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8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8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8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8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80.42</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8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8.09</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8.09</w:t>
            </w: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8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c>
          <w:tcPr>
            <w:tcW w:w="126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88.51</w:t>
            </w:r>
          </w:p>
        </w:tc>
        <w:tc>
          <w:tcPr>
            <w:tcW w:w="8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3737"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6"/>
        <w:gridCol w:w="222"/>
        <w:gridCol w:w="222"/>
        <w:gridCol w:w="3956"/>
        <w:gridCol w:w="1452"/>
        <w:gridCol w:w="1439"/>
        <w:gridCol w:w="2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080" w:type="dxa"/>
            <w:gridSpan w:val="7"/>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216" w:type="dxa"/>
            <w:tcBorders>
              <w:top w:val="nil"/>
              <w:left w:val="nil"/>
              <w:bottom w:val="nil"/>
              <w:right w:val="nil"/>
            </w:tcBorders>
            <w:vAlign w:val="center"/>
          </w:tcPr>
          <w:p>
            <w:pPr>
              <w:rPr>
                <w:rFonts w:hint="eastAsia" w:ascii="Arial" w:hAnsi="Arial" w:cs="Arial"/>
                <w:i w:val="0"/>
                <w:iCs w:val="0"/>
                <w:color w:val="000000"/>
                <w:sz w:val="18"/>
                <w:szCs w:val="18"/>
                <w:u w:val="none"/>
              </w:rPr>
            </w:pPr>
          </w:p>
        </w:tc>
        <w:tc>
          <w:tcPr>
            <w:tcW w:w="222"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222"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1452"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1439"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2573" w:type="dxa"/>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216"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222"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222"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1452"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1439" w:type="dxa"/>
            <w:tcBorders>
              <w:top w:val="nil"/>
              <w:left w:val="nil"/>
              <w:bottom w:val="nil"/>
              <w:right w:val="nil"/>
            </w:tcBorders>
            <w:vAlign w:val="center"/>
          </w:tcPr>
          <w:p>
            <w:pPr>
              <w:rPr>
                <w:rFonts w:hint="default" w:ascii="Arial" w:hAnsi="Arial" w:cs="Arial"/>
                <w:i w:val="0"/>
                <w:iCs w:val="0"/>
                <w:color w:val="000000"/>
                <w:sz w:val="18"/>
                <w:szCs w:val="18"/>
                <w:u w:val="none"/>
              </w:rPr>
            </w:pPr>
          </w:p>
        </w:tc>
        <w:tc>
          <w:tcPr>
            <w:tcW w:w="2573" w:type="dxa"/>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46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5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43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57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3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7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7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57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88.51</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81.38</w:t>
            </w:r>
          </w:p>
        </w:tc>
        <w:tc>
          <w:tcPr>
            <w:tcW w:w="25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8.32</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4.46</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4.46</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70.61</w:t>
            </w:r>
          </w:p>
        </w:tc>
        <w:tc>
          <w:tcPr>
            <w:tcW w:w="25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水利</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70.61</w:t>
            </w:r>
          </w:p>
        </w:tc>
        <w:tc>
          <w:tcPr>
            <w:tcW w:w="25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4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77.74</w:t>
            </w:r>
          </w:p>
        </w:tc>
        <w:tc>
          <w:tcPr>
            <w:tcW w:w="14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70.61</w:t>
            </w:r>
          </w:p>
        </w:tc>
        <w:tc>
          <w:tcPr>
            <w:tcW w:w="25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3080"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25"/>
        <w:gridCol w:w="918"/>
        <w:gridCol w:w="766"/>
        <w:gridCol w:w="2416"/>
        <w:gridCol w:w="774"/>
        <w:gridCol w:w="766"/>
        <w:gridCol w:w="2925"/>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620"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6"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52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9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7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689" w:type="dxa"/>
            <w:gridSpan w:val="2"/>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91" w:type="dxa"/>
            <w:gridSpan w:val="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9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7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689" w:type="dxa"/>
            <w:gridSpan w:val="2"/>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41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7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75.17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7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9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9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79.03</w:t>
            </w:r>
          </w:p>
        </w:tc>
        <w:tc>
          <w:tcPr>
            <w:tcW w:w="7647"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7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20"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410"/>
        <w:gridCol w:w="750"/>
        <w:gridCol w:w="1410"/>
        <w:gridCol w:w="1410"/>
        <w:gridCol w:w="1230"/>
        <w:gridCol w:w="720"/>
        <w:gridCol w:w="1410"/>
        <w:gridCol w:w="765"/>
        <w:gridCol w:w="1410"/>
        <w:gridCol w:w="141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80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45"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5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3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2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64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215"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3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2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64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85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94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57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7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58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64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7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7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5"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80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lang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没有预算安排的三公经费，也没有预算安排的三公支出，故本表无数据</w:t>
      </w:r>
      <w:r>
        <w:rPr>
          <w:rFonts w:hint="eastAsia" w:ascii="仿宋_GB2312" w:hAnsi="仿宋_GB2312" w:eastAsia="仿宋_GB2312" w:cs="仿宋_GB2312"/>
          <w:sz w:val="32"/>
          <w:szCs w:val="32"/>
          <w:highlight w:val="none"/>
          <w:lang w:eastAsia="zh-CN"/>
        </w:rPr>
        <w:t>。</w:t>
      </w:r>
    </w:p>
    <w:tbl>
      <w:tblPr>
        <w:tblStyle w:val="5"/>
        <w:tblW w:w="13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
        <w:gridCol w:w="405"/>
        <w:gridCol w:w="405"/>
        <w:gridCol w:w="2001"/>
        <w:gridCol w:w="1965"/>
        <w:gridCol w:w="1681"/>
        <w:gridCol w:w="1316"/>
        <w:gridCol w:w="1736"/>
        <w:gridCol w:w="1645"/>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21"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5"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40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0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001"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9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81"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31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73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60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6"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：许昌市水利工程质量监督站</w:t>
            </w:r>
          </w:p>
        </w:tc>
        <w:tc>
          <w:tcPr>
            <w:tcW w:w="19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81"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31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73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60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9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68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697"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96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0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9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7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64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9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9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9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96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96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21"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000000"/>
          <w:sz w:val="24"/>
          <w:szCs w:val="24"/>
          <w:highlight w:val="none"/>
        </w:rPr>
      </w:pP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88.51</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7.89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9.79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2021年1月我单位新考入1人，追加人员经费。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80.42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80.42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w:t>
      </w:r>
      <w:r>
        <w:rPr>
          <w:rFonts w:hint="eastAsia" w:ascii="仿宋_GB2312" w:hAnsi="仿宋_GB2312" w:eastAsia="仿宋_GB2312" w:cs="仿宋_GB2312"/>
          <w:sz w:val="32"/>
          <w:szCs w:val="32"/>
          <w:highlight w:val="none"/>
          <w:lang w:eastAsia="zh-CN"/>
        </w:rPr>
        <w:t>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88.51</w:t>
      </w:r>
      <w:r>
        <w:rPr>
          <w:rFonts w:hint="eastAsia" w:ascii="仿宋_GB2312" w:hAnsi="仿宋_GB2312" w:eastAsia="仿宋_GB2312" w:cs="仿宋_GB2312"/>
          <w:sz w:val="32"/>
          <w:szCs w:val="32"/>
          <w:highlight w:val="none"/>
        </w:rPr>
        <w:t>万元，其中：基本支出81.38万元，占91.94%；项目支出</w:t>
      </w:r>
      <w:r>
        <w:rPr>
          <w:rFonts w:hint="eastAsia" w:ascii="仿宋_GB2312" w:hAnsi="仿宋_GB2312" w:eastAsia="仿宋_GB2312" w:cs="仿宋_GB2312"/>
          <w:sz w:val="32"/>
          <w:szCs w:val="32"/>
          <w:highlight w:val="none"/>
          <w:lang w:val="en-US" w:eastAsia="zh-CN"/>
        </w:rPr>
        <w:t>7.13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88.51</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7.89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9.79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2021年1月我单位新考入1人，追加人员经费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rPr>
        <w:t>88.51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15.66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21.50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人员增加，基本支出增加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88.51</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rPr>
        <w:t>一般公共服务（类）支出0.3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8.32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9.40</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2.33</w:t>
      </w:r>
      <w:r>
        <w:rPr>
          <w:rFonts w:hint="eastAsia" w:ascii="仿宋_GB2312" w:hAnsi="仿宋_GB2312" w:eastAsia="仿宋_GB2312" w:cs="仿宋_GB2312"/>
          <w:sz w:val="32"/>
          <w:szCs w:val="32"/>
        </w:rPr>
        <w:t>%；农林水（类）支出</w:t>
      </w:r>
      <w:r>
        <w:rPr>
          <w:rFonts w:hint="eastAsia" w:ascii="仿宋_GB2312" w:hAnsi="仿宋_GB2312" w:eastAsia="仿宋_GB2312" w:cs="仿宋_GB2312"/>
          <w:sz w:val="32"/>
          <w:szCs w:val="32"/>
          <w:lang w:val="en-US" w:eastAsia="zh-CN"/>
        </w:rPr>
        <w:t>77.74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wordWrap/>
        <w:adjustRightInd/>
        <w:snapToGrid/>
        <w:spacing w:before="0" w:after="0" w:line="580" w:lineRule="exact"/>
        <w:ind w:left="0" w:leftChars="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75.39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117.40</w:t>
      </w:r>
      <w:r>
        <w:rPr>
          <w:rFonts w:hint="eastAsia" w:ascii="仿宋_GB2312" w:hAnsi="仿宋_GB2312" w:eastAsia="仿宋_GB2312" w:cs="仿宋_GB2312"/>
          <w:sz w:val="32"/>
          <w:szCs w:val="32"/>
          <w:highlight w:val="none"/>
        </w:rPr>
        <w:t>%。其中：</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社会保障就业支出（类）行政事业单位离退休（款）事业单位离退休（项）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98.72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退休人员文明奖实际计算发放时与预算核算标准略有出入</w:t>
      </w:r>
      <w:r>
        <w:rPr>
          <w:rFonts w:hint="eastAsia" w:ascii="仿宋_GB2312" w:hAnsi="仿宋_GB2312" w:eastAsia="仿宋_GB2312" w:cs="仿宋_GB2312"/>
          <w:sz w:val="32"/>
          <w:szCs w:val="32"/>
          <w:highlight w:val="none"/>
        </w:rPr>
        <w:t>。</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社会保障就业支出（类）行政事业单位离退休（款）机关事业单位基本养老保险缴费支出（项）。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万元，支出决算为4.</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100.22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养老保险</w:t>
      </w:r>
      <w:r>
        <w:rPr>
          <w:rFonts w:hint="eastAsia" w:ascii="仿宋_GB2312" w:hAnsi="仿宋_GB2312" w:eastAsia="仿宋_GB2312" w:cs="仿宋_GB2312"/>
          <w:sz w:val="32"/>
          <w:szCs w:val="32"/>
        </w:rPr>
        <w:t>基数</w:t>
      </w:r>
      <w:r>
        <w:rPr>
          <w:rFonts w:hint="eastAsia" w:ascii="仿宋_GB2312" w:hAnsi="仿宋_GB2312" w:eastAsia="仿宋_GB2312" w:cs="仿宋_GB2312"/>
          <w:sz w:val="32"/>
          <w:szCs w:val="32"/>
          <w:lang w:eastAsia="zh-CN"/>
        </w:rPr>
        <w:t>调整，追加经费</w:t>
      </w:r>
      <w:r>
        <w:rPr>
          <w:rFonts w:hint="eastAsia" w:ascii="仿宋_GB2312" w:hAnsi="仿宋_GB2312" w:eastAsia="仿宋_GB2312" w:cs="仿宋_GB2312"/>
          <w:sz w:val="32"/>
          <w:szCs w:val="32"/>
        </w:rPr>
        <w:t>。</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97.63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实际缴纳医保上半年基数低于预算核算标准</w:t>
      </w:r>
      <w:r>
        <w:rPr>
          <w:rFonts w:hint="eastAsia" w:ascii="仿宋_GB2312" w:hAnsi="仿宋_GB2312" w:eastAsia="仿宋_GB2312" w:cs="仿宋_GB2312"/>
          <w:sz w:val="32"/>
          <w:szCs w:val="32"/>
          <w:highlight w:val="none"/>
        </w:rPr>
        <w:t>。</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5．</w:t>
      </w:r>
      <w:r>
        <w:rPr>
          <w:rFonts w:hint="eastAsia" w:ascii="仿宋" w:hAnsi="仿宋" w:eastAsia="仿宋" w:cs="仿宋_GB2312"/>
          <w:b/>
          <w:bCs/>
          <w:sz w:val="32"/>
          <w:szCs w:val="32"/>
        </w:rPr>
        <w:t>农林水支出（类）水利（款）水利行业业务管理（项）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64.54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77.74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120.45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2021年1月新考入1人，追加人员经费（工资、社保等）全部计入水利行业业务管理科目</w:t>
      </w:r>
      <w:r>
        <w:rPr>
          <w:rFonts w:hint="eastAsia" w:ascii="仿宋_GB2312" w:hAnsi="仿宋_GB2312" w:eastAsia="仿宋_GB2312" w:cs="仿宋_GB2312"/>
          <w:sz w:val="32"/>
          <w:szCs w:val="32"/>
          <w:lang w:eastAsia="zh-CN"/>
        </w:rPr>
        <w:t>。</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81.38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79.03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退休费；公用经费</w:t>
      </w:r>
      <w:r>
        <w:rPr>
          <w:rFonts w:hint="eastAsia" w:ascii="仿宋_GB2312" w:hAnsi="仿宋_GB2312" w:eastAsia="仿宋_GB2312" w:cs="仿宋_GB2312"/>
          <w:sz w:val="32"/>
          <w:szCs w:val="32"/>
          <w:highlight w:val="none"/>
          <w:lang w:val="en-US" w:eastAsia="zh-CN"/>
        </w:rPr>
        <w:t>2.35</w:t>
      </w:r>
      <w:r>
        <w:rPr>
          <w:rFonts w:hint="eastAsia" w:ascii="仿宋_GB2312" w:hAnsi="仿宋_GB2312" w:eastAsia="仿宋_GB2312" w:cs="仿宋_GB2312"/>
          <w:sz w:val="32"/>
          <w:szCs w:val="32"/>
          <w:highlight w:val="none"/>
        </w:rPr>
        <w:t>万元，主要包括：办公费、水费、电费、邮电费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物业管理费、差旅费、培训费、工会经费、福利费。</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wordWrap/>
        <w:adjustRightInd/>
        <w:snapToGrid/>
        <w:spacing w:before="0" w:after="0" w:line="580" w:lineRule="exact"/>
        <w:ind w:left="0" w:leftChars="0" w:right="0" w:firstLine="643"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w:t>
      </w:r>
    </w:p>
    <w:p>
      <w:pPr>
        <w:widowControl/>
        <w:wordWrap/>
        <w:adjustRightInd/>
        <w:snapToGrid/>
        <w:spacing w:before="0" w:after="0" w:line="580" w:lineRule="exact"/>
        <w:ind w:left="0" w:leftChars="0" w:right="0" w:firstLine="643"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2"/>
        </w:numPr>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numPr>
          <w:ilvl w:val="0"/>
          <w:numId w:val="0"/>
        </w:numPr>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wordWrap/>
        <w:adjustRightInd/>
        <w:snapToGrid/>
        <w:spacing w:before="0" w:after="0" w:line="580" w:lineRule="exact"/>
        <w:ind w:left="0" w:leftChars="0" w:right="0" w:firstLine="643"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8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年度没有政府性基金收入，也没有使用政府性基金安排的支出。</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before="0" w:after="0" w:line="58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before="0" w:after="0" w:line="580" w:lineRule="exact"/>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我单位以绩效目标实现为导向，制定了完善的</w:t>
      </w:r>
      <w:r>
        <w:rPr>
          <w:rFonts w:hint="eastAsia" w:ascii="仿宋_GB2312" w:hAnsi="仿宋_GB2312" w:eastAsia="仿宋_GB2312" w:cs="仿宋_GB2312"/>
          <w:bCs/>
          <w:sz w:val="32"/>
          <w:szCs w:val="32"/>
        </w:rPr>
        <w:t>绩效管理制度</w:t>
      </w:r>
      <w:r>
        <w:rPr>
          <w:rFonts w:hint="eastAsia" w:ascii="仿宋_GB2312" w:hAnsi="仿宋_GB2312" w:eastAsia="仿宋_GB2312" w:cs="仿宋_GB2312"/>
          <w:bCs/>
          <w:sz w:val="32"/>
          <w:szCs w:val="32"/>
          <w:lang w:eastAsia="zh-CN"/>
        </w:rPr>
        <w:t>，并在单位内部开展了</w:t>
      </w:r>
      <w:r>
        <w:rPr>
          <w:rFonts w:hint="eastAsia" w:ascii="仿宋_GB2312" w:hAnsi="仿宋_GB2312" w:eastAsia="仿宋_GB2312" w:cs="仿宋_GB2312"/>
          <w:bCs/>
          <w:sz w:val="32"/>
          <w:szCs w:val="32"/>
        </w:rPr>
        <w:t>绩效管理制度的宣传和培训工作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auto"/>
          <w:sz w:val="32"/>
          <w:szCs w:val="32"/>
          <w:highlight w:val="none"/>
          <w:lang w:val="en-US" w:eastAsia="zh-CN"/>
        </w:rPr>
        <w:t>按照年度目标任务，逐项落实、</w:t>
      </w:r>
      <w:r>
        <w:rPr>
          <w:rFonts w:hint="eastAsia" w:ascii="仿宋_GB2312" w:hAnsi="仿宋_GB2312" w:eastAsia="仿宋_GB2312" w:cs="仿宋_GB2312"/>
          <w:bCs/>
          <w:sz w:val="32"/>
          <w:szCs w:val="32"/>
        </w:rPr>
        <w:t>责任到人，过程中加强监督，突出预算绩效管理，提高资金使用效益</w:t>
      </w:r>
      <w:r>
        <w:rPr>
          <w:rFonts w:hint="eastAsia" w:ascii="仿宋_GB2312" w:hAnsi="仿宋_GB2312" w:eastAsia="仿宋_GB2312" w:cs="仿宋_GB2312"/>
          <w:bCs/>
          <w:sz w:val="32"/>
          <w:szCs w:val="32"/>
          <w:lang w:eastAsia="zh-CN"/>
        </w:rPr>
        <w:t>，并</w:t>
      </w:r>
      <w:r>
        <w:rPr>
          <w:rFonts w:hint="eastAsia" w:ascii="仿宋_GB2312" w:hAnsi="仿宋_GB2312" w:eastAsia="仿宋_GB2312" w:cs="仿宋_GB2312"/>
          <w:color w:val="auto"/>
          <w:sz w:val="32"/>
          <w:szCs w:val="32"/>
          <w:highlight w:val="none"/>
          <w:lang w:val="en-US" w:eastAsia="zh-CN"/>
        </w:rPr>
        <w:t>定期对绩效目标完成情况开展自查，及时发现问题并解决问题。</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终</w:t>
      </w:r>
      <w:r>
        <w:rPr>
          <w:rFonts w:hint="eastAsia" w:ascii="仿宋_GB2312" w:hAnsi="仿宋_GB2312" w:eastAsia="仿宋_GB2312" w:cs="仿宋_GB2312"/>
          <w:sz w:val="32"/>
          <w:szCs w:val="32"/>
        </w:rPr>
        <w:t>按照绩效管理要求及时开展绩效评价工作，将绩效评价结果更好地应用到以后的工作中</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before="0" w:after="0" w:line="580" w:lineRule="exact"/>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市财政局和市水利局的</w:t>
      </w:r>
      <w:r>
        <w:rPr>
          <w:rFonts w:hint="eastAsia" w:ascii="仿宋_GB2312" w:hAnsi="仿宋_GB2312" w:eastAsia="仿宋_GB2312" w:cs="仿宋_GB2312"/>
          <w:sz w:val="32"/>
          <w:szCs w:val="32"/>
        </w:rPr>
        <w:t>要求，我单位年初</w:t>
      </w:r>
      <w:r>
        <w:rPr>
          <w:rFonts w:hint="eastAsia" w:ascii="仿宋_GB2312" w:hAnsi="仿宋_GB2312" w:eastAsia="仿宋_GB2312" w:cs="仿宋_GB2312"/>
          <w:sz w:val="32"/>
          <w:szCs w:val="32"/>
          <w:lang w:eastAsia="zh-CN"/>
        </w:rPr>
        <w:t>制定并公开了</w:t>
      </w:r>
      <w:r>
        <w:rPr>
          <w:rFonts w:hint="eastAsia" w:ascii="仿宋_GB2312" w:hAnsi="仿宋_GB2312" w:eastAsia="仿宋_GB2312" w:cs="仿宋_GB2312"/>
          <w:sz w:val="32"/>
          <w:szCs w:val="32"/>
        </w:rPr>
        <w:t>单位整体绩效目标，对单位的年度工作任务进行指标量化，各项年度工作</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rPr>
        <w:t>全部</w:t>
      </w:r>
      <w:r>
        <w:rPr>
          <w:rFonts w:hint="eastAsia" w:ascii="仿宋_GB2312" w:hAnsi="仿宋_GB2312" w:eastAsia="仿宋_GB2312" w:cs="仿宋_GB2312"/>
          <w:sz w:val="32"/>
          <w:szCs w:val="32"/>
          <w:lang w:eastAsia="zh-CN"/>
        </w:rPr>
        <w:t>圆满</w:t>
      </w:r>
      <w:r>
        <w:rPr>
          <w:rFonts w:hint="eastAsia" w:ascii="仿宋_GB2312" w:hAnsi="仿宋_GB2312" w:eastAsia="仿宋_GB2312" w:cs="仿宋_GB2312"/>
          <w:sz w:val="32"/>
          <w:szCs w:val="32"/>
        </w:rPr>
        <w:t>完成，整体绩效自评为优秀。</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r>
        <w:rPr>
          <w:rFonts w:hint="eastAsia" w:ascii="仿宋_GB2312" w:hAnsi="仿宋_GB2312" w:eastAsia="仿宋_GB2312" w:cs="仿宋_GB2312"/>
          <w:sz w:val="32"/>
          <w:szCs w:val="32"/>
          <w:lang w:val="en-US" w:eastAsia="zh-CN"/>
        </w:rPr>
        <w:t>项目金额0.00万元</w:t>
      </w:r>
      <w:r>
        <w:rPr>
          <w:rFonts w:hint="eastAsia" w:ascii="仿宋_GB2312" w:hAnsi="仿宋_GB2312" w:eastAsia="仿宋_GB2312" w:cs="仿宋_GB2312"/>
          <w:sz w:val="32"/>
          <w:szCs w:val="32"/>
        </w:rPr>
        <w:t>。</w:t>
      </w:r>
    </w:p>
    <w:p>
      <w:pPr>
        <w:wordWrap/>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before="0" w:after="0" w:line="58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before="0" w:after="0" w:line="58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 年度我单位没有开展重点绩效评价的项目。</w:t>
      </w:r>
    </w:p>
    <w:p>
      <w:pPr>
        <w:widowControl/>
        <w:wordWrap/>
        <w:adjustRightInd/>
        <w:snapToGrid/>
        <w:spacing w:before="0" w:after="0" w:line="540" w:lineRule="exact"/>
        <w:ind w:left="0" w:leftChars="0" w:right="0"/>
        <w:jc w:val="left"/>
        <w:textAlignment w:val="auto"/>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bookmarkStart w:id="0" w:name="_GoBack"/>
      <w:bookmarkEnd w:id="0"/>
      <w:r>
        <w:rPr>
          <w:rFonts w:hint="eastAsia" w:ascii="仿宋_GB2312" w:hAnsi="仿宋_GB2312" w:eastAsia="仿宋_GB2312" w:cs="仿宋_GB2312"/>
          <w:sz w:val="32"/>
          <w:szCs w:val="32"/>
        </w:rPr>
        <w:t>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10"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rect>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11" o:spid="_x0000_s2050"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12" o:spid="_x0000_s2051"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- 5 -</w:t>
                </w:r>
                <w: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2"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13" o:spid="_x0000_s2053"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E7BA5"/>
    <w:multiLevelType w:val="singleLevel"/>
    <w:tmpl w:val="F88E7BA5"/>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xMGJkOGQ0NjQzZWI0NzRkN2I0NzgxNWU3MjUyMjMifQ=="/>
  </w:docVars>
  <w:rsids>
    <w:rsidRoot w:val="00000000"/>
    <w:rsid w:val="21E55965"/>
    <w:rsid w:val="3C8A5361"/>
    <w:rsid w:val="419240F5"/>
    <w:rsid w:val="51592F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Char Char"/>
    <w:link w:val="3"/>
    <w:qFormat/>
    <w:uiPriority w:val="99"/>
    <w:rPr>
      <w:kern w:val="2"/>
      <w:sz w:val="18"/>
      <w:szCs w:val="18"/>
    </w:rPr>
  </w:style>
  <w:style w:type="character" w:customStyle="1" w:styleId="10">
    <w:name w:val="font51"/>
    <w:qFormat/>
    <w:uiPriority w:val="0"/>
    <w:rPr>
      <w:rFonts w:hint="eastAsia" w:ascii="宋体" w:hAnsi="宋体" w:eastAsia="宋体" w:cs="宋体"/>
      <w:color w:val="000000"/>
      <w:sz w:val="24"/>
      <w:szCs w:val="24"/>
      <w:u w:val="none"/>
    </w:rPr>
  </w:style>
  <w:style w:type="character" w:customStyle="1" w:styleId="11">
    <w:name w:val="批注框文本 Char Char Char"/>
    <w:link w:val="2"/>
    <w:qFormat/>
    <w:uiPriority w:val="99"/>
    <w:rPr>
      <w:kern w:val="2"/>
      <w:sz w:val="18"/>
      <w:szCs w:val="18"/>
    </w:rPr>
  </w:style>
  <w:style w:type="character" w:customStyle="1" w:styleId="12">
    <w:name w:val="页眉 Char Char Char"/>
    <w:link w:val="4"/>
    <w:qFormat/>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7551</Words>
  <Characters>9036</Characters>
  <Lines>60</Lines>
  <Paragraphs>16</Paragraphs>
  <TotalTime>5</TotalTime>
  <ScaleCrop>false</ScaleCrop>
  <LinksUpToDate>false</LinksUpToDate>
  <CharactersWithSpaces>9251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王雨</cp:lastModifiedBy>
  <cp:lastPrinted>2018-07-24T18:50:00Z</cp:lastPrinted>
  <dcterms:modified xsi:type="dcterms:W3CDTF">2023-05-09T09:44:13Z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6CA23B3B8ABF4D3BBE9F5CE986D7ED85</vt:lpwstr>
  </property>
</Properties>
</file>