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52"/>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许昌市水利局（本级）单位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headerReference r:id="rId3" w:type="default"/>
          <w:headerReference r:id="rId4"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许昌市水利局</w:t>
      </w:r>
      <w:r>
        <w:rPr>
          <w:rFonts w:hint="eastAsia" w:ascii="黑体" w:hAnsi="黑体" w:eastAsia="黑体" w:cs="黑体"/>
          <w:sz w:val="32"/>
          <w:szCs w:val="32"/>
          <w:highlight w:val="none"/>
        </w:rPr>
        <w:t>概</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许昌市水利局（本级）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（一）贯彻执行党和国家有关水利工作方针政策，负责全市水资源的统一管理和监督工作。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（二）负责保障水资源的合理开发利用。起草有关地方性草案并监督实施，指导和组织编制、审查、申报水利综合规划、专业规划、专项规划。</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负责生活、生产经营和生态环境用水的统筹和保障。组织实施最严格水资源管理制度，拟定全市和跨县（市、区）水中长期供求规划，水量分配方案并监督实施。负责河湖水系和重要水工程的水资源调度。组织实施取水许可、水资源有偿使用制度和水资源论证、防洪论证制度。负责污水处理费征收相关工作。发布全市水资源公报。指导水利行业供水和乡镇供水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四）按规定制定水利工程建设有关制度并组织实施，负责提出中央、省下达的和市级水利固定资产投资规模、方向、具体安排建议并组织实施，按市政府规定权限审批、核准规划内和年度计划规模内固定资产投资项目，提出省和市级水利资金安排建议并负责项目实施的监督管理。按市政府规定权限，指导和组织编制、审查、申报水利基本建设项目建议书、可行性研究报告和初步设计。负责审批水利基本建设项目初步设计文件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五）负责水资源保护工作。组织编制并实施水资源保护规划，组织开展河湖水生态保护与修复，指导河湖生态流量水量管理以及河湖水系连通工作，指导饮用水水源保护工作，开展重要河湖健康评估，指导地下水开发利用和地下水资源管理保护。</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六）负责节约用水工作。拟订全市节约用水的相关规范性文件，组织编制节约用水规划并监督实施，落实有关用水、节水标准。组织实施用水总量控制、用水效率控制、计划用水和定额管理等制度，组织、管理、监督节约用水工作，指导和推动节水型社会建设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七）负责全市水利设施、水域及其岸线的管理、保护与综合利用。组织指导水利基础设施网络建设，指导河湖水系及滩地的治理、开发和保护。指导水利工程建设与运行管理，负责水利工程质量监督检查工作，组织实施重要水利工程建设、验收与运行管理工作，负责河湖水系和重要水工程的调度工作，负责全市河道采砂的行业管理和监督检查工作。组织指导并负责监督检查全面推行河长制湖长制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八）负责许昌市南水北调配套工程的运行管理工作。贯彻落实国家和省南水北调工程运行管理的法律、法规和政策，负责我市南水北调配套工程运行管理的行政监督。拟订南水北调受水区年度水量调度计划并组织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（九）负责水土保持工作。拟订全市水土保持规划并监督实施，组织实施水土流失的综合防治和全市水土流失监测、预报并公告。负责市本级建设项目水土保持监测管理工作，指导水土保持重点建设项目的实施。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（十）负责农村水利工作。组织开展大中型灌排工程建设与改造。指导农村饮水安全工程建设与管理工作，指导节水灌溉有关工作。指导农村水利改革创新和社会化服务体系建设。</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一）负责水利工程移民管理工作。贯彻实施水利工程征地移民政策和法规、规章，编制落实移民后期扶持规划、计划，组织指导移民搬迁、安置验收、监督评估和后期生产扶持工作。管理和监督移民后期扶持资金的使用。</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二）负责重大涉水违法事件查处工作。指导全市水政监察和水行政执法，协调、仲裁并处理跨县（市、区）水事纠纷。负责水利行业安全生产工作，组织指导水库、大坝的安全监督管理。指导水利建设市场的监督管理工作，组织开展水利工程建设监督检查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（十三）开展全市水利科技和教育工作。组织水利科学研究、技术引进和科技推广工作，对水利行业技术标准、规程规范实施监督，承担水利统计工作。组织指导水利系统教育培训工作。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四）负责落实全市综合防灾减灾规划相关要求，组织编制全市洪水干旱灾害防治规划和防护标准并指导实施。承担水情旱情监测预警工作。组织编制重要河流和重要水工程的防御洪水、抗御旱灾调度和应急水量调度方案，按程序</w:t>
      </w:r>
    </w:p>
    <w:p>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报批并组织实施。承担防御洪水应急抢险的技术支撑工作。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五）负责全市城市供水、排水的建设管理工作。组织编制市区供水、排水专项规划。开展城市供水水质监督管理工作。参与城市供水、排水水价规划和水价调整工作，负责城市供水、排水、污水处理设施的运行监管，承担供排水调度并监督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（十六）完成市委、市政府交办的其他任务。</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（十七）有关职责分工</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自然灾害防救的职责分工。许昌市水利局负责落实综合防灾减灾规划相关要求，组织编制洪水干旱灾害防治规划和防护标准并指导实施；承担水情旱情监测预警工作；组织编制重要水工程的防御洪水抗御旱灾调度和应急水量调度方案，按程序报批并组织实施；承担防御洪水应急抢险和技术支撑工作；承担灾害性天气期间重要水工程调度工作。市应急管理局负责统一组织、统一指挥、统一协调自然灾害类突发事件应急救援，统筹综合防灾减灾救灾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水资源保护与水污染防治的职责分工。许昌市水利局对水资源保护负责，市生态环境局对水环境质量和水污染防治负责。两单位要进一步加强协调与配合，建立协商机制，定期通报水资源保护与水污染防治有关情况，协商解决有关重大问题。市生态环境局发布水环境信息，对信息的准确性、及时性负责。许昌市水利局发布水文水资源信息中涉及水环境质量的内容，应与市生态环境局协商一致。</w:t>
      </w:r>
    </w:p>
    <w:p>
      <w:pPr>
        <w:widowControl/>
        <w:ind w:firstLine="640" w:firstLineChars="200"/>
        <w:jc w:val="left"/>
        <w:outlineLvl w:val="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河道采砂管理的职责分工。许昌市水利局负责全市河道采砂的行业管理和监督检查工作。市公安局负责河道采砂治安管理工作，依法打击河道采砂活动中的违法犯罪行为。交通运输、自然资源和规划、农业农村、应急管理等单位按照各自职责，协助做好河道采砂监督管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许昌市水利局（本级）内设机构10个，包括：办公室（人事科）、规划计划和建设科、政策法规和监督科（政务服务科）、财务科、水资源管理科（市节约用水办公室）、运行管理和水旱灾害防御科、农村水利和移民科（水土保持科）、河湖长制工作科、城市供排水科、机关党委。</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从决算单位构成看，许昌市水利局（本级）单位决算包括：本级决算。</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纳入本单位2021年度单位决算编制范围的单位共1个，具体是：</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许昌市水利局（本级）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start="2"/>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val="0"/>
            <w:tcMar>
              <w:top w:w="15" w:type="dxa"/>
              <w:left w:w="15" w:type="dxa"/>
              <w:right w:w="15" w:type="dxa"/>
            </w:tcMar>
            <w:vAlign w:val="bottom"/>
          </w:tcPr>
          <w:p>
            <w:pPr>
              <w:kinsoku/>
              <w:autoSpaceDE/>
              <w:autoSpaceDN w:val="0"/>
              <w:jc w:val="left"/>
              <w:textAlignment w:val="bottom"/>
              <w:rPr>
                <w:rFonts w:hint="eastAsia" w:ascii="宋体" w:hAnsi="宋体" w:cs="宋体"/>
                <w:color w:val="000000"/>
                <w:sz w:val="18"/>
                <w:szCs w:val="18"/>
                <w:highlight w:val="none"/>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：许昌市水利局（本级）</w:t>
            </w: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1,311.50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32</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33</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35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kern w:val="0"/>
                <w:sz w:val="22"/>
                <w:szCs w:val="20"/>
                <w:highlight w:val="none"/>
                <w:lang w:bidi="ar"/>
              </w:rPr>
            </w:pPr>
            <w:r>
              <w:rPr>
                <w:rFonts w:hint="default" w:ascii="宋体" w:hAnsi="宋体" w:eastAsia="宋体"/>
                <w:b w:val="0"/>
                <w:i w:val="0"/>
                <w:snapToGrid/>
                <w:color w:val="000000"/>
                <w:sz w:val="22"/>
                <w:u w:val="none"/>
                <w:lang w:eastAsia="zh-CN"/>
              </w:rPr>
              <w:t>37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351.79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auto"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p>
        </w:tc>
        <w:tc>
          <w:tcPr>
            <w:tcW w:w="82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11</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000000" w:sz="4" w:space="0"/>
              <w:left w:val="single" w:color="000000" w:sz="4" w:space="0"/>
              <w:bottom w:val="single" w:color="auto"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b/>
                <w:color w:val="000000"/>
                <w:sz w:val="22"/>
                <w:szCs w:val="20"/>
                <w:highlight w:val="none"/>
              </w:rPr>
            </w:pPr>
            <w:r>
              <w:rPr>
                <w:rFonts w:hint="default" w:ascii="宋体" w:hAnsi="宋体" w:eastAsia="宋体"/>
                <w:b w:val="0"/>
                <w:i w:val="0"/>
                <w:snapToGrid/>
                <w:color w:val="000000"/>
                <w:sz w:val="22"/>
                <w:u w:val="none"/>
                <w:lang w:eastAsia="zh-CN"/>
              </w:rPr>
              <w:t>十一、城乡社区支出</w:t>
            </w:r>
          </w:p>
        </w:tc>
        <w:tc>
          <w:tcPr>
            <w:tcW w:w="75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42</w:t>
            </w:r>
          </w:p>
        </w:tc>
        <w:tc>
          <w:tcPr>
            <w:tcW w:w="1699" w:type="dxa"/>
            <w:tcBorders>
              <w:top w:val="single" w:color="000000" w:sz="4" w:space="0"/>
              <w:left w:val="nil"/>
              <w:bottom w:val="single" w:color="auto"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b/>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 xml:space="preserve">      </w:t>
            </w: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12</w:t>
            </w:r>
          </w:p>
        </w:tc>
        <w:tc>
          <w:tcPr>
            <w:tcW w:w="176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十二、农林水支出</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43</w:t>
            </w:r>
          </w:p>
        </w:tc>
        <w:tc>
          <w:tcPr>
            <w:tcW w:w="16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1,332.39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 xml:space="preserve">       </w:t>
            </w: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w:t>
            </w:r>
          </w:p>
        </w:tc>
        <w:tc>
          <w:tcPr>
            <w:tcW w:w="176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十三、交通运输支出</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44</w:t>
            </w:r>
          </w:p>
        </w:tc>
        <w:tc>
          <w:tcPr>
            <w:tcW w:w="16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14</w:t>
            </w:r>
          </w:p>
        </w:tc>
        <w:tc>
          <w:tcPr>
            <w:tcW w:w="176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十四、资源勘探工业信息等支出</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45</w:t>
            </w:r>
          </w:p>
        </w:tc>
        <w:tc>
          <w:tcPr>
            <w:tcW w:w="16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15</w:t>
            </w:r>
          </w:p>
        </w:tc>
        <w:tc>
          <w:tcPr>
            <w:tcW w:w="1764"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b/>
                <w:color w:val="000000"/>
                <w:sz w:val="22"/>
                <w:szCs w:val="20"/>
                <w:highlight w:val="none"/>
              </w:rPr>
            </w:pPr>
            <w:r>
              <w:rPr>
                <w:rFonts w:hint="default" w:ascii="宋体" w:hAnsi="宋体" w:eastAsia="宋体"/>
                <w:b w:val="0"/>
                <w:i w:val="0"/>
                <w:snapToGrid/>
                <w:color w:val="000000"/>
                <w:sz w:val="22"/>
                <w:u w:val="none"/>
                <w:lang w:eastAsia="zh-CN"/>
              </w:rPr>
              <w:t>十五、商业服务业等支出</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46</w:t>
            </w:r>
          </w:p>
        </w:tc>
        <w:tc>
          <w:tcPr>
            <w:tcW w:w="16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b/>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center"/>
              <w:textAlignment w:val="center"/>
              <w:rPr>
                <w:rFonts w:hint="eastAsia" w:ascii="宋体" w:hAnsi="宋体" w:eastAsia="宋体" w:cs="宋体"/>
                <w:color w:val="000000"/>
                <w:sz w:val="22"/>
                <w:szCs w:val="20"/>
                <w:highlight w:val="none"/>
                <w:lang w:val="en-US" w:eastAsia="zh-CN"/>
              </w:rPr>
            </w:pPr>
            <w:r>
              <w:rPr>
                <w:rFonts w:hint="default" w:ascii="宋体" w:hAnsi="宋体" w:eastAsia="宋体"/>
                <w:b w:val="0"/>
                <w:i w:val="0"/>
                <w:snapToGrid/>
                <w:color w:val="000000"/>
                <w:sz w:val="22"/>
                <w:u w:val="none"/>
                <w:lang w:eastAsia="zh-CN"/>
              </w:rPr>
              <w:t>16</w:t>
            </w:r>
          </w:p>
        </w:tc>
        <w:tc>
          <w:tcPr>
            <w:tcW w:w="1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十六、金融支出</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47</w:t>
            </w:r>
          </w:p>
        </w:tc>
        <w:tc>
          <w:tcPr>
            <w:tcW w:w="16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color w:val="000000"/>
                <w:sz w:val="22"/>
                <w:szCs w:val="20"/>
                <w:highlight w:val="none"/>
                <w:lang w:val="en-US" w:eastAsia="zh-CN"/>
              </w:rPr>
            </w:pPr>
            <w:r>
              <w:rPr>
                <w:rFonts w:hint="default" w:ascii="宋体" w:hAnsi="宋体" w:eastAsia="宋体"/>
                <w:b w:val="0"/>
                <w:i w:val="0"/>
                <w:snapToGrid/>
                <w:color w:val="000000"/>
                <w:sz w:val="22"/>
                <w:u w:val="none"/>
                <w:lang w:eastAsia="zh-CN"/>
              </w:rPr>
              <w:t>17</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十七、援助其他地区支出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48</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color w:val="000000"/>
                <w:sz w:val="22"/>
                <w:szCs w:val="20"/>
                <w:highlight w:val="none"/>
                <w:lang w:val="en-US" w:eastAsia="zh-CN"/>
              </w:rPr>
            </w:pPr>
            <w:r>
              <w:rPr>
                <w:rFonts w:hint="default" w:ascii="宋体" w:hAnsi="宋体" w:eastAsia="宋体"/>
                <w:b w:val="0"/>
                <w:i w:val="0"/>
                <w:snapToGrid/>
                <w:color w:val="000000"/>
                <w:sz w:val="22"/>
                <w:u w:val="none"/>
                <w:lang w:eastAsia="zh-CN"/>
              </w:rPr>
              <w:t>18</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十八、自然资源海洋气象等支出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49</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color w:val="000000"/>
                <w:sz w:val="22"/>
                <w:szCs w:val="20"/>
                <w:highlight w:val="none"/>
                <w:lang w:val="en-US" w:eastAsia="zh-CN"/>
              </w:rPr>
            </w:pPr>
            <w:r>
              <w:rPr>
                <w:rFonts w:hint="default" w:ascii="宋体" w:hAnsi="宋体" w:eastAsia="宋体"/>
                <w:b w:val="0"/>
                <w:i w:val="0"/>
                <w:snapToGrid/>
                <w:color w:val="000000"/>
                <w:sz w:val="22"/>
                <w:u w:val="none"/>
                <w:lang w:eastAsia="zh-CN"/>
              </w:rPr>
              <w:t>19</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十九、住房保障支出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50</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二十、粮油物资储备支出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51</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二十一、国有资本经营预算支出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52</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22</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二十二、灾害防治及应急管理支出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53</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23</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二十三、其他支出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54</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24</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二十四、债务还本支出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55</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25</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二十五、债务付息支出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56</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26</w:t>
            </w:r>
          </w:p>
        </w:tc>
        <w:tc>
          <w:tcPr>
            <w:tcW w:w="1764"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二十六、抗疫特别国债安排的支出</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57</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本年收入合计</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27</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1,311.50</w:t>
            </w: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i w:val="0"/>
                <w:snapToGrid/>
                <w:color w:val="000000"/>
                <w:sz w:val="22"/>
                <w:u w:val="none"/>
                <w:lang w:eastAsia="zh-CN"/>
              </w:rPr>
              <w:t>本年支出合计</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58</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1,725.87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使用非财政拨款结余</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28</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结余分配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59</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年初结转和结余</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414.37</w:t>
            </w: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年末结转和结余</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60</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u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61</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427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总计</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1,725.87</w:t>
            </w:r>
          </w:p>
        </w:tc>
        <w:tc>
          <w:tcPr>
            <w:tcW w:w="467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i w:val="0"/>
                <w:snapToGrid/>
                <w:color w:val="000000"/>
                <w:sz w:val="22"/>
                <w:u w:val="none"/>
                <w:lang w:eastAsia="zh-CN"/>
              </w:rPr>
              <w:t>总计</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u w:val="none"/>
                <w:lang w:eastAsia="zh-CN"/>
              </w:rPr>
            </w:pPr>
            <w:r>
              <w:rPr>
                <w:rFonts w:hint="default" w:ascii="宋体" w:hAnsi="宋体" w:eastAsia="宋体"/>
                <w:b w:val="0"/>
                <w:i w:val="0"/>
                <w:snapToGrid/>
                <w:color w:val="000000"/>
                <w:sz w:val="22"/>
                <w:u w:val="none"/>
                <w:lang w:eastAsia="zh-CN"/>
              </w:rPr>
              <w:t>62</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1,725.87</w:t>
            </w:r>
          </w:p>
        </w:tc>
      </w:tr>
    </w:tbl>
    <w:p>
      <w:pPr>
        <w:rPr>
          <w:rFonts w:hint="eastAsia" w:ascii="仿宋_GB2312" w:hAnsi="仿宋_GB2312" w:eastAsia="仿宋_GB2312" w:cs="仿宋_GB2312"/>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本年度的总收支和年末结转结余情况。本表金额转换为万元时，因四舍五入可能存在尾差。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2422"/>
        <w:gridCol w:w="1476"/>
        <w:gridCol w:w="1476"/>
        <w:gridCol w:w="1476"/>
        <w:gridCol w:w="1476"/>
        <w:gridCol w:w="1476"/>
        <w:gridCol w:w="1476"/>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0"/>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2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8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984" w:type="dxa"/>
            <w:gridSpan w:val="4"/>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：许昌市水利局（本级）</w:t>
            </w: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7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8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08" w:type="dxa"/>
            <w:gridSpan w:val="3"/>
            <w:tcBorders>
              <w:top w:val="nil"/>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147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本年收入合计</w:t>
            </w:r>
          </w:p>
        </w:tc>
        <w:tc>
          <w:tcPr>
            <w:tcW w:w="1476"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财政拨款收入</w:t>
            </w:r>
          </w:p>
        </w:tc>
        <w:tc>
          <w:tcPr>
            <w:tcW w:w="147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上级补助收入</w:t>
            </w:r>
          </w:p>
        </w:tc>
        <w:tc>
          <w:tcPr>
            <w:tcW w:w="147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事业收入</w:t>
            </w:r>
          </w:p>
        </w:tc>
        <w:tc>
          <w:tcPr>
            <w:tcW w:w="147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经营收入</w:t>
            </w:r>
          </w:p>
        </w:tc>
        <w:tc>
          <w:tcPr>
            <w:tcW w:w="147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附属单位上缴收入</w:t>
            </w:r>
          </w:p>
        </w:tc>
        <w:tc>
          <w:tcPr>
            <w:tcW w:w="1481" w:type="dxa"/>
            <w:vMerge w:val="restart"/>
            <w:tcBorders>
              <w:top w:val="nil"/>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功能分类</w:t>
            </w:r>
          </w:p>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科目编码</w:t>
            </w:r>
          </w:p>
        </w:tc>
        <w:tc>
          <w:tcPr>
            <w:tcW w:w="24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8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4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48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08"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栏次</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6</w:t>
            </w:r>
          </w:p>
        </w:tc>
        <w:tc>
          <w:tcPr>
            <w:tcW w:w="1481"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08"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1,311.50</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1,311.50</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w:t>
            </w:r>
          </w:p>
        </w:tc>
        <w:tc>
          <w:tcPr>
            <w:tcW w:w="24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一般公共服务支出</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w:t>
            </w:r>
          </w:p>
        </w:tc>
        <w:tc>
          <w:tcPr>
            <w:tcW w:w="24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群众团体事务</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华文中宋" w:hAnsi="华文中宋" w:eastAsia="华文中宋" w:cs="华文中宋"/>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2012906</w:t>
            </w:r>
          </w:p>
        </w:tc>
        <w:tc>
          <w:tcPr>
            <w:tcW w:w="24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工会事务</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w:t>
            </w:r>
          </w:p>
        </w:tc>
        <w:tc>
          <w:tcPr>
            <w:tcW w:w="24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社会保障和就业支出</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288.34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288.34</w:t>
            </w: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w:t>
            </w:r>
          </w:p>
        </w:tc>
        <w:tc>
          <w:tcPr>
            <w:tcW w:w="242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行政事业单位养老支出</w:t>
            </w: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201.77</w:t>
            </w: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201.77</w:t>
            </w: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2080501</w:t>
            </w:r>
          </w:p>
        </w:tc>
        <w:tc>
          <w:tcPr>
            <w:tcW w:w="242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行政单位离退休</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167.49</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167.49</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4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2080505</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机关事业单位基本养老保险缴费支出</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34.28</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34.28</w:t>
            </w: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20808</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抚恤</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2080801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死亡抚恤</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210</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卫生健康支出</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30.23</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30.23</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21011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行政事业单位医疗</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30.23</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30.23</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2101101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行政单位医疗</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15.73</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15.73</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2101103</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公务员医疗补助</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14.50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14.50</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农林水支出</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989.79</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989.79</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农业农村</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2130101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行政运行</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水利</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937.44</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937.44</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2130301</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行政运行</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743.59</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743.59</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2130302</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一般行政管理事务</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29.81</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29.81</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2130306</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水利工程运行与维护</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2130310</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水土保持</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2.40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2.40</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2130314</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防汛</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83.24</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83.24</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8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2130399</w:t>
            </w:r>
          </w:p>
        </w:tc>
        <w:tc>
          <w:tcPr>
            <w:tcW w:w="2422"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其他水利支出</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481"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bl>
    <w:p>
      <w:pPr>
        <w:rPr>
          <w:rFonts w:hint="eastAsia" w:ascii="仿宋_GB2312" w:hAnsi="仿宋_GB2312" w:eastAsia="仿宋_GB2312" w:cs="仿宋_GB2312"/>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本年度取得的各项收入情况。本表金额转换为万元时，因四舍五入可能存在尾差。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3013"/>
        <w:gridCol w:w="1627"/>
        <w:gridCol w:w="1627"/>
        <w:gridCol w:w="1627"/>
        <w:gridCol w:w="1627"/>
        <w:gridCol w:w="1627"/>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0"/>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01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30"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3" w:type="dxa"/>
            <w:gridSpan w:val="4"/>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：许昌市水利局（本级）</w:t>
            </w: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30"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4223"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本年支出合计</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基本支出</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项目支出</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上缴上级支出</w:t>
            </w:r>
          </w:p>
        </w:tc>
        <w:tc>
          <w:tcPr>
            <w:tcW w:w="1627"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经营支出</w:t>
            </w:r>
          </w:p>
        </w:tc>
        <w:tc>
          <w:tcPr>
            <w:tcW w:w="1630"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功能分类</w:t>
            </w:r>
          </w:p>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科目编码</w:t>
            </w:r>
          </w:p>
        </w:tc>
        <w:tc>
          <w:tcPr>
            <w:tcW w:w="30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3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30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27"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3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223"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5</w:t>
            </w:r>
          </w:p>
        </w:tc>
        <w:tc>
          <w:tcPr>
            <w:tcW w:w="163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223"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一般公共服务支出</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群众团体事务</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2012906</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工会事务</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社会保障和就业支出</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351.79</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298.26</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行政事业单位养老支出</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211.70</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211.70</w:t>
            </w: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2080501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行政单位离退休</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170.01</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170.01</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2080502</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事业单位离退休</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1.05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1.05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2080505</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机关事业单位基本养老保险缴费支出</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40.65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40.65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20808</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抚恤</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2080801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死亡抚恤</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20822</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大中型水库移民后期扶持基金支出</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53.53</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53.53</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2082202</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基础设施建设和经济发展</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53.53</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53.53</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卫生健康支出</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行政事业单位医疗</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2101101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行政单位医疗</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19.75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19.75</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2101103</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公务员医疗补助</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18.81</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18.81</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农林水支出</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1,332.39</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841.14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491.24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农业农村</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2130101</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行政运行</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21303</w:t>
            </w:r>
          </w:p>
        </w:tc>
        <w:tc>
          <w:tcPr>
            <w:tcW w:w="3040"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水利</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1,280.04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788.80</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491.24</w:t>
            </w: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2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sz w:val="22"/>
              </w:rPr>
            </w:pPr>
          </w:p>
        </w:tc>
        <w:tc>
          <w:tcPr>
            <w:tcW w:w="163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000000" w:sz="4" w:space="0"/>
              <w:left w:val="single" w:color="000000" w:sz="8" w:space="0"/>
              <w:bottom w:val="single" w:color="auto" w:sz="4" w:space="0"/>
              <w:right w:val="nil"/>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2130301</w:t>
            </w:r>
          </w:p>
        </w:tc>
        <w:tc>
          <w:tcPr>
            <w:tcW w:w="3040" w:type="dxa"/>
            <w:gridSpan w:val="2"/>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行政运行</w:t>
            </w:r>
          </w:p>
        </w:tc>
        <w:tc>
          <w:tcPr>
            <w:tcW w:w="16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788.80</w:t>
            </w:r>
          </w:p>
        </w:tc>
        <w:tc>
          <w:tcPr>
            <w:tcW w:w="16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788.80</w:t>
            </w:r>
          </w:p>
        </w:tc>
        <w:tc>
          <w:tcPr>
            <w:tcW w:w="16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2130302</w:t>
            </w:r>
          </w:p>
        </w:tc>
        <w:tc>
          <w:tcPr>
            <w:tcW w:w="3040"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一般行政管理事务</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40.86</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40.86</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2130306</w:t>
            </w:r>
          </w:p>
        </w:tc>
        <w:tc>
          <w:tcPr>
            <w:tcW w:w="304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水利工程运行与维护</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c>
          <w:tcPr>
            <w:tcW w:w="1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2130310</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水土保持</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2.73</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2.73</w:t>
            </w: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2130311</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水资源节约管理与保护</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153.47</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153.47</w:t>
            </w: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2130314</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防汛</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215.79</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215.79</w:t>
            </w: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2130399</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其他水利支出</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2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sz w:val="22"/>
              </w:rPr>
            </w:pPr>
          </w:p>
        </w:tc>
      </w:tr>
    </w:tbl>
    <w:p>
      <w:pPr>
        <w:rPr>
          <w:rFonts w:hint="eastAsia" w:ascii="仿宋_GB2312" w:hAnsi="仿宋_GB2312" w:eastAsia="仿宋_GB2312" w:cs="仿宋_GB2312"/>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本年度各项支出情况。本表金额转换为万元时，因四舍五入可能存在尾差。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759"/>
        <w:gridCol w:w="1175"/>
        <w:gridCol w:w="3300"/>
        <w:gridCol w:w="537"/>
        <w:gridCol w:w="938"/>
        <w:gridCol w:w="1212"/>
        <w:gridCol w:w="1438"/>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776" w:type="dxa"/>
            <w:gridSpan w:val="8"/>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财政拨款收入支出决算总表</w:t>
            </w:r>
          </w:p>
        </w:tc>
        <w:tc>
          <w:tcPr>
            <w:tcW w:w="1412"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0"/>
                <w:szCs w:val="30"/>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17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30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3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2" w:type="dxa"/>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14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412"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：许昌市水利局（本级）</w:t>
            </w:r>
          </w:p>
        </w:tc>
        <w:tc>
          <w:tcPr>
            <w:tcW w:w="7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17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30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3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412"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5351"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收入</w:t>
            </w:r>
          </w:p>
        </w:tc>
        <w:tc>
          <w:tcPr>
            <w:tcW w:w="8837" w:type="dxa"/>
            <w:gridSpan w:val="6"/>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3"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行次</w:t>
            </w: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金额</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行次</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一般公共预算财政拨款</w:t>
            </w: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政府性基金预算财政拨款</w:t>
            </w:r>
          </w:p>
        </w:tc>
        <w:tc>
          <w:tcPr>
            <w:tcW w:w="1412"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sz w:val="22"/>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    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    次</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438"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412"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0"/>
                <w:highlight w:val="none"/>
                <w:lang w:bidi="ar"/>
              </w:rPr>
            </w:pPr>
            <w:r>
              <w:rPr>
                <w:rFonts w:ascii="宋体" w:hAnsi="宋体" w:cs="宋体"/>
                <w:color w:val="000000"/>
                <w:kern w:val="0"/>
                <w:sz w:val="22"/>
                <w:szCs w:val="20"/>
                <w:highlight w:val="none"/>
                <w:lang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一、一般公共预算财政拨款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1,311.50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一、一般公共服务支出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33</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二、政府性基金预算财政拨款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二、外交支出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34</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三、国有资本经营财政拨款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三、国防支出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35</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四、公共安全支出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36</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五、教育支出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37</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六、科学技术支出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38</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七、文化旅游体育与传媒支出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w:t>
            </w:r>
          </w:p>
        </w:tc>
        <w:tc>
          <w:tcPr>
            <w:tcW w:w="938"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single" w:color="000000" w:sz="4" w:space="0"/>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八、社会保障和就业支出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351.79</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298.26</w:t>
            </w: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9</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九、卫生健康支出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41</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十、节能环保支出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42</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十一、城乡社区支出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43</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十二、农林水支出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44</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1,332.39</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1,332.39</w:t>
            </w: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十三、交通运输支出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45</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十四、资源勘探工业信息等支出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46</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十五、商业服务业等支出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47</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16</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十六、金融支出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48</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17</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十七、援助其他地区支出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49</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18</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十八、自然资源海洋气象等支出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50</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19</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十九、住房保障支出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51</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二十、粮油物资储备支出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52</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二十一、国有资本经营预算支出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53</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22</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二十二、灾害防治及应急管理支出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54</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二十三、其他支出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55</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center"/>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24</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二十四、债务还本支出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56</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25</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二十五、债务付息支出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57</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26</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sz w:val="22"/>
              </w:rPr>
            </w:pP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二十六、抗疫特别国债安排的支出</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sz w:val="22"/>
              </w:rPr>
            </w:pPr>
            <w:r>
              <w:rPr>
                <w:rFonts w:hint="default" w:ascii="宋体" w:hAnsi="宋体" w:eastAsia="宋体"/>
                <w:b w:val="0"/>
                <w:i w:val="0"/>
                <w:snapToGrid/>
                <w:color w:val="000000"/>
                <w:sz w:val="22"/>
                <w:u w:val="none"/>
                <w:lang w:eastAsia="zh-CN"/>
              </w:rPr>
              <w:t>58</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sz w:val="22"/>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center"/>
              <w:textAlignment w:val="center"/>
              <w:rPr>
                <w:rFonts w:hint="eastAsia" w:ascii="宋体" w:hAnsi="宋体" w:cs="宋体"/>
                <w:b/>
                <w:color w:val="000000"/>
                <w:sz w:val="22"/>
                <w:szCs w:val="20"/>
                <w:highlight w:val="none"/>
              </w:rPr>
            </w:pPr>
            <w:r>
              <w:rPr>
                <w:rFonts w:hint="default" w:ascii="宋体" w:hAnsi="宋体" w:eastAsia="宋体"/>
                <w:b/>
                <w:i w:val="0"/>
                <w:snapToGrid/>
                <w:color w:val="000000"/>
                <w:sz w:val="22"/>
                <w:u w:val="none"/>
                <w:lang w:eastAsia="zh-CN"/>
              </w:rPr>
              <w:t>本年收入合计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27</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1,311.50</w:t>
            </w: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center"/>
              <w:textAlignment w:val="center"/>
              <w:rPr>
                <w:rFonts w:hint="eastAsia" w:ascii="宋体" w:hAnsi="宋体" w:cs="宋体"/>
                <w:b/>
                <w:color w:val="000000"/>
                <w:sz w:val="22"/>
                <w:szCs w:val="20"/>
                <w:highlight w:val="none"/>
              </w:rPr>
            </w:pPr>
            <w:r>
              <w:rPr>
                <w:rFonts w:hint="default" w:ascii="宋体" w:hAnsi="宋体" w:eastAsia="宋体"/>
                <w:b/>
                <w:i w:val="0"/>
                <w:snapToGrid/>
                <w:color w:val="000000"/>
                <w:sz w:val="22"/>
                <w:u w:val="none"/>
                <w:lang w:eastAsia="zh-CN"/>
              </w:rPr>
              <w:t>本年支出合计</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59</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1,725.87</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1,672.34</w:t>
            </w: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b/>
                <w:color w:val="000000"/>
                <w:sz w:val="22"/>
                <w:szCs w:val="20"/>
                <w:highlight w:val="none"/>
              </w:rPr>
            </w:pPr>
            <w:r>
              <w:rPr>
                <w:rFonts w:hint="default" w:ascii="宋体" w:hAnsi="宋体" w:eastAsia="宋体"/>
                <w:b w:val="0"/>
                <w:i w:val="0"/>
                <w:snapToGrid/>
                <w:color w:val="000000"/>
                <w:sz w:val="22"/>
                <w:u w:val="none"/>
                <w:lang w:eastAsia="zh-CN"/>
              </w:rPr>
              <w:t>53.53</w:t>
            </w: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b/>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年初财政拨款结转和结余</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28</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414.37</w:t>
            </w: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年末财政拨款结转和结余</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60</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一般公共预算财政拨款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360.84</w:t>
            </w:r>
          </w:p>
        </w:tc>
        <w:tc>
          <w:tcPr>
            <w:tcW w:w="3300"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61</w:t>
            </w:r>
          </w:p>
        </w:tc>
        <w:tc>
          <w:tcPr>
            <w:tcW w:w="938"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nil"/>
              <w:bottom w:val="single" w:color="000000" w:sz="4" w:space="0"/>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政府性基金预算财政拨款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w:t>
            </w:r>
          </w:p>
        </w:tc>
        <w:tc>
          <w:tcPr>
            <w:tcW w:w="117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3300"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62</w:t>
            </w:r>
          </w:p>
        </w:tc>
        <w:tc>
          <w:tcPr>
            <w:tcW w:w="93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nil"/>
              <w:bottom w:val="nil"/>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nil"/>
              <w:bottom w:val="nil"/>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国有资本经营预算财政拨款</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w:t>
            </w:r>
          </w:p>
        </w:tc>
        <w:tc>
          <w:tcPr>
            <w:tcW w:w="1175"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3300"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63</w:t>
            </w:r>
          </w:p>
        </w:tc>
        <w:tc>
          <w:tcPr>
            <w:tcW w:w="93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38" w:type="dxa"/>
            <w:tcBorders>
              <w:top w:val="single" w:color="000000" w:sz="4" w:space="0"/>
              <w:left w:val="nil"/>
              <w:bottom w:val="nil"/>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412" w:type="dxa"/>
            <w:tcBorders>
              <w:top w:val="single" w:color="000000" w:sz="4" w:space="0"/>
              <w:left w:val="nil"/>
              <w:bottom w:val="nil"/>
              <w:right w:val="single" w:color="000000" w:sz="8" w:space="0"/>
            </w:tcBorders>
            <w:noWrap w:val="0"/>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3417"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b/>
                <w:color w:val="000000"/>
                <w:sz w:val="22"/>
                <w:szCs w:val="20"/>
                <w:highlight w:val="none"/>
              </w:rPr>
            </w:pPr>
            <w:r>
              <w:rPr>
                <w:rFonts w:hint="default" w:ascii="宋体" w:hAnsi="宋体" w:eastAsia="宋体"/>
                <w:b/>
                <w:i w:val="0"/>
                <w:snapToGrid/>
                <w:color w:val="000000"/>
                <w:sz w:val="22"/>
                <w:u w:val="none"/>
                <w:lang w:eastAsia="zh-CN"/>
              </w:rPr>
              <w:t>总计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32</w:t>
            </w:r>
          </w:p>
        </w:tc>
        <w:tc>
          <w:tcPr>
            <w:tcW w:w="1175"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1,725.87</w:t>
            </w:r>
          </w:p>
        </w:tc>
        <w:tc>
          <w:tcPr>
            <w:tcW w:w="3300"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b/>
                <w:color w:val="000000"/>
                <w:sz w:val="22"/>
                <w:szCs w:val="20"/>
                <w:highlight w:val="none"/>
              </w:rPr>
            </w:pPr>
            <w:r>
              <w:rPr>
                <w:rFonts w:hint="default" w:ascii="宋体" w:hAnsi="宋体" w:eastAsia="宋体"/>
                <w:b/>
                <w:i w:val="0"/>
                <w:snapToGrid/>
                <w:color w:val="000000"/>
                <w:sz w:val="22"/>
                <w:u w:val="none"/>
                <w:lang w:eastAsia="zh-CN"/>
              </w:rPr>
              <w:t>总计</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center"/>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64</w:t>
            </w:r>
          </w:p>
        </w:tc>
        <w:tc>
          <w:tcPr>
            <w:tcW w:w="938"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1,725.87</w:t>
            </w:r>
          </w:p>
        </w:tc>
        <w:tc>
          <w:tcPr>
            <w:tcW w:w="1212"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1,672.34</w:t>
            </w:r>
          </w:p>
        </w:tc>
        <w:tc>
          <w:tcPr>
            <w:tcW w:w="1438"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b/>
                <w:color w:val="000000"/>
                <w:sz w:val="22"/>
                <w:szCs w:val="20"/>
                <w:highlight w:val="none"/>
              </w:rPr>
            </w:pPr>
            <w:r>
              <w:rPr>
                <w:rFonts w:hint="default" w:ascii="宋体" w:hAnsi="宋体" w:eastAsia="宋体"/>
                <w:b w:val="0"/>
                <w:i w:val="0"/>
                <w:snapToGrid/>
                <w:color w:val="000000"/>
                <w:sz w:val="22"/>
                <w:u w:val="none"/>
                <w:lang w:eastAsia="zh-CN"/>
              </w:rPr>
              <w:t>53.53</w:t>
            </w:r>
          </w:p>
        </w:tc>
        <w:tc>
          <w:tcPr>
            <w:tcW w:w="1412" w:type="dxa"/>
            <w:tcBorders>
              <w:top w:val="single" w:color="000000" w:sz="4" w:space="0"/>
              <w:left w:val="nil"/>
              <w:bottom w:val="single" w:color="000000" w:sz="8" w:space="0"/>
              <w:right w:val="single" w:color="000000" w:sz="8" w:space="0"/>
            </w:tcBorders>
            <w:noWrap w:val="0"/>
            <w:vAlign w:val="center"/>
          </w:tcPr>
          <w:p>
            <w:pPr>
              <w:kinsoku/>
              <w:autoSpaceDE/>
              <w:autoSpaceDN w:val="0"/>
              <w:jc w:val="right"/>
              <w:textAlignment w:val="center"/>
              <w:rPr>
                <w:rFonts w:hint="eastAsia" w:ascii="宋体" w:hAnsi="宋体" w:cs="宋体"/>
                <w:b/>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776" w:type="dxa"/>
            <w:gridSpan w:val="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412"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18"/>
                <w:szCs w:val="18"/>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406"/>
        <w:gridCol w:w="3894"/>
        <w:gridCol w:w="2893"/>
        <w:gridCol w:w="2893"/>
        <w:gridCol w:w="2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40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89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8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8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894"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5"/>
                <w:rFonts w:hint="default"/>
                <w:sz w:val="18"/>
                <w:szCs w:val="18"/>
                <w:highlight w:val="none"/>
                <w:lang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308"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：许昌市水利局（本级）</w:t>
            </w:r>
          </w:p>
        </w:tc>
        <w:tc>
          <w:tcPr>
            <w:tcW w:w="28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8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894"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308"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 xml:space="preserve">项 </w:t>
            </w:r>
            <w:r>
              <w:rPr>
                <w:rStyle w:val="14"/>
                <w:rFonts w:hint="default"/>
                <w:sz w:val="22"/>
                <w:szCs w:val="20"/>
                <w:highlight w:val="none"/>
                <w:lang w:bidi="ar"/>
              </w:rPr>
              <w:t xml:space="preserve">   </w:t>
            </w:r>
            <w:r>
              <w:rPr>
                <w:rStyle w:val="16"/>
                <w:rFonts w:hint="default"/>
                <w:sz w:val="22"/>
                <w:szCs w:val="20"/>
                <w:highlight w:val="none"/>
                <w:lang w:bidi="ar"/>
              </w:rPr>
              <w:t>目</w:t>
            </w:r>
          </w:p>
        </w:tc>
        <w:tc>
          <w:tcPr>
            <w:tcW w:w="8680"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功能分类</w:t>
            </w:r>
          </w:p>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科目编码</w:t>
            </w:r>
          </w:p>
        </w:tc>
        <w:tc>
          <w:tcPr>
            <w:tcW w:w="38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289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289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基本支出</w:t>
            </w:r>
          </w:p>
        </w:tc>
        <w:tc>
          <w:tcPr>
            <w:tcW w:w="2894"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38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4"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38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894"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30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栏次</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530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1,672.34</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1,181.10</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491.24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一般公共服务支出</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群众团体事务</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2012906</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工会事务</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社会保障和就业支出</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298.26</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298.26</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w:t>
            </w:r>
          </w:p>
        </w:tc>
        <w:tc>
          <w:tcPr>
            <w:tcW w:w="3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行政事业单位养老支出</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211.70</w:t>
            </w:r>
          </w:p>
        </w:tc>
        <w:tc>
          <w:tcPr>
            <w:tcW w:w="28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211.70</w:t>
            </w:r>
          </w:p>
        </w:tc>
        <w:tc>
          <w:tcPr>
            <w:tcW w:w="2894"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2080501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行政单位离退休</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170.01</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170.01</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2080502</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事业单位离退休</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1.05</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1.05</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2080505</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机关事业单位基本养老保险缴费支出</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40.65</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40.65</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20808</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抚恤</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2080801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死亡抚恤</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86.56</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卫生健康支出</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行政事业单位医疗</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38.55</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行政单位医疗</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19.75</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19.75</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2101103</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公务员医疗补助</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18.81</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18.81</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农林水支出</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1,332.39</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841.14</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农业农村</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2130101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行政运行</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52.34</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21303</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水利</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1,280.04</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788.80</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2130301</w:t>
            </w:r>
          </w:p>
        </w:tc>
        <w:tc>
          <w:tcPr>
            <w:tcW w:w="389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行政运行</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788.80</w:t>
            </w:r>
          </w:p>
        </w:tc>
        <w:tc>
          <w:tcPr>
            <w:tcW w:w="2893"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788.80</w:t>
            </w:r>
          </w:p>
        </w:tc>
        <w:tc>
          <w:tcPr>
            <w:tcW w:w="2894"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000000" w:sz="4" w:space="0"/>
              <w:left w:val="single" w:color="000000" w:sz="8" w:space="0"/>
              <w:bottom w:val="single" w:color="auto" w:sz="4"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2130302</w:t>
            </w:r>
          </w:p>
        </w:tc>
        <w:tc>
          <w:tcPr>
            <w:tcW w:w="389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一般行政管理事务</w:t>
            </w:r>
          </w:p>
        </w:tc>
        <w:tc>
          <w:tcPr>
            <w:tcW w:w="28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40.86</w:t>
            </w:r>
          </w:p>
        </w:tc>
        <w:tc>
          <w:tcPr>
            <w:tcW w:w="28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insoku/>
              <w:autoSpaceDE/>
              <w:autoSpaceDN w:val="0"/>
              <w:jc w:val="right"/>
              <w:textAlignment w:val="center"/>
              <w:rPr>
                <w:sz w:val="22"/>
              </w:rPr>
            </w:pPr>
          </w:p>
        </w:tc>
        <w:tc>
          <w:tcPr>
            <w:tcW w:w="2894" w:type="dxa"/>
            <w:tcBorders>
              <w:top w:val="single" w:color="000000" w:sz="4" w:space="0"/>
              <w:left w:val="single" w:color="000000" w:sz="4" w:space="0"/>
              <w:bottom w:val="single" w:color="auto" w:sz="4" w:space="0"/>
              <w:right w:val="single" w:color="000000" w:sz="8"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2130306</w:t>
            </w:r>
          </w:p>
        </w:tc>
        <w:tc>
          <w:tcPr>
            <w:tcW w:w="38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水利工程运行与维护</w:t>
            </w:r>
          </w:p>
        </w:tc>
        <w:tc>
          <w:tcPr>
            <w:tcW w:w="2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c>
          <w:tcPr>
            <w:tcW w:w="28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p>
        </w:tc>
        <w:tc>
          <w:tcPr>
            <w:tcW w:w="289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2130310</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水土保持</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2.73</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2130311</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水资源节约管理与保护</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153.47</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153.47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2130314</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防汛</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215.79</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215.79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414"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2130399</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sz w:val="22"/>
              </w:rPr>
            </w:pPr>
            <w:r>
              <w:rPr>
                <w:rFonts w:hint="default" w:ascii="宋体" w:hAnsi="宋体" w:eastAsia="宋体"/>
                <w:b w:val="0"/>
                <w:i w:val="0"/>
                <w:snapToGrid/>
                <w:color w:val="000000"/>
                <w:sz w:val="22"/>
                <w:u w:val="none"/>
                <w:lang w:eastAsia="zh-CN"/>
              </w:rPr>
              <w:t xml:space="preserve">  其他水利支出</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c>
          <w:tcPr>
            <w:tcW w:w="289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sz w:val="22"/>
              </w:rPr>
            </w:pPr>
            <w:r>
              <w:rPr>
                <w:rFonts w:hint="default" w:ascii="宋体" w:hAnsi="宋体" w:eastAsia="宋体"/>
                <w:b w:val="0"/>
                <w:i w:val="0"/>
                <w:snapToGrid/>
                <w:color w:val="000000"/>
                <w:sz w:val="22"/>
                <w:u w:val="none"/>
                <w:lang w:eastAsia="zh-CN"/>
              </w:rPr>
              <w:t>68.50</w:t>
            </w:r>
          </w:p>
        </w:tc>
      </w:tr>
    </w:tbl>
    <w:p>
      <w:pPr>
        <w:rPr>
          <w:rFonts w:hint="eastAsia" w:ascii="仿宋_GB2312" w:hAnsi="仿宋_GB2312" w:eastAsia="仿宋_GB2312" w:cs="仿宋_GB2312"/>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本年度一般公共预算财政拨款支出情况。本表金额转换为万元时，因四舍五入可能存在尾差。</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4731" w:type="dxa"/>
            <w:gridSpan w:val="3"/>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r>
              <w:rPr>
                <w:rFonts w:hint="eastAsia" w:ascii="Arial" w:hAnsi="Arial" w:cs="Arial"/>
                <w:color w:val="000000"/>
                <w:kern w:val="0"/>
                <w:sz w:val="18"/>
                <w:szCs w:val="18"/>
                <w:highlight w:val="none"/>
                <w:lang w:eastAsia="zh-CN" w:bidi="ar"/>
              </w:rPr>
              <w:t>单位</w:t>
            </w:r>
            <w:r>
              <w:rPr>
                <w:rFonts w:ascii="Arial" w:hAnsi="Arial" w:cs="Arial"/>
                <w:color w:val="000000"/>
                <w:kern w:val="0"/>
                <w:sz w:val="18"/>
                <w:szCs w:val="18"/>
                <w:highlight w:val="none"/>
                <w:lang w:bidi="ar"/>
              </w:rPr>
              <w:t>：许昌市水利局（本级）</w:t>
            </w: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2066"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3575"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exac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816.15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103.11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163.09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17.82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30701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94.27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30702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417.85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4.50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0.47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机关事业单位基本养老保险缴费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40.65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19.75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30111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18.81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7.19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30112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0.30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30113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38.42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30114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30199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23.01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261.85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44.54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30302</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126.51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30303</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30304</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86.56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30305</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4.23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30306</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0.16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30307</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4.04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30308</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3.14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30309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7.27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30310</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30311</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35.09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30399</w:t>
            </w: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3793"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1,077.99</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103.11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bottom"/>
          </w:tcPr>
          <w:p>
            <w:pPr>
              <w:kinsoku/>
              <w:autoSpaceDE/>
              <w:autoSpaceDN w:val="0"/>
              <w:jc w:val="left"/>
              <w:textAlignment w:val="bottom"/>
              <w:rPr>
                <w:rFonts w:hint="eastAsia" w:ascii="宋体" w:hAnsi="宋体" w:cs="宋体"/>
                <w:color w:val="000000"/>
                <w:sz w:val="18"/>
                <w:szCs w:val="18"/>
                <w:highlight w:val="none"/>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：许昌市水利局（本级）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公务用车</w:t>
            </w:r>
            <w:r>
              <w:rPr>
                <w:rFonts w:hint="eastAsia" w:ascii="宋体" w:hAnsi="宋体" w:cs="宋体"/>
                <w:color w:val="000000"/>
                <w:kern w:val="0"/>
                <w:sz w:val="22"/>
                <w:szCs w:val="20"/>
                <w:highlight w:val="none"/>
                <w:lang w:bidi="ar"/>
              </w:rPr>
              <w:br w:type="textWrapping"/>
            </w:r>
            <w:r>
              <w:rPr>
                <w:rFonts w:hint="eastAsia" w:ascii="宋体" w:hAnsi="宋体" w:cs="宋体"/>
                <w:color w:val="000000"/>
                <w:kern w:val="0"/>
                <w:sz w:val="22"/>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11.09</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2.45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10.42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8.64</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2679"/>
        <w:gridCol w:w="1693"/>
        <w:gridCol w:w="1693"/>
        <w:gridCol w:w="1693"/>
        <w:gridCol w:w="1693"/>
        <w:gridCol w:w="1693"/>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华文中宋"/>
                <w:color w:val="000000"/>
                <w:kern w:val="0"/>
                <w:sz w:val="30"/>
                <w:szCs w:val="30"/>
                <w:highlight w:val="none"/>
                <w:lang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67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6"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27"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default" w:ascii="宋体" w:hAnsi="宋体" w:eastAsia="宋体"/>
                <w:b w:val="0"/>
                <w:i w:val="0"/>
                <w:snapToGrid/>
                <w:color w:val="000000"/>
                <w:sz w:val="18"/>
                <w:szCs w:val="18"/>
                <w:u w:val="none"/>
                <w:lang w:eastAsia="zh-CN"/>
              </w:rPr>
              <w:t>许昌市水利局（本级）</w:t>
            </w:r>
          </w:p>
        </w:tc>
        <w:tc>
          <w:tcPr>
            <w:tcW w:w="1693"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696"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827"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    目</w:t>
            </w:r>
          </w:p>
        </w:tc>
        <w:tc>
          <w:tcPr>
            <w:tcW w:w="1693"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eastAsia="zh-CN" w:bidi="ar"/>
              </w:rPr>
              <w:t>年初</w:t>
            </w:r>
            <w:r>
              <w:rPr>
                <w:rFonts w:hint="eastAsia" w:ascii="宋体" w:hAnsi="宋体" w:cs="宋体"/>
                <w:color w:val="000000"/>
                <w:kern w:val="0"/>
                <w:sz w:val="22"/>
                <w:szCs w:val="20"/>
                <w:highlight w:val="none"/>
                <w:lang w:bidi="ar"/>
              </w:rPr>
              <w:t>结转和结余</w:t>
            </w:r>
          </w:p>
        </w:tc>
        <w:tc>
          <w:tcPr>
            <w:tcW w:w="1693"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本年收入</w:t>
            </w:r>
          </w:p>
        </w:tc>
        <w:tc>
          <w:tcPr>
            <w:tcW w:w="50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本年支出</w:t>
            </w:r>
          </w:p>
        </w:tc>
        <w:tc>
          <w:tcPr>
            <w:tcW w:w="1696"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0"/>
                <w:highlight w:val="none"/>
                <w:lang w:bidi="ar"/>
              </w:rPr>
            </w:pPr>
            <w:r>
              <w:rPr>
                <w:rFonts w:hint="eastAsia" w:ascii="宋体" w:hAnsi="宋体" w:cs="宋体"/>
                <w:color w:val="000000"/>
                <w:kern w:val="0"/>
                <w:sz w:val="22"/>
                <w:szCs w:val="20"/>
                <w:highlight w:val="none"/>
                <w:lang w:bidi="ar"/>
              </w:rPr>
              <w:t>功能分类</w:t>
            </w:r>
          </w:p>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科目编码</w:t>
            </w:r>
          </w:p>
        </w:tc>
        <w:tc>
          <w:tcPr>
            <w:tcW w:w="26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科目名称</w:t>
            </w:r>
          </w:p>
        </w:tc>
        <w:tc>
          <w:tcPr>
            <w:tcW w:w="1693"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小计</w:t>
            </w:r>
          </w:p>
        </w:tc>
        <w:tc>
          <w:tcPr>
            <w:tcW w:w="169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基本支出</w:t>
            </w:r>
          </w:p>
        </w:tc>
        <w:tc>
          <w:tcPr>
            <w:tcW w:w="1693"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项目支出</w:t>
            </w:r>
          </w:p>
        </w:tc>
        <w:tc>
          <w:tcPr>
            <w:tcW w:w="169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6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26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3"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c>
          <w:tcPr>
            <w:tcW w:w="169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827"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栏次</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1</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2</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4</w:t>
            </w:r>
          </w:p>
        </w:tc>
        <w:tc>
          <w:tcPr>
            <w:tcW w:w="169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5</w:t>
            </w:r>
          </w:p>
        </w:tc>
        <w:tc>
          <w:tcPr>
            <w:tcW w:w="169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3827"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0"/>
                <w:highlight w:val="none"/>
              </w:rPr>
            </w:pPr>
            <w:r>
              <w:rPr>
                <w:rFonts w:hint="eastAsia" w:ascii="宋体" w:hAnsi="宋体" w:cs="宋体"/>
                <w:color w:val="000000"/>
                <w:kern w:val="0"/>
                <w:sz w:val="22"/>
                <w:szCs w:val="20"/>
                <w:highlight w:val="none"/>
                <w:lang w:bidi="ar"/>
              </w:rPr>
              <w:t>合计</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i w:val="0"/>
                <w:snapToGrid/>
                <w:color w:val="000000"/>
                <w:sz w:val="22"/>
                <w:u w:val="none"/>
                <w:lang w:eastAsia="zh-CN"/>
              </w:rPr>
              <w:t>53.53</w:t>
            </w:r>
          </w:p>
        </w:tc>
        <w:tc>
          <w:tcPr>
            <w:tcW w:w="169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社会保障和就业支出</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20822</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大中型水库移民后期扶持基金支出</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2082202</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lef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 xml:space="preserve">  基础设施建设和经济发展</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c>
          <w:tcPr>
            <w:tcW w:w="169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r>
              <w:rPr>
                <w:rFonts w:hint="default" w:ascii="宋体" w:hAnsi="宋体" w:eastAsia="宋体"/>
                <w:b w:val="0"/>
                <w:i w:val="0"/>
                <w:snapToGrid/>
                <w:color w:val="000000"/>
                <w:sz w:val="22"/>
                <w:u w:val="none"/>
                <w:lang w:eastAsia="zh-CN"/>
              </w:rPr>
              <w:t>53.53</w:t>
            </w:r>
          </w:p>
        </w:tc>
        <w:tc>
          <w:tcPr>
            <w:tcW w:w="169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insoku/>
              <w:autoSpaceDE/>
              <w:autoSpaceDN w:val="0"/>
              <w:jc w:val="right"/>
              <w:textAlignment w:val="center"/>
              <w:rPr>
                <w:rFonts w:hint="eastAsia" w:ascii="宋体" w:hAnsi="宋体" w:cs="宋体"/>
                <w:color w:val="000000"/>
                <w:sz w:val="22"/>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注：本表反映</w:t>
            </w: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本年度政府性基金预算财政拨款收入、支出及结转和结余情况</w:t>
            </w:r>
            <w:r>
              <w:rPr>
                <w:rFonts w:hint="eastAsia" w:ascii="宋体" w:hAnsi="宋体" w:cs="宋体"/>
                <w:color w:val="000000"/>
                <w:kern w:val="0"/>
                <w:sz w:val="18"/>
                <w:szCs w:val="18"/>
                <w:highlight w:val="none"/>
                <w:lang w:eastAsia="zh-CN" w:bidi="ar"/>
              </w:rPr>
              <w:t>。</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1725.87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5061.98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74.57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2021年较上年</w:t>
      </w:r>
      <w:r>
        <w:rPr>
          <w:rFonts w:hint="eastAsia" w:ascii="仿宋_GB2312" w:hAnsi="仿宋_GB2312" w:eastAsia="仿宋_GB2312" w:cs="仿宋_GB2312"/>
          <w:sz w:val="32"/>
          <w:szCs w:val="32"/>
          <w:highlight w:val="none"/>
          <w:lang w:eastAsia="zh-CN"/>
        </w:rPr>
        <w:t>水利项目投资减少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1311.50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1311.50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1725.87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1181.10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68.44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544.77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31.56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1725.87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5061.98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74.57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w:t>
      </w:r>
      <w:r>
        <w:rPr>
          <w:rFonts w:hint="eastAsia" w:ascii="仿宋_GB2312" w:hAnsi="仿宋_GB2312" w:eastAsia="仿宋_GB2312" w:cs="仿宋_GB2312"/>
          <w:color w:val="auto"/>
          <w:sz w:val="32"/>
          <w:szCs w:val="32"/>
          <w:highlight w:val="none"/>
          <w:lang w:val="en-US" w:eastAsia="zh-CN"/>
        </w:rPr>
        <w:t>颍汝干渠综合整治工程项目资金（抗疫特别国债安排支出）5057.00万元，2021年无此项目收支。</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1672.34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96.90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476.81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39.88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年发放水利系统</w:t>
      </w:r>
      <w:r>
        <w:rPr>
          <w:rFonts w:hint="eastAsia" w:ascii="仿宋_GB2312" w:hAnsi="仿宋_GB2312" w:eastAsia="仿宋_GB2312" w:cs="仿宋_GB2312"/>
          <w:sz w:val="32"/>
          <w:szCs w:val="32"/>
          <w:highlight w:val="none"/>
          <w:lang w:val="en-US" w:eastAsia="zh-CN"/>
        </w:rPr>
        <w:t>11个单位</w:t>
      </w:r>
      <w:r>
        <w:rPr>
          <w:rFonts w:hint="eastAsia" w:ascii="仿宋_GB2312" w:hAnsi="仿宋_GB2312" w:eastAsia="仿宋_GB2312" w:cs="仿宋_GB2312"/>
          <w:sz w:val="32"/>
          <w:szCs w:val="32"/>
          <w:highlight w:val="none"/>
          <w:lang w:eastAsia="zh-CN"/>
        </w:rPr>
        <w:t>的应休未休假补助和平安建设奖</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1672.34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3.14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社保保障和就业（类）支出298.26万元，占17.83%；卫生健康支出（类）支出38.55万元，占2.31%；农林水支出（类）支出1332.39万元，占79.67%。</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905.43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1672.34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184.70</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1.一般公共服务（类）群众团体事物（款）工会事</w:t>
      </w:r>
      <w:r>
        <w:rPr>
          <w:rFonts w:hint="eastAsia" w:ascii="仿宋_GB2312" w:hAnsi="仿宋_GB2312" w:eastAsia="仿宋_GB2312" w:cs="仿宋_GB2312"/>
          <w:b/>
          <w:bCs/>
          <w:color w:val="auto"/>
          <w:sz w:val="32"/>
          <w:szCs w:val="32"/>
          <w:highlight w:val="none"/>
          <w:lang w:val="en-US" w:eastAsia="zh-CN"/>
        </w:rPr>
        <w:t>务</w:t>
      </w:r>
      <w:r>
        <w:rPr>
          <w:rFonts w:hint="default"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3.14</w:t>
      </w:r>
      <w:r>
        <w:rPr>
          <w:rFonts w:hint="default" w:ascii="仿宋_GB2312" w:hAnsi="仿宋_GB2312" w:eastAsia="仿宋_GB2312" w:cs="仿宋_GB2312"/>
          <w:color w:val="auto"/>
          <w:sz w:val="32"/>
          <w:szCs w:val="32"/>
          <w:highlight w:val="none"/>
          <w:lang w:val="en-US" w:eastAsia="zh-CN"/>
        </w:rPr>
        <w:t>元，支出决算为</w:t>
      </w:r>
      <w:r>
        <w:rPr>
          <w:rFonts w:hint="eastAsia" w:ascii="仿宋_GB2312" w:hAnsi="仿宋_GB2312" w:eastAsia="仿宋_GB2312" w:cs="仿宋_GB2312"/>
          <w:color w:val="auto"/>
          <w:sz w:val="32"/>
          <w:szCs w:val="32"/>
          <w:highlight w:val="none"/>
          <w:lang w:val="en-US" w:eastAsia="zh-CN"/>
        </w:rPr>
        <w:t>3.14</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100%</w:t>
      </w:r>
      <w:r>
        <w:rPr>
          <w:rFonts w:hint="default"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2.社会保障和就业支出（类）行政事业单位养老支出（款） 行政单位离退休（项）。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170.03</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170.01</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99.99</w:t>
      </w:r>
      <w:r>
        <w:rPr>
          <w:rFonts w:hint="default" w:ascii="仿宋_GB2312" w:hAnsi="仿宋_GB2312" w:eastAsia="仿宋_GB2312" w:cs="仿宋_GB2312"/>
          <w:color w:val="auto"/>
          <w:sz w:val="32"/>
          <w:szCs w:val="32"/>
          <w:highlight w:val="none"/>
          <w:lang w:val="en-US" w:eastAsia="zh-CN"/>
        </w:rPr>
        <w:t>%。决算数与年初预算数存在差异的主要原因是使用上年结转资金支付。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default" w:ascii="仿宋_GB2312" w:hAnsi="仿宋_GB2312" w:eastAsia="仿宋_GB2312" w:cs="仿宋_GB2312"/>
          <w:b/>
          <w:bCs/>
          <w:color w:val="auto"/>
          <w:sz w:val="32"/>
          <w:szCs w:val="32"/>
          <w:highlight w:val="none"/>
          <w:lang w:val="en-US" w:eastAsia="zh-CN"/>
        </w:rPr>
        <w:t xml:space="preserve">.社会保障和就业支出（类）行政事业单位养老支出（款） </w:t>
      </w:r>
      <w:r>
        <w:rPr>
          <w:rFonts w:hint="eastAsia" w:ascii="仿宋_GB2312" w:hAnsi="仿宋_GB2312" w:eastAsia="仿宋_GB2312" w:cs="仿宋_GB2312"/>
          <w:b/>
          <w:bCs/>
          <w:color w:val="auto"/>
          <w:sz w:val="32"/>
          <w:szCs w:val="32"/>
          <w:highlight w:val="none"/>
          <w:lang w:val="en-US" w:eastAsia="zh-CN"/>
        </w:rPr>
        <w:t>事业</w:t>
      </w:r>
      <w:r>
        <w:rPr>
          <w:rFonts w:hint="default" w:ascii="仿宋_GB2312" w:hAnsi="仿宋_GB2312" w:eastAsia="仿宋_GB2312" w:cs="仿宋_GB2312"/>
          <w:b/>
          <w:bCs/>
          <w:color w:val="auto"/>
          <w:sz w:val="32"/>
          <w:szCs w:val="32"/>
          <w:highlight w:val="none"/>
          <w:lang w:val="en-US" w:eastAsia="zh-CN"/>
        </w:rPr>
        <w:t>单位离退休（项）。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1.05</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决算数与年初预算数存在差异的主要原因是使用上年结转资金支付</w:t>
      </w:r>
      <w:r>
        <w:rPr>
          <w:rFonts w:hint="eastAsia" w:ascii="仿宋_GB2312" w:hAnsi="仿宋_GB2312" w:eastAsia="仿宋_GB2312" w:cs="仿宋_GB2312"/>
          <w:color w:val="auto"/>
          <w:sz w:val="32"/>
          <w:szCs w:val="32"/>
          <w:highlight w:val="none"/>
          <w:lang w:val="en-US" w:eastAsia="zh-CN"/>
        </w:rPr>
        <w:t>的退休人员临时待遇转正式待遇差额</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default"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38.24</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40.65</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106.30</w:t>
      </w:r>
      <w:r>
        <w:rPr>
          <w:rFonts w:hint="default" w:ascii="仿宋_GB2312" w:hAnsi="仿宋_GB2312" w:eastAsia="仿宋_GB2312" w:cs="仿宋_GB2312"/>
          <w:color w:val="auto"/>
          <w:sz w:val="32"/>
          <w:szCs w:val="32"/>
          <w:highlight w:val="none"/>
          <w:lang w:val="en-US" w:eastAsia="zh-CN"/>
        </w:rPr>
        <w:t>%。决算数与年初预算数存在差异的主要原因是使用上年结转资金支付社保。</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社会保障和就业支出（类）</w:t>
      </w:r>
      <w:r>
        <w:rPr>
          <w:rFonts w:hint="eastAsia" w:ascii="仿宋_GB2312" w:hAnsi="仿宋_GB2312" w:eastAsia="仿宋_GB2312" w:cs="仿宋_GB2312"/>
          <w:b/>
          <w:bCs/>
          <w:color w:val="auto"/>
          <w:sz w:val="32"/>
          <w:szCs w:val="32"/>
          <w:highlight w:val="none"/>
          <w:lang w:val="en-US" w:eastAsia="zh-CN"/>
        </w:rPr>
        <w:t>抚恤</w:t>
      </w:r>
      <w:r>
        <w:rPr>
          <w:rFonts w:hint="default" w:ascii="仿宋_GB2312" w:hAnsi="仿宋_GB2312" w:eastAsia="仿宋_GB2312" w:cs="仿宋_GB2312"/>
          <w:b/>
          <w:bCs/>
          <w:color w:val="auto"/>
          <w:sz w:val="32"/>
          <w:szCs w:val="32"/>
          <w:highlight w:val="none"/>
          <w:lang w:val="en-US" w:eastAsia="zh-CN"/>
        </w:rPr>
        <w:t>（款）死亡抚恤（项）。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86.56</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color w:val="auto"/>
          <w:sz w:val="32"/>
          <w:szCs w:val="32"/>
          <w:highlight w:val="none"/>
          <w:lang w:val="en-US" w:eastAsia="zh-CN"/>
        </w:rPr>
        <w:t>年中有4名退休职工去世临时申请追加资金发放死亡抚恤金。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default"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19.66</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19.75</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100.46</w:t>
      </w:r>
      <w:r>
        <w:rPr>
          <w:rFonts w:hint="default" w:ascii="仿宋_GB2312" w:hAnsi="仿宋_GB2312" w:eastAsia="仿宋_GB2312" w:cs="仿宋_GB2312"/>
          <w:color w:val="auto"/>
          <w:sz w:val="32"/>
          <w:szCs w:val="32"/>
          <w:highlight w:val="none"/>
          <w:lang w:val="en-US" w:eastAsia="zh-CN"/>
        </w:rPr>
        <w:t>%。决算数与年初预算数存在差异的主要原因是使用</w:t>
      </w:r>
      <w:r>
        <w:rPr>
          <w:rFonts w:hint="eastAsia" w:ascii="仿宋_GB2312" w:hAnsi="仿宋_GB2312" w:eastAsia="仿宋_GB2312" w:cs="仿宋_GB2312"/>
          <w:color w:val="auto"/>
          <w:sz w:val="32"/>
          <w:szCs w:val="32"/>
          <w:highlight w:val="none"/>
          <w:lang w:val="en-US" w:eastAsia="zh-CN"/>
        </w:rPr>
        <w:t>上年结转</w:t>
      </w:r>
      <w:r>
        <w:rPr>
          <w:rFonts w:hint="default" w:ascii="仿宋_GB2312" w:hAnsi="仿宋_GB2312" w:eastAsia="仿宋_GB2312" w:cs="仿宋_GB2312"/>
          <w:color w:val="auto"/>
          <w:sz w:val="32"/>
          <w:szCs w:val="32"/>
          <w:highlight w:val="none"/>
          <w:lang w:val="en-US" w:eastAsia="zh-CN"/>
        </w:rPr>
        <w:t>资金支付</w:t>
      </w:r>
      <w:r>
        <w:rPr>
          <w:rFonts w:hint="eastAsia" w:ascii="仿宋_GB2312" w:hAnsi="仿宋_GB2312" w:eastAsia="仿宋_GB2312" w:cs="仿宋_GB2312"/>
          <w:color w:val="auto"/>
          <w:sz w:val="32"/>
          <w:szCs w:val="32"/>
          <w:highlight w:val="none"/>
          <w:lang w:val="en-US" w:eastAsia="zh-CN"/>
        </w:rPr>
        <w:t>职工</w:t>
      </w:r>
      <w:r>
        <w:rPr>
          <w:rFonts w:hint="default" w:ascii="仿宋_GB2312" w:hAnsi="仿宋_GB2312" w:eastAsia="仿宋_GB2312" w:cs="仿宋_GB2312"/>
          <w:color w:val="auto"/>
          <w:sz w:val="32"/>
          <w:szCs w:val="32"/>
          <w:highlight w:val="none"/>
          <w:lang w:val="en-US" w:eastAsia="zh-CN"/>
        </w:rPr>
        <w:t>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w:t>
      </w:r>
      <w:r>
        <w:rPr>
          <w:rFonts w:hint="default"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18.73</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18.81</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100.43</w:t>
      </w:r>
      <w:r>
        <w:rPr>
          <w:rFonts w:hint="default" w:ascii="仿宋_GB2312" w:hAnsi="仿宋_GB2312" w:eastAsia="仿宋_GB2312" w:cs="仿宋_GB2312"/>
          <w:color w:val="auto"/>
          <w:sz w:val="32"/>
          <w:szCs w:val="32"/>
          <w:highlight w:val="none"/>
          <w:lang w:val="en-US" w:eastAsia="zh-CN"/>
        </w:rPr>
        <w:t>%。决算数与年初预算数存在差异的主要原因是用上年结转资金支付医疗保险，同时新增在职转退休人员。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default" w:ascii="仿宋_GB2312" w:hAnsi="仿宋_GB2312" w:eastAsia="仿宋_GB2312" w:cs="仿宋_GB2312"/>
          <w:b/>
          <w:bCs/>
          <w:color w:val="auto"/>
          <w:sz w:val="32"/>
          <w:szCs w:val="32"/>
          <w:highlight w:val="none"/>
          <w:lang w:val="en-US" w:eastAsia="zh-CN"/>
        </w:rPr>
        <w:t>农林水支出（类）</w:t>
      </w:r>
      <w:r>
        <w:rPr>
          <w:rFonts w:hint="eastAsia" w:ascii="仿宋_GB2312" w:hAnsi="仿宋_GB2312" w:eastAsia="仿宋_GB2312" w:cs="仿宋_GB2312"/>
          <w:b/>
          <w:bCs/>
          <w:color w:val="auto"/>
          <w:sz w:val="32"/>
          <w:szCs w:val="32"/>
          <w:highlight w:val="none"/>
          <w:lang w:val="en-US" w:eastAsia="zh-CN"/>
        </w:rPr>
        <w:t>农业农村</w:t>
      </w:r>
      <w:r>
        <w:rPr>
          <w:rFonts w:hint="default" w:ascii="仿宋_GB2312" w:hAnsi="仿宋_GB2312" w:eastAsia="仿宋_GB2312" w:cs="仿宋_GB2312"/>
          <w:b/>
          <w:bCs/>
          <w:color w:val="auto"/>
          <w:sz w:val="32"/>
          <w:szCs w:val="32"/>
          <w:highlight w:val="none"/>
          <w:lang w:val="en-US" w:eastAsia="zh-CN"/>
        </w:rPr>
        <w:t>（款）行政运行（项）</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74.33</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52.34</w:t>
      </w:r>
      <w:r>
        <w:rPr>
          <w:rFonts w:hint="default" w:ascii="仿宋_GB2312" w:hAnsi="仿宋_GB2312" w:eastAsia="仿宋_GB2312" w:cs="仿宋_GB2312"/>
          <w:color w:val="auto"/>
          <w:sz w:val="32"/>
          <w:szCs w:val="32"/>
          <w:highlight w:val="none"/>
          <w:lang w:val="en-US" w:eastAsia="zh-CN"/>
        </w:rPr>
        <w:t>元，完成年初预算的</w:t>
      </w:r>
      <w:r>
        <w:rPr>
          <w:rFonts w:hint="eastAsia" w:ascii="仿宋_GB2312" w:hAnsi="仿宋_GB2312" w:eastAsia="仿宋_GB2312" w:cs="仿宋_GB2312"/>
          <w:color w:val="auto"/>
          <w:sz w:val="32"/>
          <w:szCs w:val="32"/>
          <w:highlight w:val="none"/>
          <w:lang w:val="en-US" w:eastAsia="zh-CN"/>
        </w:rPr>
        <w:t>70.42</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是在职人员中有受处分人员，停发文明奖，同时存在在职转退休人员。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default" w:ascii="仿宋_GB2312" w:hAnsi="仿宋_GB2312" w:eastAsia="仿宋_GB2312" w:cs="仿宋_GB2312"/>
          <w:b/>
          <w:bCs/>
          <w:color w:val="auto"/>
          <w:sz w:val="32"/>
          <w:szCs w:val="32"/>
          <w:highlight w:val="none"/>
          <w:lang w:val="en-US" w:eastAsia="zh-CN"/>
        </w:rPr>
        <w:t>农林水支出（类）水利（款）行政运行（项）</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557.30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788.80</w:t>
      </w:r>
      <w:r>
        <w:rPr>
          <w:rFonts w:hint="default" w:ascii="仿宋_GB2312" w:hAnsi="仿宋_GB2312" w:eastAsia="仿宋_GB2312" w:cs="仿宋_GB2312"/>
          <w:color w:val="auto"/>
          <w:sz w:val="32"/>
          <w:szCs w:val="32"/>
          <w:highlight w:val="none"/>
          <w:lang w:val="en-US" w:eastAsia="zh-CN"/>
        </w:rPr>
        <w:t>元，完成年初预算的</w:t>
      </w:r>
      <w:r>
        <w:rPr>
          <w:rFonts w:hint="eastAsia" w:ascii="仿宋_GB2312" w:hAnsi="仿宋_GB2312" w:eastAsia="仿宋_GB2312" w:cs="仿宋_GB2312"/>
          <w:color w:val="auto"/>
          <w:sz w:val="32"/>
          <w:szCs w:val="32"/>
          <w:highlight w:val="none"/>
          <w:lang w:val="en-US" w:eastAsia="zh-CN"/>
        </w:rPr>
        <w:t>141.54</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sz w:val="32"/>
          <w:szCs w:val="32"/>
          <w:highlight w:val="none"/>
          <w:lang w:eastAsia="zh-CN"/>
        </w:rPr>
        <w:t>发放水利系统的未休假和平安建设奖</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w:t>
      </w:r>
      <w:r>
        <w:rPr>
          <w:rFonts w:hint="default" w:ascii="仿宋_GB2312" w:hAnsi="仿宋_GB2312" w:eastAsia="仿宋_GB2312" w:cs="仿宋_GB2312"/>
          <w:b/>
          <w:bCs/>
          <w:color w:val="auto"/>
          <w:sz w:val="32"/>
          <w:szCs w:val="32"/>
          <w:highlight w:val="none"/>
          <w:lang w:val="en-US" w:eastAsia="zh-CN"/>
        </w:rPr>
        <w:t>.农林水支出（类）水利（款）一般行政管理事务（项）。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40.86</w:t>
      </w:r>
      <w:r>
        <w:rPr>
          <w:rFonts w:hint="default" w:ascii="仿宋_GB2312" w:hAnsi="仿宋_GB2312" w:eastAsia="仿宋_GB2312" w:cs="仿宋_GB2312"/>
          <w:color w:val="auto"/>
          <w:sz w:val="32"/>
          <w:szCs w:val="32"/>
          <w:highlight w:val="none"/>
          <w:lang w:val="en-US" w:eastAsia="zh-CN"/>
        </w:rPr>
        <w:t>万元。决算数与年初预算数存在差异的主要原因</w:t>
      </w:r>
      <w:r>
        <w:rPr>
          <w:rFonts w:hint="eastAsia" w:ascii="仿宋_GB2312" w:hAnsi="仿宋_GB2312" w:eastAsia="仿宋_GB2312" w:cs="仿宋_GB2312"/>
          <w:color w:val="auto"/>
          <w:sz w:val="32"/>
          <w:szCs w:val="32"/>
          <w:highlight w:val="none"/>
          <w:lang w:val="en-US" w:eastAsia="zh-CN"/>
        </w:rPr>
        <w:t>一是支付使用的有上年结转资金；二是年中临时追加项目支出预算，当年支出</w:t>
      </w:r>
      <w:r>
        <w:rPr>
          <w:rFonts w:hint="default" w:ascii="仿宋_GB2312" w:hAnsi="仿宋_GB2312" w:eastAsia="仿宋_GB2312" w:cs="仿宋_GB2312"/>
          <w:color w:val="0000FF"/>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w:t>
      </w:r>
      <w:r>
        <w:rPr>
          <w:rFonts w:hint="default" w:ascii="仿宋_GB2312" w:hAnsi="仿宋_GB2312" w:eastAsia="仿宋_GB2312" w:cs="仿宋_GB2312"/>
          <w:b/>
          <w:bCs/>
          <w:color w:val="auto"/>
          <w:sz w:val="32"/>
          <w:szCs w:val="32"/>
          <w:highlight w:val="none"/>
          <w:lang w:val="en-US" w:eastAsia="zh-CN"/>
        </w:rPr>
        <w:t>.农林水支出（类）水利（款）水利工程运行与维护（项）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9.90</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99.00</w:t>
      </w:r>
      <w:r>
        <w:rPr>
          <w:rFonts w:hint="default"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color w:val="auto"/>
          <w:sz w:val="32"/>
          <w:szCs w:val="32"/>
          <w:highlight w:val="none"/>
          <w:lang w:val="en-US" w:eastAsia="zh-CN"/>
        </w:rPr>
        <w:t>项目支出正常结余。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w:t>
      </w:r>
      <w:r>
        <w:rPr>
          <w:rFonts w:hint="default" w:ascii="仿宋_GB2312" w:hAnsi="仿宋_GB2312" w:eastAsia="仿宋_GB2312" w:cs="仿宋_GB2312"/>
          <w:b/>
          <w:bCs/>
          <w:color w:val="auto"/>
          <w:sz w:val="32"/>
          <w:szCs w:val="32"/>
          <w:highlight w:val="none"/>
          <w:lang w:val="en-US" w:eastAsia="zh-CN"/>
        </w:rPr>
        <w:t>.农林水支出（类）水利（款）水土保持（项）。</w:t>
      </w:r>
      <w:r>
        <w:rPr>
          <w:rFonts w:hint="default" w:ascii="仿宋_GB2312" w:hAnsi="仿宋_GB2312" w:eastAsia="仿宋_GB2312" w:cs="仿宋_GB2312"/>
          <w:color w:val="auto"/>
          <w:sz w:val="32"/>
          <w:szCs w:val="32"/>
          <w:highlight w:val="none"/>
          <w:lang w:val="en-US" w:eastAsia="zh-CN"/>
        </w:rPr>
        <w:t>年初预算为0</w:t>
      </w:r>
      <w:r>
        <w:rPr>
          <w:rFonts w:hint="eastAsia" w:ascii="仿宋_GB2312" w:hAnsi="仿宋_GB2312" w:eastAsia="仿宋_GB2312" w:cs="仿宋_GB2312"/>
          <w:color w:val="auto"/>
          <w:sz w:val="32"/>
          <w:szCs w:val="32"/>
          <w:highlight w:val="none"/>
          <w:lang w:val="en-US" w:eastAsia="zh-CN"/>
        </w:rPr>
        <w:t>.00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2.73</w:t>
      </w:r>
      <w:r>
        <w:rPr>
          <w:rFonts w:hint="default" w:ascii="仿宋_GB2312" w:hAnsi="仿宋_GB2312" w:eastAsia="仿宋_GB2312" w:cs="仿宋_GB2312"/>
          <w:color w:val="auto"/>
          <w:sz w:val="32"/>
          <w:szCs w:val="32"/>
          <w:highlight w:val="none"/>
          <w:lang w:val="en-US" w:eastAsia="zh-CN"/>
        </w:rPr>
        <w:t>万元。决算数与年初预算数存在差异的主要原因是该项目为</w:t>
      </w:r>
      <w:r>
        <w:rPr>
          <w:rFonts w:hint="eastAsia" w:ascii="仿宋_GB2312" w:hAnsi="仿宋_GB2312" w:eastAsia="仿宋_GB2312" w:cs="仿宋_GB2312"/>
          <w:color w:val="auto"/>
          <w:sz w:val="32"/>
          <w:szCs w:val="32"/>
          <w:highlight w:val="none"/>
          <w:lang w:val="en-US" w:eastAsia="zh-CN"/>
        </w:rPr>
        <w:t>支出使用的是上年结转的</w:t>
      </w:r>
      <w:r>
        <w:rPr>
          <w:rFonts w:hint="default" w:ascii="仿宋_GB2312" w:hAnsi="仿宋_GB2312" w:eastAsia="仿宋_GB2312" w:cs="仿宋_GB2312"/>
          <w:color w:val="auto"/>
          <w:sz w:val="32"/>
          <w:szCs w:val="32"/>
          <w:highlight w:val="none"/>
          <w:lang w:val="en-US" w:eastAsia="zh-CN"/>
        </w:rPr>
        <w:t>省级下达资金。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val="en-US" w:eastAsia="zh-CN"/>
        </w:rPr>
        <w:t>3.农林水支出（类）水利（款）水资源节约管理与保护（项）</w:t>
      </w:r>
      <w:r>
        <w:rPr>
          <w:rFonts w:hint="default" w:ascii="仿宋_GB2312" w:hAnsi="仿宋_GB2312" w:eastAsia="仿宋_GB2312" w:cs="仿宋_GB2312"/>
          <w:color w:val="auto"/>
          <w:sz w:val="32"/>
          <w:szCs w:val="32"/>
          <w:highlight w:val="none"/>
          <w:lang w:val="en-US" w:eastAsia="zh-CN"/>
        </w:rPr>
        <w:t>。年初预算为0.00万元，支出决算为</w:t>
      </w:r>
      <w:r>
        <w:rPr>
          <w:rFonts w:hint="eastAsia" w:ascii="仿宋_GB2312" w:hAnsi="仿宋_GB2312" w:eastAsia="仿宋_GB2312" w:cs="仿宋_GB2312"/>
          <w:color w:val="auto"/>
          <w:sz w:val="32"/>
          <w:szCs w:val="32"/>
          <w:highlight w:val="none"/>
          <w:lang w:val="en-US" w:eastAsia="zh-CN"/>
        </w:rPr>
        <w:t>153.47</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决算数与年初预算数存在差异的主要原因是该项目</w:t>
      </w:r>
      <w:r>
        <w:rPr>
          <w:rFonts w:hint="eastAsia" w:ascii="仿宋_GB2312" w:hAnsi="仿宋_GB2312" w:eastAsia="仿宋_GB2312" w:cs="仿宋_GB2312"/>
          <w:color w:val="auto"/>
          <w:sz w:val="32"/>
          <w:szCs w:val="32"/>
          <w:highlight w:val="none"/>
          <w:lang w:val="en-US" w:eastAsia="zh-CN"/>
        </w:rPr>
        <w:t>支出的资金使用的是</w:t>
      </w:r>
      <w:r>
        <w:rPr>
          <w:rFonts w:hint="default" w:ascii="仿宋_GB2312" w:hAnsi="仿宋_GB2312" w:eastAsia="仿宋_GB2312" w:cs="仿宋_GB2312"/>
          <w:color w:val="auto"/>
          <w:sz w:val="32"/>
          <w:szCs w:val="32"/>
          <w:highlight w:val="none"/>
          <w:lang w:val="en-US" w:eastAsia="zh-CN"/>
        </w:rPr>
        <w:t>上年结转</w:t>
      </w:r>
      <w:r>
        <w:rPr>
          <w:rFonts w:hint="eastAsia" w:ascii="仿宋_GB2312" w:hAnsi="仿宋_GB2312" w:eastAsia="仿宋_GB2312" w:cs="仿宋_GB2312"/>
          <w:color w:val="auto"/>
          <w:sz w:val="32"/>
          <w:szCs w:val="32"/>
          <w:highlight w:val="none"/>
          <w:lang w:val="en-US" w:eastAsia="zh-CN"/>
        </w:rPr>
        <w:t>的省级下达</w:t>
      </w:r>
      <w:r>
        <w:rPr>
          <w:rFonts w:hint="default" w:ascii="仿宋_GB2312" w:hAnsi="仿宋_GB2312" w:eastAsia="仿宋_GB2312" w:cs="仿宋_GB2312"/>
          <w:color w:val="auto"/>
          <w:sz w:val="32"/>
          <w:szCs w:val="32"/>
          <w:highlight w:val="none"/>
          <w:lang w:val="en-US" w:eastAsia="zh-CN"/>
        </w:rPr>
        <w:t>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w:t>
      </w:r>
      <w:r>
        <w:rPr>
          <w:rFonts w:hint="default" w:ascii="仿宋_GB2312" w:hAnsi="仿宋_GB2312" w:eastAsia="仿宋_GB2312" w:cs="仿宋_GB2312"/>
          <w:b/>
          <w:bCs/>
          <w:color w:val="auto"/>
          <w:sz w:val="32"/>
          <w:szCs w:val="32"/>
          <w:highlight w:val="none"/>
          <w:lang w:val="en-US" w:eastAsia="zh-CN"/>
        </w:rPr>
        <w:t>.农林水支出（类）水利（款）防汛（项）。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14.00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215.79</w:t>
      </w:r>
      <w:r>
        <w:rPr>
          <w:rFonts w:hint="default" w:ascii="仿宋_GB2312" w:hAnsi="仿宋_GB2312" w:eastAsia="仿宋_GB2312" w:cs="仿宋_GB2312"/>
          <w:color w:val="auto"/>
          <w:sz w:val="32"/>
          <w:szCs w:val="32"/>
          <w:highlight w:val="none"/>
          <w:lang w:val="en-US" w:eastAsia="zh-CN"/>
        </w:rPr>
        <w:t>万元，完成年初预算的</w:t>
      </w:r>
      <w:r>
        <w:rPr>
          <w:rFonts w:hint="eastAsia" w:ascii="仿宋_GB2312" w:hAnsi="仿宋_GB2312" w:eastAsia="仿宋_GB2312" w:cs="仿宋_GB2312"/>
          <w:color w:val="auto"/>
          <w:sz w:val="32"/>
          <w:szCs w:val="32"/>
          <w:highlight w:val="none"/>
          <w:lang w:val="en-US" w:eastAsia="zh-CN"/>
        </w:rPr>
        <w:t>1541.36</w:t>
      </w:r>
      <w:r>
        <w:rPr>
          <w:rFonts w:hint="default" w:ascii="仿宋_GB2312" w:hAnsi="仿宋_GB2312" w:eastAsia="仿宋_GB2312" w:cs="仿宋_GB2312"/>
          <w:color w:val="auto"/>
          <w:sz w:val="32"/>
          <w:szCs w:val="32"/>
          <w:highlight w:val="none"/>
          <w:lang w:val="en-US" w:eastAsia="zh-CN"/>
        </w:rPr>
        <w:t>%。决算数与年初预算数存在差异的主要原因是该项目</w:t>
      </w:r>
      <w:r>
        <w:rPr>
          <w:rFonts w:hint="eastAsia" w:ascii="仿宋_GB2312" w:hAnsi="仿宋_GB2312" w:eastAsia="仿宋_GB2312" w:cs="仿宋_GB2312"/>
          <w:color w:val="auto"/>
          <w:sz w:val="32"/>
          <w:szCs w:val="32"/>
          <w:highlight w:val="none"/>
          <w:lang w:val="en-US" w:eastAsia="zh-CN"/>
        </w:rPr>
        <w:t>使用的有上年结转</w:t>
      </w:r>
      <w:r>
        <w:rPr>
          <w:rFonts w:hint="default" w:ascii="仿宋_GB2312" w:hAnsi="仿宋_GB2312" w:eastAsia="仿宋_GB2312" w:cs="仿宋_GB2312"/>
          <w:color w:val="auto"/>
          <w:sz w:val="32"/>
          <w:szCs w:val="32"/>
          <w:highlight w:val="none"/>
          <w:lang w:val="en-US" w:eastAsia="zh-CN"/>
        </w:rPr>
        <w:t>省级下达</w:t>
      </w:r>
      <w:r>
        <w:rPr>
          <w:rFonts w:hint="eastAsia" w:ascii="仿宋_GB2312" w:hAnsi="仿宋_GB2312" w:eastAsia="仿宋_GB2312" w:cs="仿宋_GB2312"/>
          <w:color w:val="auto"/>
          <w:sz w:val="32"/>
          <w:szCs w:val="32"/>
          <w:highlight w:val="none"/>
          <w:lang w:val="en-US" w:eastAsia="zh-CN"/>
        </w:rPr>
        <w:t>的项目</w:t>
      </w:r>
      <w:r>
        <w:rPr>
          <w:rFonts w:hint="default" w:ascii="仿宋_GB2312" w:hAnsi="仿宋_GB2312" w:eastAsia="仿宋_GB2312" w:cs="仿宋_GB2312"/>
          <w:color w:val="auto"/>
          <w:sz w:val="32"/>
          <w:szCs w:val="32"/>
          <w:highlight w:val="none"/>
          <w:lang w:val="en-US" w:eastAsia="zh-CN"/>
        </w:rPr>
        <w:t>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w:t>
      </w:r>
      <w:r>
        <w:rPr>
          <w:rFonts w:hint="default" w:ascii="仿宋_GB2312" w:hAnsi="仿宋_GB2312" w:eastAsia="仿宋_GB2312" w:cs="仿宋_GB2312"/>
          <w:b/>
          <w:bCs/>
          <w:color w:val="auto"/>
          <w:sz w:val="32"/>
          <w:szCs w:val="32"/>
          <w:highlight w:val="none"/>
          <w:lang w:val="en-US" w:eastAsia="zh-CN"/>
        </w:rPr>
        <w:t>.农林水支出（类）水利（款）其他水利支出（项）。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color w:val="auto"/>
          <w:sz w:val="32"/>
          <w:szCs w:val="32"/>
          <w:highlight w:val="none"/>
          <w:lang w:val="en-US" w:eastAsia="zh-CN"/>
        </w:rPr>
        <w:t>68.50</w:t>
      </w:r>
      <w:r>
        <w:rPr>
          <w:rFonts w:hint="default" w:ascii="仿宋_GB2312" w:hAnsi="仿宋_GB2312" w:eastAsia="仿宋_GB2312" w:cs="仿宋_GB2312"/>
          <w:color w:val="auto"/>
          <w:sz w:val="32"/>
          <w:szCs w:val="32"/>
          <w:highlight w:val="none"/>
          <w:lang w:val="en-US" w:eastAsia="zh-CN"/>
        </w:rPr>
        <w:t>万元。决算数与年初预算数存在差异的主要原因是</w:t>
      </w:r>
      <w:r>
        <w:rPr>
          <w:rFonts w:hint="eastAsia" w:ascii="仿宋_GB2312" w:hAnsi="仿宋_GB2312" w:eastAsia="仿宋_GB2312" w:cs="仿宋_GB2312"/>
          <w:color w:val="auto"/>
          <w:sz w:val="32"/>
          <w:szCs w:val="32"/>
          <w:highlight w:val="none"/>
          <w:lang w:val="en-US" w:eastAsia="zh-CN"/>
        </w:rPr>
        <w:t>年中临时增加新兴路雨水泵站应急电源工程项目资金68.5万元。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1181.10</w:t>
      </w:r>
      <w:r>
        <w:rPr>
          <w:rFonts w:hint="eastAsia" w:ascii="仿宋_GB2312" w:hAnsi="仿宋_GB2312" w:eastAsia="仿宋_GB2312" w:cs="仿宋_GB2312"/>
          <w:sz w:val="32"/>
          <w:szCs w:val="32"/>
          <w:highlight w:val="none"/>
        </w:rPr>
        <w:t>万元。其中：</w:t>
      </w:r>
      <w:r>
        <w:rPr>
          <w:rFonts w:hint="eastAsia" w:ascii="仿宋_GB2312" w:hAnsi="仿宋_GB2312" w:eastAsia="仿宋_GB2312" w:cs="仿宋_GB2312"/>
          <w:b/>
          <w:bCs/>
          <w:sz w:val="32"/>
          <w:szCs w:val="32"/>
          <w:highlight w:val="none"/>
        </w:rPr>
        <w:t>人员经费1077.99万元，</w:t>
      </w:r>
      <w:r>
        <w:rPr>
          <w:rFonts w:hint="eastAsia" w:ascii="仿宋_GB2312" w:hAnsi="仿宋_GB2312" w:eastAsia="仿宋_GB2312" w:cs="仿宋_GB2312"/>
          <w:sz w:val="32"/>
          <w:szCs w:val="32"/>
          <w:highlight w:val="none"/>
        </w:rPr>
        <w:t>主要包括：基本工资、津贴补贴</w:t>
      </w:r>
      <w:r>
        <w:rPr>
          <w:rFonts w:hint="eastAsia" w:ascii="仿宋_GB2312" w:hAnsi="仿宋_GB2312" w:eastAsia="仿宋_GB2312" w:cs="仿宋_GB2312"/>
          <w:sz w:val="32"/>
          <w:szCs w:val="32"/>
          <w:highlight w:val="none"/>
          <w:lang w:eastAsia="zh-CN"/>
        </w:rPr>
        <w:t>、奖金、机关事业单位基本养老保险缴费、职工基本医疗保险缴费、公务员医疗补助缴费、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其他工资福利支出、离休费、退休费、抚恤金、生活补助；</w:t>
      </w:r>
      <w:r>
        <w:rPr>
          <w:rFonts w:hint="eastAsia" w:ascii="仿宋_GB2312" w:hAnsi="仿宋_GB2312" w:eastAsia="仿宋_GB2312" w:cs="仿宋_GB2312"/>
          <w:b/>
          <w:bCs/>
          <w:sz w:val="32"/>
          <w:szCs w:val="32"/>
          <w:highlight w:val="none"/>
        </w:rPr>
        <w:t>公用经费103.11万元，</w:t>
      </w:r>
      <w:r>
        <w:rPr>
          <w:rFonts w:hint="eastAsia" w:ascii="仿宋_GB2312" w:hAnsi="仿宋_GB2312" w:eastAsia="仿宋_GB2312" w:cs="仿宋_GB2312"/>
          <w:sz w:val="32"/>
          <w:szCs w:val="32"/>
          <w:highlight w:val="none"/>
        </w:rPr>
        <w:t>主要包括：办公费、咨询费、水费、电费、邮电费、取暖费、物业管理费、差旅费、维修（护）费、会议费、公务接待费、劳务费、委托业务费、工会经费、福利费、公务用车运行维护费、其他交通费用。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11.09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93.96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厉行节约，精细管理，减少开支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8.64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82.92</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72.65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17.08</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w:t>
      </w:r>
      <w:r>
        <w:rPr>
          <w:rFonts w:hint="eastAsia" w:ascii="仿宋_GB2312" w:hAnsi="仿宋_GB2312" w:eastAsia="仿宋_GB2312" w:cs="仿宋_GB2312"/>
          <w:sz w:val="32"/>
          <w:szCs w:val="32"/>
          <w:highlight w:val="none"/>
          <w:lang w:val="en-US" w:eastAsia="zh-CN"/>
        </w:rPr>
        <w:t>全年</w:t>
      </w:r>
      <w:r>
        <w:rPr>
          <w:rFonts w:hint="eastAsia" w:ascii="仿宋_GB2312" w:hAnsi="仿宋_GB2312" w:eastAsia="仿宋_GB2312" w:cs="仿宋_GB2312"/>
          <w:sz w:val="32"/>
          <w:szCs w:val="32"/>
          <w:highlight w:val="none"/>
        </w:rPr>
        <w:t>因公出国（境）团组数0个，</w:t>
      </w:r>
      <w:r>
        <w:rPr>
          <w:rFonts w:hint="eastAsia" w:ascii="仿宋_GB2312" w:hAnsi="仿宋_GB2312" w:eastAsia="仿宋_GB2312" w:cs="仿宋_GB2312"/>
          <w:sz w:val="32"/>
          <w:szCs w:val="32"/>
          <w:highlight w:val="none"/>
          <w:lang w:val="en-US" w:eastAsia="zh-CN"/>
        </w:rPr>
        <w:t>累计</w:t>
      </w:r>
      <w:r>
        <w:rPr>
          <w:rFonts w:hint="eastAsia" w:ascii="仿宋_GB2312" w:hAnsi="仿宋_GB2312" w:eastAsia="仿宋_GB2312" w:cs="仿宋_GB2312"/>
          <w:sz w:val="32"/>
          <w:szCs w:val="32"/>
          <w:highlight w:val="none"/>
        </w:rPr>
        <w:t>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8.64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b w:val="0"/>
          <w:bCs w:val="0"/>
          <w:sz w:val="32"/>
          <w:szCs w:val="32"/>
          <w:highlight w:val="none"/>
          <w:lang w:eastAsia="zh-CN"/>
        </w:rPr>
        <w:t>预算为</w:t>
      </w:r>
      <w:r>
        <w:rPr>
          <w:rFonts w:hint="eastAsia" w:ascii="仿宋_GB2312" w:hAnsi="仿宋_GB2312" w:eastAsia="仿宋_GB2312" w:cs="仿宋_GB2312"/>
          <w:b w:val="0"/>
          <w:bCs w:val="0"/>
          <w:sz w:val="32"/>
          <w:szCs w:val="32"/>
          <w:highlight w:val="none"/>
          <w:lang w:val="en-US" w:eastAsia="zh-CN"/>
        </w:rPr>
        <w:t>0.00万元，</w:t>
      </w:r>
      <w:r>
        <w:rPr>
          <w:rFonts w:hint="eastAsia" w:ascii="仿宋_GB2312" w:hAnsi="仿宋_GB2312" w:eastAsia="仿宋_GB2312" w:cs="仿宋_GB2312"/>
          <w:sz w:val="32"/>
          <w:szCs w:val="32"/>
          <w:highlight w:val="none"/>
        </w:rPr>
        <w:t>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eastAsia="zh-CN"/>
        </w:rPr>
        <w:t>预算为</w:t>
      </w:r>
      <w:r>
        <w:rPr>
          <w:rFonts w:hint="eastAsia" w:ascii="仿宋_GB2312" w:hAnsi="仿宋_GB2312" w:eastAsia="仿宋_GB2312" w:cs="仿宋_GB2312"/>
          <w:b w:val="0"/>
          <w:bCs w:val="0"/>
          <w:sz w:val="32"/>
          <w:szCs w:val="32"/>
          <w:highlight w:val="none"/>
          <w:lang w:val="en-US" w:eastAsia="zh-CN"/>
        </w:rPr>
        <w:t>8.64万元，决算支出为</w:t>
      </w:r>
      <w:r>
        <w:rPr>
          <w:rFonts w:hint="eastAsia" w:ascii="仿宋_GB2312" w:hAnsi="仿宋_GB2312" w:eastAsia="仿宋_GB2312" w:cs="仿宋_GB2312"/>
          <w:sz w:val="32"/>
          <w:szCs w:val="32"/>
          <w:highlight w:val="none"/>
          <w:lang w:val="en-US" w:eastAsia="zh-CN"/>
        </w:rPr>
        <w:t>8.64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主要用于公务用车加油、维修、路桥费、清洗等费用。2021年期末，单位开支财政拨款的公务用车保有量为2辆。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72.65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按照中央八项规定的有关要求，严格控制公务接待标准及次数，从而减少公务接待费用支出</w:t>
      </w:r>
      <w:r>
        <w:rPr>
          <w:rFonts w:hint="eastAsia" w:ascii="仿宋_GB2312" w:hAnsi="仿宋_GB2312" w:eastAsia="仿宋_GB2312" w:cs="仿宋_GB2312"/>
          <w:sz w:val="32"/>
          <w:szCs w:val="32"/>
          <w:highlight w:val="none"/>
        </w:rPr>
        <w:t>。其中：</w:t>
      </w:r>
    </w:p>
    <w:p>
      <w:pPr>
        <w:widowControl/>
        <w:spacing w:line="59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接待外宾。</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r>
        <w:rPr>
          <w:rFonts w:hint="eastAsia" w:ascii="仿宋_GB2312" w:hAnsi="仿宋_GB2312" w:eastAsia="仿宋_GB2312" w:cs="仿宋_GB2312"/>
          <w:sz w:val="32"/>
          <w:szCs w:val="32"/>
          <w:highlight w:val="none"/>
          <w:lang w:val="en-US" w:eastAsia="zh-CN"/>
        </w:rPr>
        <w:t xml:space="preserve"> </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主要用于招待来我市考察水系访团和省级的业务督导指导工作。</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万元，支出决算为53.53万元。主要用于</w:t>
      </w:r>
      <w:r>
        <w:rPr>
          <w:rFonts w:hint="eastAsia" w:ascii="仿宋_GB2312" w:hAnsi="仿宋_GB2312" w:eastAsia="仿宋_GB2312" w:cs="仿宋_GB2312"/>
          <w:sz w:val="32"/>
          <w:szCs w:val="32"/>
          <w:highlight w:val="none"/>
          <w:lang w:eastAsia="zh-CN"/>
        </w:rPr>
        <w:t>水库移民“十四五”规划编制，</w:t>
      </w:r>
      <w:r>
        <w:rPr>
          <w:rFonts w:hint="eastAsia" w:ascii="仿宋_GB2312" w:hAnsi="仿宋_GB2312" w:eastAsia="仿宋_GB2312" w:cs="仿宋_GB2312"/>
          <w:sz w:val="32"/>
          <w:szCs w:val="32"/>
          <w:highlight w:val="none"/>
          <w:lang w:val="en-US" w:eastAsia="zh-CN"/>
        </w:rPr>
        <w:t>其中该</w:t>
      </w:r>
      <w:r>
        <w:rPr>
          <w:rFonts w:hint="eastAsia" w:ascii="仿宋_GB2312" w:hAnsi="仿宋_GB2312" w:eastAsia="仿宋_GB2312" w:cs="仿宋_GB2312"/>
          <w:color w:val="auto"/>
          <w:sz w:val="32"/>
          <w:szCs w:val="32"/>
          <w:highlight w:val="none"/>
          <w:lang w:val="en-US" w:eastAsia="zh-CN"/>
        </w:rPr>
        <w:t>项目年末结转和结余资金数额较大，主要原因是2020年不具备支出条件，当年结转到下一年支出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109.04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103.11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94.56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厉行节约，减少开支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132.69</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201.15</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val="en-US" w:eastAsia="zh-CN"/>
        </w:rPr>
        <w:t>采取认真研读相关文件的方式学习领会预算绩效管理的内容及方法，并在预算申报阶段按照“谁申请资金，谁设定目标”的原则，并根据单位的年度工作计划和任务，科学设定绩效目标。以绩效目标为绩效管理工作目标，作为开展绩效执行监控和绩效评价的重要依据。列入预算的项目需开展事前绩效评价，年中开展绩效监控，监控结果应用到下步的预算安排工作中，将绩效管理工作贯穿预算全过程，确保资金使用有效益。</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2021年我单位决算收入1311.5万元，决算支出总额为1725.87万元（其中当年预算安排支出1311.5万元，上年结转支出414.37万元），其中：基本支出1181.10万元；项目支出544.77万元。我单位年初对单位整体绩效目标公开，对单位的年度工作任务进行指标量化，设定三级指标46个，涉及履职效能、管理效率、运行成本、服务满意等指标，完成年度主要7个方面的工作任务，各项年度工作全部完成，整体绩效自评为优秀。二是项目绩效自评情况。我单位共有4个项目批复了绩效目标，项目金额544.77万元。</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绩效目标的实现程度，我单位对2021年度实施的4个项目开展绩效自评绩，绩效自评平均得分为100分。其中：4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ind w:firstLine="640" w:firstLineChars="200"/>
        <w:jc w:val="left"/>
        <w:rPr>
          <w:rFonts w:hint="default" w:ascii="黑体" w:hAnsi="宋体" w:eastAsia="黑体" w:cs="宋体"/>
          <w:kern w:val="0"/>
          <w:sz w:val="28"/>
          <w:szCs w:val="28"/>
          <w:lang w:val="en-US" w:eastAsia="zh-CN"/>
        </w:rPr>
      </w:pPr>
      <w:r>
        <w:rPr>
          <w:rFonts w:hint="eastAsia" w:ascii="仿宋_GB2312" w:hAnsi="仿宋_GB2312" w:eastAsia="仿宋_GB2312" w:cs="仿宋_GB2312"/>
          <w:sz w:val="32"/>
          <w:szCs w:val="32"/>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left="0" w:leftChars="0" w:right="0" w:rightChars="0" w:firstLine="0" w:firstLineChars="0"/>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1898"/>
      </w:tabs>
      <w:jc w:val="left"/>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172A27"/>
    <w:rsid w:val="08661DD0"/>
    <w:rsid w:val="3D23643B"/>
    <w:rsid w:val="4545381A"/>
    <w:rsid w:val="597E5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uiPriority w:val="0"/>
    <w:rPr>
      <w:kern w:val="2"/>
      <w:sz w:val="18"/>
      <w:szCs w:val="18"/>
    </w:rPr>
  </w:style>
  <w:style w:type="character" w:customStyle="1" w:styleId="10">
    <w:name w:val="页脚 Char Char"/>
    <w:link w:val="3"/>
    <w:uiPriority w:val="0"/>
    <w:rPr>
      <w:kern w:val="2"/>
      <w:sz w:val="18"/>
      <w:szCs w:val="18"/>
    </w:rPr>
  </w:style>
  <w:style w:type="character" w:customStyle="1" w:styleId="11">
    <w:name w:val="页眉 Char Char"/>
    <w:link w:val="4"/>
    <w:uiPriority w:val="0"/>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41</Pages>
  <Words>11388</Words>
  <Characters>13960</Characters>
  <Lines>60</Lines>
  <Paragraphs>16</Paragraphs>
  <TotalTime>21</TotalTime>
  <ScaleCrop>false</ScaleCrop>
  <LinksUpToDate>false</LinksUpToDate>
  <CharactersWithSpaces>14314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2023-05-29T03:09:34Z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ED4BCC8EE4F243CC966C4CB4144B56A7_13</vt:lpwstr>
  </property>
</Properties>
</file>