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许昌市民族宗教事务局（本级）</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许昌市民族宗教事务局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许昌市民族宗教事务局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一、部门职责</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贯彻落实党和国家民族、宗教工作法律、法规和方针政策，研究并提出全市有关民族、宗教事务的规范性文件并监督实施。开展民族、宗教法律、法规和政策的宣传教育工作。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协调全市民族关系，促进民族平等、团结、互助、和谐，依法保护少数民族合法权益。协调处理涉及民族关系的有关事宜。做好少数民族流动人口和流动宗教人员的服务管理工作。做好涉疆服务管理工作。组织承办民族团结进步创建表彰活动。负责协调推动有关部门履行民族工作相关职责，促进民族政策在经济发展和社会事业有关领域实施、衔接。负责开展少数民族经济发展统计分析和统计监测的有关工作，推进民族事务服务体系和管理信息化建设。</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协同有关部门研究制定全市促进少数民族和民族聚居地发展的规范性文件和措施，参与少数民族发展专项资金的项目管理，配合有关部门做好少数民族扶贫工作。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协调有关部门促进少数民族教育、科技、文化、卫生、体育等社会事业的发展。</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依法保护公民宗教信仰自由，维护宗教团体和宗教活动场所的合法权益，保护宗教教职人员履行正常的教务，保护信教群众正常的宗教活动，促进宗教关系和谐;对从事互联网宗教信息服务的内容进行审核。办理宗教团体需由政府解决或协调的各项事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依法管理全市宗教事务，组织开展行政执法工作；规范引导宗教界在法律、法规和政策范围内活动，防范和打击利用宗教进行非法、违法活动;配合有关部门抵御境外利用宗教进行渗透活动。联系、培养宗教界人士，指导宗教团体依法依章开展工作、加强自身建设。指导基层宗教事务部门依法管理宗教事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负责宗教方面的外事归口管理工作，指导有关部门和宗教界开展对外以及对港、澳、合地区的宗教交往活动，参与涉及民族和宗教对外宣传工作。负责全市伊斯兰教朝觐事务管理工作。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协助有关部门做好全市少数民族千部培养、教育和推荐工作。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分析和研判涉及民族关系、宗教关系及和谐稳定等方面的舆情和影响社会稳定的因素。</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指导全市民族宗教事务部门的工作，协助各县(市、区)政府及时处理民族、宗教方面的突发事件、重大事件和影响社会稳定的因素。</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)负责少数民族古籍搜集、整理和出版等工作。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sz w:val="32"/>
          <w:szCs w:val="32"/>
        </w:rPr>
        <w:t>(十ニ)完成市委、市政府交办的其他事项</w:t>
      </w:r>
      <w:r>
        <w:rPr>
          <w:rFonts w:hint="eastAsia" w:ascii="仿宋_GB2312" w:hAnsi="仿宋_GB2312" w:eastAsia="仿宋_GB2312" w:cs="仿宋_GB2312"/>
          <w:kern w:val="0"/>
          <w:sz w:val="32"/>
          <w:szCs w:val="32"/>
          <w:lang w:eastAsia="zh-CN"/>
        </w:rPr>
        <w:t>。</w:t>
      </w:r>
    </w:p>
    <w:p>
      <w:pPr>
        <w:widowControl/>
        <w:numPr>
          <w:ilvl w:val="0"/>
          <w:numId w:val="0"/>
        </w:numPr>
        <w:ind w:leftChars="200" w:firstLine="320" w:firstLineChars="1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二、</w:t>
      </w:r>
      <w:r>
        <w:rPr>
          <w:rFonts w:hint="eastAsia" w:ascii="黑体" w:hAnsi="黑体" w:eastAsia="黑体" w:cs="黑体"/>
          <w:kern w:val="0"/>
          <w:sz w:val="32"/>
          <w:szCs w:val="32"/>
          <w:highlight w:val="none"/>
        </w:rPr>
        <w:t>机构设置</w:t>
      </w:r>
    </w:p>
    <w:p>
      <w:pPr>
        <w:widowControl/>
        <w:numPr>
          <w:ilvl w:val="0"/>
          <w:numId w:val="0"/>
        </w:numPr>
        <w:ind w:firstLine="640" w:firstLineChars="200"/>
        <w:jc w:val="left"/>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许昌市民族宗教事务局内设机构5个，包括：</w:t>
      </w:r>
      <w:r>
        <w:rPr>
          <w:rFonts w:hint="eastAsia" w:ascii="仿宋_GB2312" w:hAnsi="仿宋_GB2312" w:eastAsia="仿宋_GB2312" w:cs="仿宋_GB2312"/>
          <w:sz w:val="32"/>
          <w:szCs w:val="32"/>
        </w:rPr>
        <w:t>办公室、</w:t>
      </w:r>
      <w:r>
        <w:rPr>
          <w:rFonts w:hint="eastAsia" w:ascii="仿宋" w:hAnsi="仿宋" w:eastAsia="仿宋" w:cs="仿宋"/>
          <w:sz w:val="32"/>
          <w:szCs w:val="32"/>
        </w:rPr>
        <w:t>政策宣传科(政务服务科)</w:t>
      </w:r>
      <w:r>
        <w:rPr>
          <w:rFonts w:hint="eastAsia" w:ascii="仿宋_GB2312" w:hAnsi="仿宋_GB2312" w:eastAsia="仿宋_GB2312" w:cs="仿宋_GB2312"/>
          <w:sz w:val="32"/>
          <w:szCs w:val="32"/>
        </w:rPr>
        <w:t>、民族科、宗教科、</w:t>
      </w:r>
      <w:r>
        <w:rPr>
          <w:rFonts w:hint="eastAsia" w:ascii="仿宋" w:hAnsi="仿宋" w:eastAsia="仿宋" w:cs="仿宋"/>
          <w:sz w:val="32"/>
          <w:szCs w:val="32"/>
        </w:rPr>
        <w:t>协调检査科(市清真食品管理办公室)</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许昌市民族宗教事务局</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许昌市民族宗教事务局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6"/>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2"/>
        <w:gridCol w:w="749"/>
        <w:gridCol w:w="1464"/>
        <w:gridCol w:w="2615"/>
        <w:gridCol w:w="656"/>
        <w:gridCol w:w="4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13"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3813"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716"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409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44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368"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4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5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429.32</w:t>
            </w: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429.32</w:t>
            </w: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43.45</w:t>
            </w: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4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4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409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49"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c>
          <w:tcPr>
            <w:tcW w:w="26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40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13"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3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
        <w:gridCol w:w="319"/>
        <w:gridCol w:w="527"/>
        <w:gridCol w:w="4183"/>
        <w:gridCol w:w="1298"/>
        <w:gridCol w:w="1298"/>
        <w:gridCol w:w="1248"/>
        <w:gridCol w:w="1248"/>
        <w:gridCol w:w="1248"/>
        <w:gridCol w:w="1249"/>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6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19"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1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2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8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021"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19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12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525"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9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29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24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24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24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24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02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18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8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6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8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9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9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4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4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4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429.32</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429.32</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358.84</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358.84</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357.04</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357.04</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2012301</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338.72</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338.72</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2012302</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18.32</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18.32</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52.23</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52.23</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52.23</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52.23</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36.15</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36.15</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16.08</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16.08</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18.24</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18.24</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18.24</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18.24</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9.46</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9.46</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1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8.78</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8.78</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65"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pStyle w:val="2"/>
        <w:rPr>
          <w:rFonts w:hint="eastAsia" w:ascii="仿宋_GB2312" w:hAnsi="仿宋_GB2312" w:eastAsia="仿宋_GB2312" w:cs="仿宋_GB2312"/>
          <w:sz w:val="32"/>
          <w:szCs w:val="32"/>
          <w:highlight w:val="none"/>
        </w:rPr>
      </w:pPr>
    </w:p>
    <w:tbl>
      <w:tblPr>
        <w:tblStyle w:val="6"/>
        <w:tblW w:w="125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8"/>
        <w:gridCol w:w="3956"/>
        <w:gridCol w:w="1440"/>
        <w:gridCol w:w="1440"/>
        <w:gridCol w:w="1440"/>
        <w:gridCol w:w="1212"/>
        <w:gridCol w:w="1212"/>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57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472.77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460.27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民族工作专项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32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456"/>
        <w:gridCol w:w="1327"/>
        <w:gridCol w:w="3516"/>
        <w:gridCol w:w="456"/>
        <w:gridCol w:w="876"/>
        <w:gridCol w:w="1327"/>
        <w:gridCol w:w="799"/>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27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616"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5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3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292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5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3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44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26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43.45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272"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3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8"/>
        <w:gridCol w:w="329"/>
        <w:gridCol w:w="5495"/>
        <w:gridCol w:w="2196"/>
        <w:gridCol w:w="2736"/>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8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2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9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3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7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677"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273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7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40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6"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49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19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73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47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49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49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4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472.77</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460.27</w:t>
            </w:r>
          </w:p>
        </w:tc>
        <w:tc>
          <w:tcPr>
            <w:tcW w:w="24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392.73</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380.23</w:t>
            </w:r>
          </w:p>
        </w:tc>
        <w:tc>
          <w:tcPr>
            <w:tcW w:w="24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民族事务</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390.93</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378.43</w:t>
            </w:r>
          </w:p>
        </w:tc>
        <w:tc>
          <w:tcPr>
            <w:tcW w:w="24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2012301</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2012302</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29.59</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21.89</w:t>
            </w:r>
          </w:p>
        </w:tc>
        <w:tc>
          <w:tcPr>
            <w:tcW w:w="24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2012304</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民族工作专项</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2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60.47</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19.57</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5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21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2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24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85"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2513"/>
        <w:gridCol w:w="1239"/>
        <w:gridCol w:w="916"/>
        <w:gridCol w:w="1560"/>
        <w:gridCol w:w="216"/>
        <w:gridCol w:w="1011"/>
        <w:gridCol w:w="813"/>
        <w:gridCol w:w="3162"/>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49"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51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3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76"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16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9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91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156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7"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16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9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077" w:type="dxa"/>
            <w:gridSpan w:val="7"/>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51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3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9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776" w:type="dxa"/>
            <w:gridSpan w:val="2"/>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1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1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16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9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1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76"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1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362.26</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55.58</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85.43</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13.31</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68.56</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144.66</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0.61</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21.32</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0.83</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10.37</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9.64</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0.15</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20.95</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0.37</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0.71</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0.12</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0.32</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0.25</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1.05</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316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17.55</w:t>
            </w:r>
          </w:p>
        </w:tc>
        <w:tc>
          <w:tcPr>
            <w:tcW w:w="8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6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5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0.12</w:t>
            </w:r>
          </w:p>
        </w:tc>
        <w:tc>
          <w:tcPr>
            <w:tcW w:w="8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6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5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77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7.96</w:t>
            </w:r>
          </w:p>
        </w:tc>
        <w:tc>
          <w:tcPr>
            <w:tcW w:w="8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6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76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402.61</w:t>
            </w:r>
          </w:p>
        </w:tc>
        <w:tc>
          <w:tcPr>
            <w:tcW w:w="7678" w:type="dxa"/>
            <w:gridSpan w:val="6"/>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7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3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8"/>
        <w:gridCol w:w="1128"/>
        <w:gridCol w:w="1128"/>
        <w:gridCol w:w="975"/>
        <w:gridCol w:w="1128"/>
        <w:gridCol w:w="1128"/>
        <w:gridCol w:w="1128"/>
        <w:gridCol w:w="1128"/>
        <w:gridCol w:w="1128"/>
        <w:gridCol w:w="934"/>
        <w:gridCol w:w="1128"/>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53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68"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768"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8"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2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2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536" w:type="dxa"/>
            <w:gridSpan w:val="12"/>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2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7"/>
        <w:gridCol w:w="367"/>
        <w:gridCol w:w="367"/>
        <w:gridCol w:w="1810"/>
        <w:gridCol w:w="1470"/>
        <w:gridCol w:w="1470"/>
        <w:gridCol w:w="1470"/>
        <w:gridCol w:w="1470"/>
        <w:gridCol w:w="1470"/>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0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：许昌市民族宗教事务局（本级）</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4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34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032"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34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3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3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注：本表反映单位本年度政府性基金预算财政拨款收入、支出及结转和结余情况。本表金额转换为万元时，因四舍五入可能存在尾差。</w:t>
            </w:r>
          </w:p>
          <w:p>
            <w:pPr>
              <w:pStyle w:val="2"/>
              <w:rPr>
                <w:rFonts w:hint="eastAsia"/>
                <w:lang w:val="en-US" w:eastAsia="zh-CN"/>
              </w:rPr>
            </w:pPr>
          </w:p>
          <w:p>
            <w:pPr>
              <w:pStyle w:val="2"/>
              <w:rPr>
                <w:rFonts w:hint="eastAsia"/>
              </w:rPr>
            </w:pPr>
            <w:r>
              <w:rPr>
                <w:rFonts w:hint="eastAsia" w:ascii="仿宋" w:hAnsi="仿宋" w:eastAsia="仿宋" w:cs="仿宋"/>
                <w:color w:val="000000"/>
                <w:sz w:val="32"/>
                <w:szCs w:val="32"/>
                <w:highlight w:val="none"/>
              </w:rPr>
              <w:t>说明：我</w:t>
            </w:r>
            <w:r>
              <w:rPr>
                <w:rFonts w:hint="eastAsia" w:ascii="仿宋" w:hAnsi="仿宋" w:eastAsia="仿宋" w:cs="仿宋"/>
                <w:color w:val="000000"/>
                <w:sz w:val="32"/>
                <w:szCs w:val="32"/>
                <w:highlight w:val="none"/>
                <w:lang w:eastAsia="zh-CN"/>
              </w:rPr>
              <w:t>单位</w:t>
            </w:r>
            <w:r>
              <w:rPr>
                <w:rFonts w:hint="eastAsia" w:ascii="仿宋" w:hAnsi="仿宋" w:eastAsia="仿宋" w:cs="仿宋"/>
                <w:color w:val="000000"/>
                <w:sz w:val="32"/>
                <w:szCs w:val="32"/>
                <w:highlight w:val="none"/>
              </w:rPr>
              <w:t>没有政府性基金收入，也没有使用政府性基金安排的支出，故本表无数据。</w:t>
            </w:r>
          </w:p>
        </w:tc>
      </w:tr>
    </w:tbl>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spacing w:line="590" w:lineRule="exact"/>
        <w:ind w:firstLine="640"/>
        <w:rPr>
          <w:rFonts w:hint="default" w:ascii="Times New Roman" w:hAnsi="Times New Roman" w:eastAsia="Times New Roman"/>
          <w:sz w:val="32"/>
          <w:szCs w:val="24"/>
        </w:rPr>
      </w:pPr>
      <w:r>
        <w:rPr>
          <w:rFonts w:hint="eastAsia" w:ascii="黑体" w:hAnsi="黑体" w:eastAsia="黑体"/>
          <w:sz w:val="32"/>
          <w:szCs w:val="24"/>
        </w:rPr>
        <w:t>一、收入支出决算总体情况说明</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rPr>
        <w:t>2021年度收、支总计均为472.77万元。与上年度相比，收、支总计各减少9.95万元，下降2.06%。主要原因是</w:t>
      </w:r>
      <w:r>
        <w:rPr>
          <w:rFonts w:hint="eastAsia" w:ascii="仿宋_GB2312" w:hAnsi="仿宋_GB2312" w:eastAsia="仿宋_GB2312"/>
          <w:sz w:val="32"/>
          <w:szCs w:val="24"/>
          <w:lang w:eastAsia="zh-CN"/>
        </w:rPr>
        <w:t>人员减少；进一步压减支出过紧日子</w:t>
      </w:r>
      <w:r>
        <w:rPr>
          <w:rFonts w:hint="eastAsia" w:ascii="仿宋_GB2312" w:hAnsi="仿宋_GB2312" w:eastAsia="仿宋_GB2312"/>
          <w:sz w:val="32"/>
          <w:szCs w:val="24"/>
        </w:rPr>
        <w:t>。</w:t>
      </w:r>
    </w:p>
    <w:p>
      <w:pPr>
        <w:spacing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二、收入决算情况说明</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2021年度收入合计429.32万元，其中：财政拨款收入429.32万元，占10</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；上级补助收入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；事业收入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；经营收入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；附属单位上缴收入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；其他收入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spacing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三、支出决算情况说明</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2021年度支出合计472.77万元，其中：基本支出460.27万元，占97.36%；项目支出12.5万元，占2.64%；上缴上级支出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；经营支出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；对附属单位补助支出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spacing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四、财政拨款收入支出决算总体情况说明</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2021年度财政拨款收、支总计均为472.77万元。与上年度相比，财政拨款收、支总计各减少9.95万元，下降2.06%。主要原因是</w:t>
      </w:r>
      <w:r>
        <w:rPr>
          <w:rFonts w:hint="eastAsia" w:ascii="仿宋_GB2312" w:hAnsi="仿宋_GB2312" w:eastAsia="仿宋_GB2312"/>
          <w:sz w:val="32"/>
          <w:szCs w:val="24"/>
          <w:lang w:eastAsia="zh-CN"/>
        </w:rPr>
        <w:t>人员减少；进一步压减支出过紧日子</w:t>
      </w:r>
      <w:r>
        <w:rPr>
          <w:rFonts w:hint="eastAsia" w:ascii="仿宋_GB2312" w:hAnsi="仿宋_GB2312" w:eastAsia="仿宋_GB2312"/>
          <w:sz w:val="32"/>
          <w:szCs w:val="24"/>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2021年度一般公共预算财政拨款支出472.77万元，占支出合计的10</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。与上年度相比，一般公共预算财政拨款支出增加37.68万元，增长8.66%。主要原因是</w:t>
      </w:r>
      <w:r>
        <w:rPr>
          <w:rFonts w:hint="eastAsia" w:ascii="仿宋_GB2312" w:hAnsi="仿宋_GB2312" w:eastAsia="仿宋_GB2312"/>
          <w:sz w:val="32"/>
          <w:szCs w:val="24"/>
          <w:lang w:val="en-US" w:eastAsia="zh-CN"/>
        </w:rPr>
        <w:t>存在上年结转资金支出</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472.77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392.73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83.07</w:t>
      </w:r>
      <w:r>
        <w:rPr>
          <w:rFonts w:hint="eastAsia" w:ascii="仿宋_GB2312" w:hAnsi="仿宋_GB2312" w:eastAsia="仿宋_GB2312" w:cs="仿宋_GB2312"/>
          <w:sz w:val="32"/>
          <w:szCs w:val="32"/>
          <w:highlight w:val="none"/>
        </w:rPr>
        <w:t>%；</w:t>
      </w:r>
      <w:r>
        <w:rPr>
          <w:rFonts w:hint="eastAsia" w:ascii="仿宋" w:hAnsi="仿宋" w:eastAsia="仿宋"/>
          <w:sz w:val="32"/>
        </w:rPr>
        <w:t>社会保障和就业（类）支出</w:t>
      </w:r>
      <w:r>
        <w:rPr>
          <w:rFonts w:hint="eastAsia" w:ascii="仿宋" w:hAnsi="仿宋" w:eastAsia="仿宋"/>
          <w:sz w:val="32"/>
          <w:lang w:val="en-US" w:eastAsia="zh-CN"/>
        </w:rPr>
        <w:t>60.47</w:t>
      </w:r>
      <w:r>
        <w:rPr>
          <w:rFonts w:hint="eastAsia" w:ascii="仿宋" w:hAnsi="仿宋" w:eastAsia="仿宋"/>
          <w:sz w:val="32"/>
        </w:rPr>
        <w:t>万元，占</w:t>
      </w:r>
      <w:r>
        <w:rPr>
          <w:rFonts w:hint="eastAsia" w:ascii="仿宋" w:hAnsi="仿宋" w:eastAsia="仿宋"/>
          <w:sz w:val="32"/>
          <w:lang w:val="en-US" w:eastAsia="zh-CN"/>
        </w:rPr>
        <w:t>12.79</w:t>
      </w:r>
      <w:r>
        <w:rPr>
          <w:rFonts w:hint="eastAsia" w:ascii="仿宋" w:hAnsi="仿宋" w:eastAsia="仿宋"/>
          <w:sz w:val="32"/>
        </w:rPr>
        <w:t>%</w:t>
      </w:r>
      <w:r>
        <w:rPr>
          <w:rFonts w:hint="eastAsia" w:ascii="仿宋" w:hAnsi="仿宋" w:eastAsia="仿宋"/>
          <w:sz w:val="32"/>
          <w:lang w:eastAsia="zh-CN"/>
        </w:rPr>
        <w:t>；卫生健康</w:t>
      </w:r>
      <w:r>
        <w:rPr>
          <w:rFonts w:hint="eastAsia" w:ascii="仿宋_GB2312" w:hAnsi="仿宋_GB2312" w:eastAsia="仿宋_GB2312" w:cs="仿宋_GB2312"/>
          <w:color w:val="auto"/>
          <w:sz w:val="32"/>
          <w:szCs w:val="32"/>
          <w:highlight w:val="none"/>
          <w:lang w:val="en-US" w:eastAsia="zh-CN"/>
        </w:rPr>
        <w:t>（类）</w:t>
      </w:r>
      <w:r>
        <w:rPr>
          <w:rFonts w:hint="eastAsia" w:ascii="仿宋" w:hAnsi="仿宋" w:eastAsia="仿宋"/>
          <w:sz w:val="32"/>
          <w:lang w:eastAsia="zh-CN"/>
        </w:rPr>
        <w:t>支出</w:t>
      </w:r>
      <w:r>
        <w:rPr>
          <w:rFonts w:hint="eastAsia" w:ascii="仿宋" w:hAnsi="仿宋" w:eastAsia="仿宋"/>
          <w:sz w:val="32"/>
          <w:lang w:val="en-US" w:eastAsia="zh-CN"/>
        </w:rPr>
        <w:t>19.57万元，占4.14%</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429.14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472.77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110.17</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1．一般公共服务支出（类）民族事务（款）行政运行（项）。</w:t>
      </w:r>
      <w:r>
        <w:rPr>
          <w:rFonts w:hint="eastAsia" w:ascii="仿宋_GB2312" w:hAnsi="仿宋_GB2312" w:eastAsia="仿宋_GB2312" w:cs="仿宋_GB2312"/>
          <w:color w:val="auto"/>
          <w:sz w:val="32"/>
          <w:szCs w:val="32"/>
          <w:highlight w:val="none"/>
          <w:lang w:val="en-US" w:eastAsia="zh-CN"/>
        </w:rPr>
        <w:t>年初预算为328.12万元，支出决算为356.53万元，完成年初预算的108.66%。决算数与年初预算数存在差异的主要原因是工资福利支出增加。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2．一般公共服务支出（类）民族事务（款）一般行政管理事务（项）。</w:t>
      </w:r>
      <w:r>
        <w:rPr>
          <w:rFonts w:hint="eastAsia" w:ascii="仿宋_GB2312" w:hAnsi="仿宋_GB2312" w:eastAsia="仿宋_GB2312" w:cs="仿宋_GB2312"/>
          <w:color w:val="auto"/>
          <w:sz w:val="32"/>
          <w:szCs w:val="32"/>
          <w:highlight w:val="none"/>
          <w:lang w:val="en-US" w:eastAsia="zh-CN"/>
        </w:rPr>
        <w:t>年初预算为14.69万元，支出决算为29.59万元，完成年初预算的201.43%。决算数与年初预算数存在差异的主要原因是存在上年结转结余资金支出。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3．一般公共服务支出（类）民族事务（款）民族工作专项（项）。</w:t>
      </w:r>
      <w:r>
        <w:rPr>
          <w:rFonts w:hint="eastAsia" w:ascii="仿宋_GB2312" w:hAnsi="仿宋_GB2312" w:eastAsia="仿宋_GB2312" w:cs="仿宋_GB2312"/>
          <w:color w:val="auto"/>
          <w:sz w:val="32"/>
          <w:szCs w:val="32"/>
          <w:highlight w:val="none"/>
          <w:lang w:val="en-US" w:eastAsia="zh-CN"/>
        </w:rPr>
        <w:t>年初预算为0.00万元，支出决算为4.8万元。决算数与年初预算数存在差异的主要原因是存在后期追加项目经费支出。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年初预算为1.8万元，支出决算为1.8万元，完成年初预算的100.00%。决算数与年初预算数不存在差异。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年初预算为40.18万元，支出决算为40.34万元，完成年初预算的100</w:t>
      </w:r>
      <w:r>
        <w:rPr>
          <w:rFonts w:hint="default"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lang w:val="en-US" w:eastAsia="zh-CN"/>
        </w:rPr>
        <w:t>%。决算数与年初预算数存在差异的主要原因是退休人员增加。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年初预算为22.23万元，支出决算为20.13万元，完成年初预算的9</w:t>
      </w:r>
      <w:r>
        <w:rPr>
          <w:rFonts w:hint="default" w:ascii="仿宋_GB2312" w:hAnsi="仿宋_GB2312" w:eastAsia="仿宋_GB2312" w:cs="仿宋_GB2312"/>
          <w:color w:val="auto"/>
          <w:sz w:val="32"/>
          <w:szCs w:val="32"/>
          <w:highlight w:val="none"/>
          <w:lang w:val="en-US" w:eastAsia="zh-CN"/>
        </w:rPr>
        <w:t>0.55</w:t>
      </w:r>
      <w:r>
        <w:rPr>
          <w:rFonts w:hint="eastAsia" w:ascii="仿宋_GB2312" w:hAnsi="仿宋_GB2312" w:eastAsia="仿宋_GB2312" w:cs="仿宋_GB2312"/>
          <w:color w:val="auto"/>
          <w:sz w:val="32"/>
          <w:szCs w:val="32"/>
          <w:highlight w:val="none"/>
          <w:lang w:val="en-US" w:eastAsia="zh-CN"/>
        </w:rPr>
        <w:t>%。决算数与年初预算数存在差异的主要原因是存在人员调出。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年初预算为11.33万元，支出决算为10.31万元，完成年初预算的91.00%。决算数与年初预算数存在差异的主要原因是存在人员调出。</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8．卫生健康支出（类）行政事业单位医疗（款）行政公务员医疗补助（项）。</w:t>
      </w:r>
      <w:r>
        <w:rPr>
          <w:rFonts w:hint="eastAsia" w:ascii="仿宋_GB2312" w:hAnsi="仿宋_GB2312" w:eastAsia="仿宋_GB2312" w:cs="仿宋_GB2312"/>
          <w:color w:val="auto"/>
          <w:sz w:val="32"/>
          <w:szCs w:val="32"/>
          <w:highlight w:val="none"/>
          <w:lang w:val="en-US" w:eastAsia="zh-CN"/>
        </w:rPr>
        <w:t>年初预算为10.79万元，支出决算为9.26万元，完成年初预算的85.82%。决算数与年初预算数存在差异的主要原因是存在人员调出。</w:t>
      </w:r>
    </w:p>
    <w:p>
      <w:pPr>
        <w:pStyle w:val="2"/>
        <w:rPr>
          <w:rFonts w:hint="eastAsia"/>
          <w:lang w:val="en-US" w:eastAsia="zh-CN"/>
        </w:r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460.27万元。其中：人员经费402.61万元</w:t>
      </w:r>
      <w:r>
        <w:rPr>
          <w:rFonts w:hint="eastAsia" w:ascii="仿宋_GB2312" w:hAnsi="仿宋_GB2312" w:eastAsia="仿宋_GB2312" w:cs="仿宋_GB2312"/>
          <w:sz w:val="32"/>
          <w:szCs w:val="32"/>
          <w:highlight w:val="none"/>
        </w:rPr>
        <w:t>，主要包括：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基本工资、津贴补贴、奖金、机关事业单位基本养老保险缴费、职业年金缴费、职工基本医疗保险缴费、公务员医疗补助缴费、其他社会保障缴费、住房公积金、其他工资福利支出、退休费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sz w:val="32"/>
          <w:szCs w:val="24"/>
          <w:lang w:val="en-US"/>
        </w:rPr>
        <w:t>57.66</w:t>
      </w:r>
      <w:r>
        <w:rPr>
          <w:rFonts w:hint="eastAsia" w:ascii="仿宋_GB2312" w:hAnsi="仿宋_GB2312" w:eastAsia="仿宋_GB2312" w:cs="仿宋_GB2312"/>
          <w:sz w:val="32"/>
          <w:szCs w:val="32"/>
          <w:highlight w:val="none"/>
        </w:rPr>
        <w:t>万元，主要包括：办公费、印刷费、水费、邮电费、差旅费、租赁费、会议费、公务接待费、劳务费、委托业务费、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经费财政拨款支出预算为4.65万元，支出决算为4.36万元，完成预算的93.7</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进一步压减支出过紧日子</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，完成预算的</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；公务用车购置及运行费支出决算4.04万元，完成预算的</w:t>
      </w:r>
      <w:r>
        <w:rPr>
          <w:rFonts w:hint="eastAsia" w:ascii="仿宋_GB2312" w:hAnsi="仿宋_GB2312" w:eastAsia="仿宋_GB2312"/>
          <w:sz w:val="32"/>
          <w:szCs w:val="24"/>
          <w:lang w:val="en-US" w:eastAsia="zh-CN"/>
        </w:rPr>
        <w:t>98.54</w:t>
      </w:r>
      <w:r>
        <w:rPr>
          <w:rFonts w:hint="eastAsia" w:ascii="仿宋_GB2312" w:hAnsi="仿宋_GB2312" w:eastAsia="仿宋_GB2312"/>
          <w:sz w:val="32"/>
          <w:szCs w:val="24"/>
          <w:lang w:val="en-US"/>
        </w:rPr>
        <w:t>%，占92.6</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%；公务接待费支出决算0.32万元，完成预算的58.</w:t>
      </w:r>
      <w:r>
        <w:rPr>
          <w:rFonts w:hint="eastAsia" w:ascii="仿宋_GB2312" w:hAnsi="仿宋_GB2312" w:eastAsia="仿宋_GB2312"/>
          <w:sz w:val="32"/>
          <w:szCs w:val="24"/>
          <w:lang w:val="en-US" w:eastAsia="zh-CN"/>
        </w:rPr>
        <w:t>18</w:t>
      </w:r>
      <w:r>
        <w:rPr>
          <w:rFonts w:hint="eastAsia" w:ascii="仿宋_GB2312" w:hAnsi="仿宋_GB2312" w:eastAsia="仿宋_GB2312"/>
          <w:sz w:val="32"/>
          <w:szCs w:val="24"/>
          <w:lang w:val="en-US"/>
        </w:rPr>
        <w:t>%，占7.3</w:t>
      </w:r>
      <w:r>
        <w:rPr>
          <w:rFonts w:hint="eastAsia" w:ascii="仿宋_GB2312" w:hAnsi="仿宋_GB2312" w:eastAsia="仿宋_GB2312"/>
          <w:sz w:val="32"/>
          <w:szCs w:val="24"/>
          <w:lang w:val="en-US" w:eastAsia="zh-CN"/>
        </w:rPr>
        <w:t>3</w:t>
      </w:r>
      <w:r>
        <w:rPr>
          <w:rFonts w:hint="eastAsia" w:ascii="仿宋_GB2312" w:hAnsi="仿宋_GB2312" w:eastAsia="仿宋_GB2312"/>
          <w:sz w:val="32"/>
          <w:szCs w:val="24"/>
          <w:lang w:val="en-US"/>
        </w:rPr>
        <w:t>%；具体情况如下：</w:t>
      </w:r>
    </w:p>
    <w:p>
      <w:pPr>
        <w:numPr>
          <w:ilvl w:val="0"/>
          <w:numId w:val="2"/>
        </w:numPr>
        <w:spacing w:line="59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因公出国（境）费</w:t>
      </w:r>
      <w:r>
        <w:rPr>
          <w:rFonts w:hint="eastAsia" w:ascii="仿宋_GB2312" w:hAnsi="仿宋_GB2312" w:eastAsia="仿宋_GB2312" w:cs="仿宋_GB2312"/>
          <w:color w:val="auto"/>
          <w:sz w:val="32"/>
          <w:szCs w:val="32"/>
          <w:highlight w:val="none"/>
          <w:lang w:val="en-US" w:eastAsia="zh-CN"/>
        </w:rPr>
        <w:t>预算为0.00万元，支出决算为0.00万元。决算数与预算数不存在差异。</w:t>
      </w:r>
    </w:p>
    <w:p>
      <w:pPr>
        <w:numPr>
          <w:ilvl w:val="0"/>
          <w:numId w:val="0"/>
        </w:numPr>
        <w:spacing w:line="59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sz w:val="32"/>
          <w:szCs w:val="24"/>
          <w:lang w:val="en-US"/>
        </w:rPr>
        <w:t>因公出国（境）团组数0个，因公出国（境）人次数0人。</w:t>
      </w:r>
    </w:p>
    <w:p>
      <w:pPr>
        <w:widowControl/>
        <w:spacing w:line="590" w:lineRule="exact"/>
        <w:ind w:firstLine="643" w:firstLineChars="200"/>
        <w:rPr>
          <w:rFonts w:hint="default" w:ascii="Times New Roman" w:hAnsi="Times New Roman" w:eastAsia="Times New Roman"/>
          <w:sz w:val="32"/>
          <w:szCs w:val="24"/>
          <w:lang w:val="en-US"/>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sz w:val="32"/>
          <w:szCs w:val="24"/>
          <w:lang w:val="en-US"/>
        </w:rPr>
        <w:t>年初预算为4</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万元，支出决算为4.04万元，完成年初预算的</w:t>
      </w:r>
      <w:r>
        <w:rPr>
          <w:rFonts w:hint="eastAsia" w:ascii="仿宋_GB2312" w:hAnsi="仿宋_GB2312" w:eastAsia="仿宋_GB2312"/>
          <w:sz w:val="32"/>
          <w:szCs w:val="24"/>
          <w:lang w:val="en-US" w:eastAsia="zh-CN"/>
        </w:rPr>
        <w:t>98.54</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cs="仿宋_GB2312"/>
          <w:sz w:val="32"/>
          <w:szCs w:val="32"/>
          <w:highlight w:val="none"/>
          <w:lang w:eastAsia="zh-CN"/>
        </w:rPr>
        <w:t>进一步压减支出过紧日子</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4.04万元。</w:t>
      </w:r>
      <w:r>
        <w:rPr>
          <w:rFonts w:hint="eastAsia" w:ascii="仿宋_GB2312" w:hAnsi="仿宋_GB2312" w:eastAsia="仿宋_GB2312" w:cs="仿宋_GB2312"/>
          <w:color w:val="auto"/>
          <w:sz w:val="32"/>
          <w:szCs w:val="32"/>
          <w:highlight w:val="none"/>
          <w:lang w:val="en-US" w:eastAsia="zh-CN"/>
        </w:rPr>
        <w:t>主要用于公务用车油修费、过路费、保险费。2021年期末，部门开支财政拨款的公务用车保有量为1辆。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w:t>
      </w:r>
      <w:r>
        <w:rPr>
          <w:rFonts w:hint="eastAsia" w:ascii="仿宋_GB2312" w:hAnsi="仿宋_GB2312" w:eastAsia="仿宋_GB2312"/>
          <w:sz w:val="32"/>
          <w:szCs w:val="24"/>
          <w:lang w:val="en-US"/>
        </w:rPr>
        <w:t>为0.55万元，支出决算为0.32万元，完成年初预算的58.</w:t>
      </w:r>
      <w:r>
        <w:rPr>
          <w:rFonts w:hint="eastAsia" w:ascii="仿宋_GB2312" w:hAnsi="仿宋_GB2312" w:eastAsia="仿宋_GB2312"/>
          <w:sz w:val="32"/>
          <w:szCs w:val="24"/>
          <w:lang w:val="en-US" w:eastAsia="zh-CN"/>
        </w:rPr>
        <w:t>18</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决算数与预算数存在差异的主要原因</w:t>
      </w:r>
      <w:r>
        <w:rPr>
          <w:rFonts w:hint="eastAsia" w:ascii="仿宋_GB2312" w:hAnsi="仿宋_GB2312" w:eastAsia="仿宋_GB2312" w:cs="仿宋_GB2312"/>
          <w:sz w:val="32"/>
          <w:szCs w:val="32"/>
          <w:highlight w:val="none"/>
          <w:lang w:eastAsia="zh-CN"/>
        </w:rPr>
        <w:t>进一步压减支出过紧日子</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其中：</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2021年共接待国（境）外来访团组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个、来访外宾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上级调研督导等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51.99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57.66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110.91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存在上年结转支出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2021年度政府采购支出总额24.7万元，其中：政府采购货物支出24.7万元</w:t>
      </w:r>
      <w:r>
        <w:rPr>
          <w:rFonts w:hint="eastAsia" w:ascii="仿宋_GB2312" w:hAnsi="仿宋_GB2312" w:eastAsia="仿宋_GB2312"/>
          <w:sz w:val="32"/>
          <w:szCs w:val="24"/>
          <w:lang w:val="en-US" w:eastAsia="zh-CN"/>
        </w:rPr>
        <w:t>（含国产电脑划拨资产）</w:t>
      </w:r>
      <w:r>
        <w:rPr>
          <w:rFonts w:hint="eastAsia" w:ascii="仿宋_GB2312" w:hAnsi="仿宋_GB2312" w:eastAsia="仿宋_GB2312"/>
          <w:sz w:val="32"/>
          <w:szCs w:val="24"/>
          <w:lang w:val="en-US"/>
        </w:rPr>
        <w:t>、政府采购工程支出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、政府采购服务支出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。授予中小企业合同金额</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，占政府采购支出总额的</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,其中：授予小微企业合同金额</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，占政府采购支出总额的</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240" w:lineRule="auto"/>
        <w:ind w:firstLine="640" w:firstLineChars="200"/>
        <w:outlineLvl w:val="1"/>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r>
        <w:rPr>
          <w:rFonts w:hint="eastAsia" w:ascii="仿宋_GB2312" w:hAnsi="仿宋_GB2312" w:eastAsia="仿宋_GB2312"/>
          <w:sz w:val="32"/>
          <w:szCs w:val="24"/>
          <w:lang w:val="en-US" w:eastAsia="zh-CN"/>
        </w:rPr>
        <w:t xml:space="preserve">。    </w:t>
      </w:r>
    </w:p>
    <w:p>
      <w:pPr>
        <w:widowControl/>
        <w:spacing w:line="24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 w:hAnsi="仿宋" w:eastAsia="仿宋" w:cs="仿宋"/>
          <w:bCs/>
          <w:sz w:val="32"/>
          <w:szCs w:val="32"/>
          <w:lang w:eastAsia="zh-CN"/>
        </w:rPr>
        <w:t>我单位以绩效自评结果为导向，科学合理设置绩效目标和绩效标准，将绩效自评结果运用于导向绩效预算，促进项目资金的高效利用，单位绩效及时公开，自觉接受服务对象、利益相关方及监督部门的监督。</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 w:hAnsi="仿宋" w:eastAsia="仿宋" w:cs="仿宋"/>
          <w:b w:val="0"/>
          <w:bCs w:val="0"/>
          <w:sz w:val="32"/>
          <w:szCs w:val="32"/>
          <w:lang w:val="en-US" w:eastAsia="zh-CN"/>
        </w:rPr>
        <w:t>除部分指标因疫情无法完成外，单位总体工作任务完成较好，整体自评得分92分，达到预期目标。</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基于项目预期目标的实现程度，对2021年度项目支出绩效进行自评，绩效自评平均得分为91.5分。其中：</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个项目评价等级为“优”、</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WwWa7EAQAAig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hint="eastAsia"/>
                            </w:rPr>
                          </w:pPr>
                        </w:p>
                      </w:txbxContent>
                    </wps:txbx>
                    <wps:bodyPr wrap="none" lIns="0" tIns="0" rIns="0" bIns="0" upright="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xsnqxQEAAIoDAAAOAAAAAAAAAAEAIAAAAB8BAABkcnMvZTJvRG9jLnht&#10;bFBLBQYAAAAABgAGAFkBAABWBQ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8SP/PxQEAAIoDAAAOAAAAAAAAAAEAIAAAAB8BAABkcnMvZTJvRG9jLnht&#10;bFBLBQYAAAAABgAGAFkBAABW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JGBMosMBAACHAwAADgAAAAAAAAABACAAAAAf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hint="eastAsia"/>
                            </w:rPr>
                          </w:pPr>
                        </w:p>
                      </w:txbxContent>
                    </wps:txbx>
                    <wps:bodyPr wrap="none" lIns="0" tIns="0" rIns="0" bIns="0" upright="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l8aD4cMBAACKAwAADgAAAAAAAAABACAAAAAfAQAAZHJzL2Uyb0RvYy54bWxQ&#10;SwUGAAAAAAYABgBZAQAAVA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zEV9vBAQAAhwMAAA4AAABkcnMvZTJvRG9jLnhtbK1TzY7TMBC+I/EO&#10;lu80aYWgip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XZYkihOWZn75+ePy68/l&#10;93f2PinUB6wo8SHcw+QhmYnu0IJNXyLChqzq+aqqGiKTdLlcr9brhC0pNjuEUzz+HgDjB+UtS0bN&#10;gcaW1RSnTxjH1DklVTMunc7faWPGaLopUptjY8mKw36Yut375kwsexpzzR1tNWfmoyMV00bMBszG&#10;fjaOAfShyyuT6mG4PUaqmRtKFUbYqTDNJ1OadiktwL9+znp8P9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IzEV9vBAQAAhwMAAA4AAAAAAAAAAQAgAAAAHwEAAGRycy9lMm9Eb2MueG1sUEsF&#10;BgAAAAAGAAYAWQEAAFI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Yzg4ZmEyYjRmZDNiNTRmOTc2MzNmYTFlNTMxZjgifQ=="/>
  </w:docVars>
  <w:rsids>
    <w:rsidRoot w:val="00000000"/>
    <w:rsid w:val="0F0356BC"/>
    <w:rsid w:val="232C4DDB"/>
    <w:rsid w:val="49235840"/>
    <w:rsid w:val="584B5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11"/>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qFormat/>
    <w:uiPriority w:val="99"/>
    <w:rPr>
      <w:color w:val="800080"/>
      <w:u w:val="single"/>
    </w:rPr>
  </w:style>
  <w:style w:type="character" w:styleId="10">
    <w:name w:val="Hyperlink"/>
    <w:qFormat/>
    <w:uiPriority w:val="99"/>
    <w:rPr>
      <w:color w:val="0000FF"/>
      <w:u w:val="single"/>
    </w:rPr>
  </w:style>
  <w:style w:type="character" w:customStyle="1" w:styleId="11">
    <w:name w:val="批注框文本 Char"/>
    <w:link w:val="3"/>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8769</Words>
  <Characters>10591</Characters>
  <Paragraphs>1992</Paragraphs>
  <TotalTime>0</TotalTime>
  <ScaleCrop>false</ScaleCrop>
  <LinksUpToDate>false</LinksUpToDate>
  <CharactersWithSpaces>10821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2023-02-17T07:33:00Z</cp:lastPrinted>
  <dcterms:modified xsi:type="dcterms:W3CDTF">2023-05-16T01:08:32Z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218470CD0B01482E9F377A734D3DD408</vt:lpwstr>
  </property>
</Properties>
</file>