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bookmarkEnd w:id="0"/>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许昌市残疾人联合会（本级）</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许昌市残疾人联合会</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val="en-US" w:eastAsia="zh-CN"/>
        </w:rPr>
        <w:t xml:space="preserve"> </w:t>
      </w:r>
      <w:r>
        <w:rPr>
          <w:rFonts w:hint="eastAsia" w:ascii="黑体" w:hAnsi="黑体" w:eastAsia="黑体" w:cs="黑体"/>
          <w:color w:val="auto"/>
          <w:sz w:val="48"/>
          <w:szCs w:val="48"/>
          <w:highlight w:val="none"/>
          <w:lang w:eastAsia="zh-CN"/>
        </w:rPr>
        <w:t>许昌市残疾人联合会</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widowControl/>
        <w:ind w:firstLine="640" w:firstLineChars="200"/>
        <w:jc w:val="left"/>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（一）听取残疾人意见，反映残疾人的需求，维护残疾人的合法权益，为残疾人服务。</w:t>
      </w:r>
    </w:p>
    <w:p>
      <w:pPr>
        <w:keepNext w:val="0"/>
        <w:keepLines w:val="0"/>
        <w:pageBreakBefore w:val="0"/>
        <w:widowControl/>
        <w:numPr>
          <w:ilvl w:val="0"/>
          <w:numId w:val="0"/>
        </w:numPr>
        <w:kinsoku/>
        <w:wordWrap/>
        <w:overflowPunct/>
        <w:topLinePunct w:val="0"/>
        <w:autoSpaceDE/>
        <w:autoSpaceDN/>
        <w:bidi w:val="0"/>
        <w:spacing w:line="600" w:lineRule="exact"/>
        <w:ind w:firstLine="640" w:firstLineChars="200"/>
        <w:jc w:val="both"/>
        <w:textAlignment w:val="auto"/>
        <w:rPr>
          <w:rFonts w:hint="eastAsia" w:ascii="楷体_GB2312" w:hAnsi="楷体_GB2312" w:eastAsia="楷体_GB2312" w:cs="楷体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（二）团结、教育残疾人遵纪守法，履行义务，发扬乐观进取精神，自尊、自信、自强、自立，为社会主义建设贡献力量。</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val="en-US" w:eastAsia="zh-CN"/>
        </w:rPr>
        <w:t>弘扬人道主义、宣传残疾人事业，沟通政府、社会与残疾人之间的联系，动员社会理解、尊重、关心、帮助残疾人。</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（四）开展残疾人康复、教育、劳动就业、文化、体育、科研 、用品用具供应、社会服务、无障碍设施和残疾预防工作；创造良好的环境和条件扶助残疾人平等参与社会生活。</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（五）协助政府研究和制定规章、措施、办法，实施残疾人事业的法规、政策，对有关业务进行管理和指导。</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（六）承担市政府残疾人工作协调委员会的日常工作，做好综合、协调、组织和服务。</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（七）指导和管理全市残疾人社团组织，培养残疾人工作者。</w:t>
      </w:r>
    </w:p>
    <w:p>
      <w:pPr>
        <w:pStyle w:val="6"/>
        <w:keepNext w:val="0"/>
        <w:keepLines w:val="0"/>
        <w:pageBreakBefore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（八）开展残疾人事业的国际交流与合作。</w:t>
      </w:r>
    </w:p>
    <w:p>
      <w:pPr>
        <w:widowControl/>
        <w:ind w:firstLine="640" w:firstLineChars="200"/>
        <w:jc w:val="left"/>
        <w:outlineLvl w:val="1"/>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（九）承办市委、市政府交办的其他事项。</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许昌市残疾人联合会内设机构3个，包括：</w:t>
      </w:r>
      <w:r>
        <w:rPr>
          <w:rFonts w:hint="eastAsia" w:ascii="仿宋_GB2312" w:hAnsi="仿宋_GB2312" w:eastAsia="仿宋_GB2312" w:cs="仿宋_GB2312"/>
          <w:b w:val="0"/>
          <w:bCs w:val="0"/>
          <w:color w:val="auto"/>
          <w:sz w:val="32"/>
          <w:szCs w:val="32"/>
          <w:highlight w:val="none"/>
          <w:lang w:val="en-US" w:eastAsia="zh-CN"/>
        </w:rPr>
        <w:t>办公室、康复部、教育就业部</w:t>
      </w:r>
      <w:r>
        <w:rPr>
          <w:rFonts w:hint="eastAsia" w:ascii="仿宋_GB2312" w:hAnsi="仿宋_GB2312" w:eastAsia="仿宋_GB2312" w:cs="仿宋_GB2312"/>
          <w:color w:val="auto"/>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从决算单位构成看，许昌市残疾人联合会部门决算包括：本级决算。</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本决算为汇总决算，纳入本部门2021年度部门决算编制范围的单位共1个，具体是：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1.许昌市残疾人联合会（本级）</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7"/>
        <w:tblW w:w="14070" w:type="dxa"/>
        <w:tblInd w:w="0" w:type="dxa"/>
        <w:tblLayout w:type="autofit"/>
        <w:tblCellMar>
          <w:top w:w="0" w:type="dxa"/>
          <w:left w:w="0" w:type="dxa"/>
          <w:bottom w:w="0" w:type="dxa"/>
          <w:right w:w="0" w:type="dxa"/>
        </w:tblCellMar>
      </w:tblPr>
      <w:tblGrid>
        <w:gridCol w:w="5429"/>
        <w:gridCol w:w="719"/>
        <w:gridCol w:w="1055"/>
        <w:gridCol w:w="5093"/>
        <w:gridCol w:w="719"/>
        <w:gridCol w:w="1055"/>
      </w:tblGrid>
      <w:tr>
        <w:tblPrEx>
          <w:tblCellMar>
            <w:top w:w="0" w:type="dxa"/>
            <w:left w:w="0" w:type="dxa"/>
            <w:bottom w:w="0" w:type="dxa"/>
            <w:right w:w="0" w:type="dxa"/>
          </w:tblCellMar>
        </w:tblPrEx>
        <w:trPr>
          <w:trHeight w:val="390" w:hRule="atLeast"/>
        </w:trPr>
        <w:tc>
          <w:tcPr>
            <w:tcW w:w="14070" w:type="dxa"/>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CellMar>
            <w:top w:w="0" w:type="dxa"/>
            <w:left w:w="0" w:type="dxa"/>
            <w:bottom w:w="0" w:type="dxa"/>
            <w:right w:w="0" w:type="dxa"/>
          </w:tblCellMar>
        </w:tblPrEx>
        <w:trPr>
          <w:trHeight w:val="255" w:hRule="atLeast"/>
        </w:trPr>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377.54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r>
      <w:tr>
        <w:tblPrEx>
          <w:tblCellMar>
            <w:top w:w="0" w:type="dxa"/>
            <w:left w:w="0" w:type="dxa"/>
            <w:bottom w:w="0" w:type="dxa"/>
            <w:right w:w="0" w:type="dxa"/>
          </w:tblCellMar>
        </w:tblPrEx>
        <w:trPr>
          <w:trHeight w:val="308" w:hRule="atLeast"/>
        </w:trPr>
        <w:tc>
          <w:tcPr>
            <w:tcW w:w="0" w:type="auto"/>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988" w:type="dxa"/>
        <w:tblInd w:w="0" w:type="dxa"/>
        <w:tblLayout w:type="autofit"/>
        <w:tblCellMar>
          <w:top w:w="0" w:type="dxa"/>
          <w:left w:w="0" w:type="dxa"/>
          <w:bottom w:w="0" w:type="dxa"/>
          <w:right w:w="0" w:type="dxa"/>
        </w:tblCellMar>
      </w:tblPr>
      <w:tblGrid>
        <w:gridCol w:w="64"/>
        <w:gridCol w:w="65"/>
        <w:gridCol w:w="852"/>
        <w:gridCol w:w="6408"/>
        <w:gridCol w:w="1540"/>
        <w:gridCol w:w="1540"/>
        <w:gridCol w:w="1063"/>
        <w:gridCol w:w="614"/>
        <w:gridCol w:w="614"/>
        <w:gridCol w:w="614"/>
        <w:gridCol w:w="614"/>
      </w:tblGrid>
      <w:tr>
        <w:tblPrEx>
          <w:tblCellMar>
            <w:top w:w="0" w:type="dxa"/>
            <w:left w:w="0" w:type="dxa"/>
            <w:bottom w:w="0" w:type="dxa"/>
            <w:right w:w="0" w:type="dxa"/>
          </w:tblCellMar>
        </w:tblPrEx>
        <w:trPr>
          <w:trHeight w:val="390" w:hRule="atLeast"/>
        </w:trPr>
        <w:tc>
          <w:tcPr>
            <w:tcW w:w="13988" w:type="dxa"/>
            <w:gridSpan w:val="11"/>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474"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5112" w:type="dxa"/>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76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76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1446"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7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7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7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727"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CellMar>
            <w:top w:w="0" w:type="dxa"/>
            <w:left w:w="0" w:type="dxa"/>
            <w:bottom w:w="0" w:type="dxa"/>
            <w:right w:w="0" w:type="dxa"/>
          </w:tblCellMar>
        </w:tblPrEx>
        <w:trPr>
          <w:trHeight w:val="308" w:hRule="atLeast"/>
        </w:trPr>
        <w:tc>
          <w:tcPr>
            <w:tcW w:w="1002"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5112" w:type="dxa"/>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11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112" w:type="dxa"/>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76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46"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27"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7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76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446"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7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7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7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727"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283.26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283.26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272.72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272.72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194.63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194.63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179.49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35.88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002" w:type="dxa"/>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5112" w:type="dxa"/>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1"/>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2075" w:type="dxa"/>
        <w:tblInd w:w="0" w:type="dxa"/>
        <w:tblLayout w:type="autofit"/>
        <w:tblCellMar>
          <w:top w:w="0" w:type="dxa"/>
          <w:left w:w="0" w:type="dxa"/>
          <w:bottom w:w="0" w:type="dxa"/>
          <w:right w:w="0" w:type="dxa"/>
        </w:tblCellMar>
      </w:tblPr>
      <w:tblGrid>
        <w:gridCol w:w="266"/>
        <w:gridCol w:w="266"/>
        <w:gridCol w:w="270"/>
        <w:gridCol w:w="5129"/>
        <w:gridCol w:w="1464"/>
        <w:gridCol w:w="1494"/>
        <w:gridCol w:w="1494"/>
        <w:gridCol w:w="782"/>
        <w:gridCol w:w="814"/>
        <w:gridCol w:w="751"/>
      </w:tblGrid>
      <w:tr>
        <w:tblPrEx>
          <w:tblCellMar>
            <w:top w:w="0" w:type="dxa"/>
            <w:left w:w="0" w:type="dxa"/>
            <w:bottom w:w="0" w:type="dxa"/>
            <w:right w:w="0" w:type="dxa"/>
          </w:tblCellMar>
        </w:tblPrEx>
        <w:trPr>
          <w:trHeight w:val="390" w:hRule="atLeast"/>
        </w:trPr>
        <w:tc>
          <w:tcPr>
            <w:tcW w:w="12075"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4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5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5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0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9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85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4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4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5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0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9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85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4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5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00"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4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85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392.94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271.42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121.52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515" w:type="dxa"/>
        <w:tblInd w:w="0" w:type="dxa"/>
        <w:tblLayout w:type="autofit"/>
        <w:tblCellMar>
          <w:top w:w="0" w:type="dxa"/>
          <w:left w:w="0" w:type="dxa"/>
          <w:bottom w:w="0" w:type="dxa"/>
          <w:right w:w="0" w:type="dxa"/>
        </w:tblCellMar>
      </w:tblPr>
      <w:tblGrid>
        <w:gridCol w:w="3465"/>
        <w:gridCol w:w="492"/>
        <w:gridCol w:w="1025"/>
        <w:gridCol w:w="4191"/>
        <w:gridCol w:w="492"/>
        <w:gridCol w:w="827"/>
        <w:gridCol w:w="1071"/>
        <w:gridCol w:w="1065"/>
        <w:gridCol w:w="887"/>
      </w:tblGrid>
      <w:tr>
        <w:tblPrEx>
          <w:tblCellMar>
            <w:top w:w="0" w:type="dxa"/>
            <w:left w:w="0" w:type="dxa"/>
            <w:bottom w:w="0" w:type="dxa"/>
            <w:right w:w="0" w:type="dxa"/>
          </w:tblCellMar>
        </w:tblPrEx>
        <w:trPr>
          <w:trHeight w:val="390" w:hRule="atLeast"/>
        </w:trPr>
        <w:tc>
          <w:tcPr>
            <w:tcW w:w="13515"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CellMar>
            <w:top w:w="0" w:type="dxa"/>
            <w:left w:w="0" w:type="dxa"/>
            <w:bottom w:w="0" w:type="dxa"/>
            <w:right w:w="0" w:type="dxa"/>
          </w:tblCellMar>
        </w:tblPrEx>
        <w:trPr>
          <w:trHeight w:val="255" w:hRule="atLeast"/>
        </w:trPr>
        <w:tc>
          <w:tcPr>
            <w:tcW w:w="0" w:type="auto"/>
            <w:gridSpan w:val="4"/>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CellMar>
            <w:top w:w="0" w:type="dxa"/>
            <w:left w:w="0" w:type="dxa"/>
            <w:bottom w:w="0" w:type="dxa"/>
            <w:right w:w="0" w:type="dxa"/>
          </w:tblCellMar>
        </w:tblPrEx>
        <w:trPr>
          <w:trHeight w:val="292" w:hRule="atLeast"/>
        </w:trPr>
        <w:tc>
          <w:tcPr>
            <w:tcW w:w="2820"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2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7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9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3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23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CellMar>
            <w:top w:w="0" w:type="dxa"/>
            <w:left w:w="0" w:type="dxa"/>
            <w:bottom w:w="0" w:type="dxa"/>
            <w:right w:w="0" w:type="dxa"/>
          </w:tblCellMar>
        </w:tblPrEx>
        <w:trPr>
          <w:trHeight w:val="615" w:hRule="atLeast"/>
        </w:trPr>
        <w:tc>
          <w:tcPr>
            <w:tcW w:w="2820"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66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57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9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3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b/>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0"/>
                <w:szCs w:val="20"/>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283.26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391.94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109.69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8"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392.94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391.94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585" w:hRule="atLeast"/>
        </w:trPr>
        <w:tc>
          <w:tcPr>
            <w:tcW w:w="13515" w:type="dxa"/>
            <w:gridSpan w:val="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1085" w:type="dxa"/>
        <w:tblInd w:w="0" w:type="dxa"/>
        <w:tblLayout w:type="autofit"/>
        <w:tblCellMar>
          <w:top w:w="0" w:type="dxa"/>
          <w:left w:w="0" w:type="dxa"/>
          <w:bottom w:w="0" w:type="dxa"/>
          <w:right w:w="0" w:type="dxa"/>
        </w:tblCellMar>
      </w:tblPr>
      <w:tblGrid>
        <w:gridCol w:w="266"/>
        <w:gridCol w:w="266"/>
        <w:gridCol w:w="270"/>
        <w:gridCol w:w="5221"/>
        <w:gridCol w:w="2040"/>
        <w:gridCol w:w="1853"/>
        <w:gridCol w:w="1821"/>
      </w:tblGrid>
      <w:tr>
        <w:tblPrEx>
          <w:tblCellMar>
            <w:top w:w="0" w:type="dxa"/>
            <w:left w:w="0" w:type="dxa"/>
            <w:bottom w:w="0" w:type="dxa"/>
            <w:right w:w="0" w:type="dxa"/>
          </w:tblCellMar>
        </w:tblPrEx>
        <w:trPr>
          <w:trHeight w:val="390" w:hRule="atLeast"/>
        </w:trPr>
        <w:tc>
          <w:tcPr>
            <w:tcW w:w="11085" w:type="dxa"/>
            <w:gridSpan w:val="7"/>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165"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9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9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CellMar>
            <w:top w:w="0" w:type="dxa"/>
            <w:left w:w="0" w:type="dxa"/>
            <w:bottom w:w="0" w:type="dxa"/>
            <w:right w:w="0"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9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391.94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271.42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120.52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45.57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14.46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残疾人事业</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82.66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211.45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40.52</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其他残疾人事业支出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42.14</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37.86</w:t>
            </w: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7.90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4220" w:type="dxa"/>
        <w:tblInd w:w="0" w:type="dxa"/>
        <w:tblLayout w:type="autofit"/>
        <w:tblCellMar>
          <w:top w:w="0" w:type="dxa"/>
          <w:left w:w="0" w:type="dxa"/>
          <w:bottom w:w="0" w:type="dxa"/>
          <w:right w:w="0" w:type="dxa"/>
        </w:tblCellMar>
      </w:tblPr>
      <w:tblGrid>
        <w:gridCol w:w="703"/>
        <w:gridCol w:w="3330"/>
        <w:gridCol w:w="876"/>
        <w:gridCol w:w="703"/>
        <w:gridCol w:w="2230"/>
        <w:gridCol w:w="732"/>
        <w:gridCol w:w="703"/>
        <w:gridCol w:w="4210"/>
        <w:gridCol w:w="735"/>
      </w:tblGrid>
      <w:tr>
        <w:tblPrEx>
          <w:tblCellMar>
            <w:top w:w="0" w:type="dxa"/>
            <w:left w:w="0" w:type="dxa"/>
            <w:bottom w:w="0" w:type="dxa"/>
            <w:right w:w="0" w:type="dxa"/>
          </w:tblCellMar>
        </w:tblPrEx>
        <w:trPr>
          <w:trHeight w:val="390" w:hRule="atLeast"/>
        </w:trPr>
        <w:tc>
          <w:tcPr>
            <w:tcW w:w="14220" w:type="dxa"/>
            <w:gridSpan w:val="9"/>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CellMar>
            <w:top w:w="0" w:type="dxa"/>
            <w:left w:w="0" w:type="dxa"/>
            <w:bottom w:w="0" w:type="dxa"/>
            <w:right w:w="0"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98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20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39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0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98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220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5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73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339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0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190.34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28.48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50.54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0.18</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10.85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11.66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9.61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222.23</w:t>
            </w:r>
          </w:p>
        </w:tc>
        <w:tc>
          <w:tcPr>
            <w:tcW w:w="0" w:type="auto"/>
            <w:gridSpan w:val="5"/>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49.20</w:t>
            </w:r>
          </w:p>
        </w:tc>
      </w:tr>
      <w:tr>
        <w:tblPrEx>
          <w:tblCellMar>
            <w:top w:w="0" w:type="dxa"/>
            <w:left w:w="0" w:type="dxa"/>
            <w:bottom w:w="0" w:type="dxa"/>
            <w:right w:w="0" w:type="dxa"/>
          </w:tblCellMar>
        </w:tblPrEx>
        <w:trPr>
          <w:trHeight w:val="308" w:hRule="atLeast"/>
        </w:trPr>
        <w:tc>
          <w:tcPr>
            <w:tcW w:w="0" w:type="auto"/>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7"/>
        <w:tblW w:w="13500" w:type="dxa"/>
        <w:tblInd w:w="0" w:type="dxa"/>
        <w:tblLayout w:type="autofit"/>
        <w:tblCellMar>
          <w:top w:w="0" w:type="dxa"/>
          <w:left w:w="0" w:type="dxa"/>
          <w:bottom w:w="0" w:type="dxa"/>
          <w:right w:w="0" w:type="dxa"/>
        </w:tblCellMar>
      </w:tblPr>
      <w:tblGrid>
        <w:gridCol w:w="1125"/>
        <w:gridCol w:w="1125"/>
        <w:gridCol w:w="1125"/>
        <w:gridCol w:w="1125"/>
        <w:gridCol w:w="1125"/>
        <w:gridCol w:w="1125"/>
        <w:gridCol w:w="1125"/>
        <w:gridCol w:w="1125"/>
        <w:gridCol w:w="1125"/>
        <w:gridCol w:w="1125"/>
        <w:gridCol w:w="1125"/>
        <w:gridCol w:w="1125"/>
      </w:tblGrid>
      <w:tr>
        <w:tblPrEx>
          <w:tblCellMar>
            <w:top w:w="0" w:type="dxa"/>
            <w:left w:w="0" w:type="dxa"/>
            <w:bottom w:w="0" w:type="dxa"/>
            <w:right w:w="0" w:type="dxa"/>
          </w:tblCellMar>
        </w:tblPrEx>
        <w:trPr>
          <w:trHeight w:val="540" w:hRule="atLeast"/>
        </w:trPr>
        <w:tc>
          <w:tcPr>
            <w:tcW w:w="13500" w:type="dxa"/>
            <w:gridSpan w:val="12"/>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44"/>
                <w:szCs w:val="44"/>
                <w:highlight w:val="none"/>
                <w:u w:val="none"/>
              </w:rPr>
            </w:pPr>
            <w:r>
              <w:rPr>
                <w:rFonts w:hint="eastAsia" w:ascii="宋体" w:hAnsi="宋体" w:eastAsia="宋体" w:cs="宋体"/>
                <w:i w:val="0"/>
                <w:color w:val="auto"/>
                <w:kern w:val="0"/>
                <w:sz w:val="44"/>
                <w:szCs w:val="44"/>
                <w:highlight w:val="none"/>
                <w:u w:val="none"/>
                <w:lang w:val="en-US" w:eastAsia="zh-CN" w:bidi="ar"/>
              </w:rPr>
              <w:t>一般公共预算财政拨款“三公”经费支出决算表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tblCellMar>
            <w:top w:w="0" w:type="dxa"/>
            <w:left w:w="0" w:type="dxa"/>
            <w:bottom w:w="0" w:type="dxa"/>
            <w:right w:w="0" w:type="dxa"/>
          </w:tblCellMar>
        </w:tblPrEx>
        <w:trPr>
          <w:trHeight w:val="255" w:hRule="atLeast"/>
        </w:trPr>
        <w:tc>
          <w:tcPr>
            <w:tcW w:w="0" w:type="auto"/>
            <w:gridSpan w:val="6"/>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3"/>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6750"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750" w:type="dxa"/>
            <w:gridSpan w:val="6"/>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CellMar>
            <w:top w:w="0" w:type="dxa"/>
            <w:left w:w="0" w:type="dxa"/>
            <w:bottom w:w="0" w:type="dxa"/>
            <w:right w:w="0" w:type="dxa"/>
          </w:tblCellMar>
        </w:tblPrEx>
        <w:trPr>
          <w:trHeight w:val="308" w:hRule="atLeast"/>
        </w:trPr>
        <w:tc>
          <w:tcPr>
            <w:tcW w:w="1125"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375" w:type="dxa"/>
            <w:gridSpan w:val="3"/>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12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tblCellMar>
            <w:top w:w="0" w:type="dxa"/>
            <w:left w:w="0" w:type="dxa"/>
            <w:bottom w:w="0" w:type="dxa"/>
            <w:right w:w="0" w:type="dxa"/>
          </w:tblCellMar>
        </w:tblPrEx>
        <w:trPr>
          <w:trHeight w:val="615" w:hRule="atLeast"/>
        </w:trPr>
        <w:tc>
          <w:tcPr>
            <w:tcW w:w="1125"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12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1125"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125" w:type="dxa"/>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0.40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615" w:hRule="atLeast"/>
        </w:trPr>
        <w:tc>
          <w:tcPr>
            <w:tcW w:w="13500" w:type="dxa"/>
            <w:gridSpan w:val="12"/>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7"/>
        <w:tblW w:w="12795" w:type="dxa"/>
        <w:tblInd w:w="0" w:type="dxa"/>
        <w:tblLayout w:type="autofit"/>
        <w:tblCellMar>
          <w:top w:w="0" w:type="dxa"/>
          <w:left w:w="0" w:type="dxa"/>
          <w:bottom w:w="0" w:type="dxa"/>
          <w:right w:w="0" w:type="dxa"/>
        </w:tblCellMar>
      </w:tblPr>
      <w:tblGrid>
        <w:gridCol w:w="266"/>
        <w:gridCol w:w="266"/>
        <w:gridCol w:w="270"/>
        <w:gridCol w:w="5231"/>
        <w:gridCol w:w="1201"/>
        <w:gridCol w:w="1366"/>
        <w:gridCol w:w="1366"/>
        <w:gridCol w:w="1102"/>
        <w:gridCol w:w="1267"/>
        <w:gridCol w:w="1103"/>
      </w:tblGrid>
      <w:tr>
        <w:tblPrEx>
          <w:tblCellMar>
            <w:top w:w="0" w:type="dxa"/>
            <w:left w:w="0" w:type="dxa"/>
            <w:bottom w:w="0" w:type="dxa"/>
            <w:right w:w="0" w:type="dxa"/>
          </w:tblCellMar>
        </w:tblPrEx>
        <w:trPr>
          <w:trHeight w:val="390" w:hRule="atLeast"/>
        </w:trPr>
        <w:tc>
          <w:tcPr>
            <w:tcW w:w="12795" w:type="dxa"/>
            <w:gridSpan w:val="10"/>
            <w:tcBorders>
              <w:top w:val="nil"/>
              <w:left w:val="nil"/>
              <w:bottom w:val="nil"/>
              <w:right w:val="nil"/>
            </w:tcBorders>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eastAsia"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CellMar>
            <w:top w:w="0" w:type="dxa"/>
            <w:left w:w="0" w:type="dxa"/>
            <w:bottom w:w="0" w:type="dxa"/>
            <w:right w:w="0" w:type="dxa"/>
          </w:tblCellMar>
        </w:tblPrEx>
        <w:trPr>
          <w:trHeight w:val="255" w:hRule="atLeast"/>
        </w:trPr>
        <w:tc>
          <w:tcPr>
            <w:tcW w:w="0" w:type="auto"/>
            <w:gridSpan w:val="5"/>
            <w:tcBorders>
              <w:top w:val="nil"/>
              <w:left w:val="nil"/>
              <w:bottom w:val="nil"/>
              <w:right w:val="nil"/>
            </w:tcBorders>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部门：许昌市残疾人联合会（本级）</w:t>
            </w: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gridSpan w:val="2"/>
            <w:tcBorders>
              <w:top w:val="nil"/>
              <w:left w:val="nil"/>
              <w:bottom w:val="nil"/>
              <w:right w:val="nil"/>
            </w:tcBorders>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CellMar>
            <w:top w:w="0" w:type="dxa"/>
            <w:left w:w="0" w:type="dxa"/>
            <w:bottom w:w="0" w:type="dxa"/>
            <w:right w:w="0"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380"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3870" w:type="dxa"/>
            <w:gridSpan w:val="3"/>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245"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CellMar>
            <w:top w:w="0" w:type="dxa"/>
            <w:left w:w="0" w:type="dxa"/>
            <w:bottom w:w="0" w:type="dxa"/>
            <w:right w:w="0"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24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45" w:type="dxa"/>
            <w:vMerge w:val="restart"/>
            <w:tcBorders>
              <w:top w:val="nil"/>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nil"/>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c>
          <w:tcPr>
            <w:tcW w:w="1245"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2296006</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用于残疾人事业的彩票公益金支出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1.00</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0" w:type="auto"/>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r>
        <w:tblPrEx>
          <w:tblCellMar>
            <w:top w:w="0" w:type="dxa"/>
            <w:left w:w="0" w:type="dxa"/>
            <w:bottom w:w="0" w:type="dxa"/>
            <w:right w:w="0" w:type="dxa"/>
          </w:tblCellMar>
        </w:tblPrEx>
        <w:trPr>
          <w:trHeight w:val="255" w:hRule="atLeast"/>
        </w:trPr>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noWrap/>
            <w:tcMar>
              <w:top w:w="15" w:type="dxa"/>
              <w:left w:w="15" w:type="dxa"/>
              <w:right w:w="15" w:type="dxa"/>
            </w:tcMar>
            <w:vAlign w:val="bottom"/>
          </w:tcPr>
          <w:p>
            <w:pPr>
              <w:rPr>
                <w:rFonts w:hint="default" w:ascii="Arial" w:hAnsi="Arial" w:cs="Arial"/>
                <w:i w:val="0"/>
                <w:color w:val="auto"/>
                <w:sz w:val="20"/>
                <w:szCs w:val="20"/>
                <w:highlight w:val="none"/>
                <w:u w:val="none"/>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392.94</w:t>
      </w:r>
      <w:r>
        <w:rPr>
          <w:rFonts w:hint="eastAsia" w:ascii="仿宋_GB2312" w:hAnsi="仿宋_GB2312" w:eastAsia="仿宋_GB2312" w:cs="仿宋_GB2312"/>
          <w:color w:val="auto"/>
          <w:sz w:val="32"/>
          <w:szCs w:val="32"/>
          <w:highlight w:val="none"/>
        </w:rPr>
        <w:t>万元。与上年度相比，收、支总计各减少</w:t>
      </w:r>
      <w:r>
        <w:rPr>
          <w:rFonts w:hint="eastAsia" w:ascii="仿宋_GB2312" w:hAnsi="仿宋_GB2312" w:eastAsia="仿宋_GB2312" w:cs="仿宋_GB2312"/>
          <w:color w:val="auto"/>
          <w:sz w:val="32"/>
          <w:szCs w:val="32"/>
          <w:highlight w:val="none"/>
          <w:lang w:val="en-US" w:eastAsia="zh-CN"/>
        </w:rPr>
        <w:t>297.17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43.06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中央及省级残疾人事业发展补助转移支付资金直接拨付至各县、市区残联</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283.26</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283.26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%；经营收入万元，占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392.94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271.42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69.07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121.52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30.93</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392.94</w:t>
      </w:r>
      <w:r>
        <w:rPr>
          <w:rFonts w:hint="eastAsia" w:ascii="仿宋_GB2312" w:hAnsi="仿宋_GB2312" w:eastAsia="仿宋_GB2312" w:cs="仿宋_GB2312"/>
          <w:color w:val="auto"/>
          <w:sz w:val="32"/>
          <w:szCs w:val="32"/>
          <w:highlight w:val="none"/>
        </w:rPr>
        <w:t>万元。与上年度相比，财政拨款收、支总计各减少</w:t>
      </w:r>
      <w:r>
        <w:rPr>
          <w:rFonts w:hint="eastAsia" w:ascii="仿宋_GB2312" w:hAnsi="仿宋_GB2312" w:eastAsia="仿宋_GB2312" w:cs="仿宋_GB2312"/>
          <w:color w:val="auto"/>
          <w:sz w:val="32"/>
          <w:szCs w:val="32"/>
          <w:highlight w:val="none"/>
          <w:lang w:val="en-US" w:eastAsia="zh-CN"/>
        </w:rPr>
        <w:t>297.16</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43.06</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中央及省级残疾人事业发展补助转移支付资金直接拨付至各县、市区残联</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391.94</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99.75</w:t>
      </w:r>
      <w:r>
        <w:rPr>
          <w:rFonts w:hint="eastAsia" w:ascii="仿宋_GB2312" w:hAnsi="仿宋_GB2312" w:eastAsia="仿宋_GB2312" w:cs="仿宋_GB2312"/>
          <w:color w:val="auto"/>
          <w:sz w:val="32"/>
          <w:szCs w:val="32"/>
          <w:highlight w:val="none"/>
        </w:rPr>
        <w:t>%。与上年度相比，一般公共预算财政拨款支出减少</w:t>
      </w:r>
      <w:r>
        <w:rPr>
          <w:rFonts w:hint="eastAsia" w:ascii="仿宋_GB2312" w:hAnsi="仿宋_GB2312" w:eastAsia="仿宋_GB2312" w:cs="仿宋_GB2312"/>
          <w:color w:val="auto"/>
          <w:sz w:val="32"/>
          <w:szCs w:val="32"/>
          <w:highlight w:val="none"/>
          <w:lang w:val="en-US" w:eastAsia="zh-CN"/>
        </w:rPr>
        <w:t>193.41</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33.04</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项目收入减少。</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391.94</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0.92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支出377.54万元，占96.33%；卫生健康</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支出13.48万元，占3.43%。</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356.83</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391.94</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109.84</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一般公共服务支出（类）群众团体事务（款）工会事务（项）</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0.92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社会保障和就业支出（类）行政事业单位养老支出（款）行政单位离退休（项）。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31.10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31.12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100.06</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w:t>
      </w:r>
      <w:r>
        <w:rPr>
          <w:rFonts w:hint="eastAsia" w:ascii="仿宋_GB2312" w:hAnsi="仿宋_GB2312" w:eastAsia="仿宋_GB2312" w:cs="仿宋_GB2312"/>
          <w:color w:val="auto"/>
          <w:sz w:val="32"/>
          <w:szCs w:val="32"/>
          <w:highlight w:val="none"/>
          <w:lang w:val="en-US" w:eastAsia="zh-CN"/>
        </w:rPr>
        <w:t>存在差异的主要原因是离退休人员待遇调整</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u w:val="none"/>
          <w:lang w:val="en-US" w:eastAsia="zh-CN"/>
        </w:rPr>
        <w:t>社会保障和就业支出（</w:t>
      </w:r>
      <w:r>
        <w:rPr>
          <w:rFonts w:hint="eastAsia" w:ascii="仿宋_GB2312" w:hAnsi="仿宋_GB2312" w:eastAsia="仿宋_GB2312" w:cs="仿宋_GB2312"/>
          <w:b/>
          <w:bCs/>
          <w:color w:val="auto"/>
          <w:sz w:val="32"/>
          <w:szCs w:val="32"/>
          <w:highlight w:val="none"/>
          <w:lang w:val="en-US" w:eastAsia="zh-CN"/>
        </w:rPr>
        <w:t>类</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lang w:val="en-US" w:eastAsia="zh-CN"/>
        </w:rPr>
        <w:t>行政事业单位养老支出（款）机关事业单位基本养老保险缴费支出（项）。</w:t>
      </w:r>
      <w:r>
        <w:rPr>
          <w:rFonts w:hint="eastAsia" w:ascii="仿宋_GB2312" w:hAnsi="仿宋_GB2312" w:eastAsia="仿宋_GB2312" w:cs="仿宋_GB2312"/>
          <w:color w:val="auto"/>
          <w:sz w:val="32"/>
          <w:szCs w:val="32"/>
          <w:highlight w:val="none"/>
          <w:lang w:val="en-US" w:eastAsia="zh-CN"/>
        </w:rPr>
        <w:t>年初预算为11.12万元，支出决算为14.46万元，完成年初预算的130.04%。决算数与年初预算数存在差异的主要原因是年底各种保险未缴纳</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4．社会保障和就业支出（类）残疾人事业（款）行政运行（项）。</w:t>
      </w:r>
      <w:r>
        <w:rPr>
          <w:rFonts w:hint="eastAsia" w:ascii="仿宋_GB2312" w:hAnsi="仿宋_GB2312" w:eastAsia="仿宋_GB2312" w:cs="仿宋_GB2312"/>
          <w:color w:val="auto"/>
          <w:sz w:val="32"/>
          <w:szCs w:val="32"/>
          <w:highlight w:val="none"/>
          <w:lang w:val="en-US" w:eastAsia="zh-CN"/>
        </w:rPr>
        <w:t>年初预算为181.73万元，支出决算为211.45万元，完成年初预算的116.35%。决算数与年初预算数存在差异的主要原因是经费有结余。</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5．社会保障和就业支出（类）残疾人事业（款）一般行政管理事务（项）。</w:t>
      </w:r>
      <w:r>
        <w:rPr>
          <w:rFonts w:hint="eastAsia" w:ascii="仿宋_GB2312" w:hAnsi="仿宋_GB2312" w:eastAsia="仿宋_GB2312" w:cs="仿宋_GB2312"/>
          <w:color w:val="auto"/>
          <w:sz w:val="32"/>
          <w:szCs w:val="32"/>
          <w:highlight w:val="none"/>
          <w:lang w:val="en-US" w:eastAsia="zh-CN"/>
        </w:rPr>
        <w:t>年初预算为40.52万元，支出决算为40.52万元。成年初预算的100.00%。决算数与年初预算数不存在差异。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6．社会保障和就业支出（类）残疾人事业（款）其他残疾人事业支出（项）。</w:t>
      </w:r>
      <w:r>
        <w:rPr>
          <w:rFonts w:hint="eastAsia" w:ascii="仿宋_GB2312" w:hAnsi="仿宋_GB2312" w:eastAsia="仿宋_GB2312" w:cs="仿宋_GB2312"/>
          <w:color w:val="auto"/>
          <w:sz w:val="32"/>
          <w:szCs w:val="32"/>
          <w:highlight w:val="none"/>
          <w:lang w:val="en-US" w:eastAsia="zh-CN"/>
        </w:rPr>
        <w:t>年初预算为42.14万元，支出决算为42.14万元。完成年初预算的100.00%。决算数与年初预算数不存在差异。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年初预算为37.86万元，支出决算为37.86万元。完成年初预算的100%。决算数与年初预算数不存在差异。</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8．卫生健康支出（类）行政事业单位医疗（款）行政单位医疗（项）。</w:t>
      </w:r>
      <w:r>
        <w:rPr>
          <w:rFonts w:hint="eastAsia" w:ascii="仿宋_GB2312" w:hAnsi="仿宋_GB2312" w:eastAsia="仿宋_GB2312" w:cs="仿宋_GB2312"/>
          <w:color w:val="auto"/>
          <w:sz w:val="32"/>
          <w:szCs w:val="32"/>
          <w:highlight w:val="none"/>
          <w:lang w:val="en-US" w:eastAsia="zh-CN"/>
        </w:rPr>
        <w:t>年初预算为5.86万元，支出决算为7.90万元，完成年初预算的134.81%。决算数与年初预算数存在差异的主要原因是年底缴纳各种保险费。</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9．卫生健康支出（类）行政事业单位医疗（款）公务员医疗补助（项）。</w:t>
      </w:r>
      <w:r>
        <w:rPr>
          <w:rFonts w:hint="eastAsia" w:ascii="仿宋_GB2312" w:hAnsi="仿宋_GB2312" w:eastAsia="仿宋_GB2312" w:cs="仿宋_GB2312"/>
          <w:color w:val="auto"/>
          <w:sz w:val="32"/>
          <w:szCs w:val="32"/>
          <w:highlight w:val="none"/>
          <w:lang w:val="en-US" w:eastAsia="zh-CN"/>
        </w:rPr>
        <w:t>年初预算为5.58万元，支出决算为5.58万元，完成年初预算的100%。决算数与年初预算数不存在差异。</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271.43</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222.23</w:t>
      </w:r>
      <w:r>
        <w:rPr>
          <w:rFonts w:hint="eastAsia" w:ascii="仿宋_GB2312" w:hAnsi="仿宋_GB2312" w:eastAsia="仿宋_GB2312" w:cs="仿宋_GB2312"/>
          <w:color w:val="auto"/>
          <w:sz w:val="32"/>
          <w:szCs w:val="32"/>
          <w:highlight w:val="none"/>
        </w:rPr>
        <w:t>万元，主要包括：</w:t>
      </w:r>
      <w:r>
        <w:rPr>
          <w:rFonts w:hint="eastAsia" w:ascii="仿宋_GB2312" w:hAnsi="仿宋_GB2312" w:eastAsia="仿宋_GB2312" w:cs="仿宋_GB2312"/>
          <w:color w:val="auto"/>
          <w:sz w:val="32"/>
          <w:szCs w:val="32"/>
          <w:highlight w:val="none"/>
          <w:lang w:val="zh-CN" w:eastAsia="zh-CN"/>
        </w:rPr>
        <w:t>主要包括：基本工资、津贴补贴、绩效工资、机关事业单位基本养老保险缴费、职业年金缴费、其他社会保障缴费、其他工资福利支出、退休费、抚恤金、奖励金、住房公积金、采暖补贴、物业服务补贴、其他对个人和家庭的补助支出；公用经费</w:t>
      </w:r>
      <w:r>
        <w:rPr>
          <w:rFonts w:hint="eastAsia" w:ascii="仿宋_GB2312" w:hAnsi="仿宋_GB2312" w:eastAsia="仿宋_GB2312" w:cs="仿宋_GB2312"/>
          <w:color w:val="auto"/>
          <w:sz w:val="32"/>
          <w:szCs w:val="32"/>
          <w:highlight w:val="none"/>
          <w:lang w:val="en-US" w:eastAsia="zh-CN"/>
        </w:rPr>
        <w:t>49.20</w:t>
      </w:r>
      <w:r>
        <w:rPr>
          <w:rFonts w:hint="eastAsia" w:ascii="仿宋_GB2312" w:hAnsi="仿宋_GB2312" w:eastAsia="仿宋_GB2312" w:cs="仿宋_GB2312"/>
          <w:color w:val="auto"/>
          <w:sz w:val="32"/>
          <w:szCs w:val="32"/>
          <w:highlight w:val="none"/>
          <w:lang w:val="zh-CN" w:eastAsia="zh-CN"/>
        </w:rPr>
        <w:t>万元，主要包括：办公费、电费、邮电费、差旅费、维修（护）费、租赁费、会议费、公务接待费、工会经费、福利费、公务用车运行维护费。</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5.40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26.11</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val="en-US" w:eastAsia="zh-CN"/>
        </w:rPr>
        <w:t>严格落实上级过紧日子的要求，压减非必要支出。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1.41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28.20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1．因公出国（境）费</w:t>
      </w:r>
      <w:r>
        <w:rPr>
          <w:rFonts w:hint="eastAsia" w:ascii="仿宋_GB2312" w:hAnsi="仿宋_GB2312" w:eastAsia="仿宋_GB2312" w:cs="仿宋_GB2312"/>
          <w:color w:val="auto"/>
          <w:sz w:val="32"/>
          <w:szCs w:val="32"/>
          <w:highlight w:val="none"/>
          <w:lang w:val="en-US" w:eastAsia="zh-CN"/>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1.41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28.20</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val="en-US" w:eastAsia="zh-CN"/>
        </w:rPr>
        <w:t>严格落实上级过紧日子的要求，压减非必要支出。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公务用车购置支出</w:t>
      </w:r>
      <w:r>
        <w:rPr>
          <w:rFonts w:hint="eastAsia" w:ascii="仿宋_GB2312" w:hAnsi="仿宋_GB2312" w:eastAsia="仿宋_GB2312" w:cs="仿宋_GB2312"/>
          <w:color w:val="auto"/>
          <w:sz w:val="32"/>
          <w:szCs w:val="32"/>
          <w:highlight w:val="none"/>
          <w:lang w:val="en-US" w:eastAsia="zh-CN"/>
        </w:rPr>
        <w:t>0.00万元，购置车辆0辆。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1.41</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主要用于车辆燃油费、维修费、保险费、过路费。2021年期末，部门开支财政拨款的公务用车保有量为</w:t>
      </w:r>
      <w:r>
        <w:rPr>
          <w:rFonts w:hint="eastAsia" w:ascii="仿宋_GB2312" w:hAnsi="仿宋_GB2312" w:eastAsia="仿宋_GB2312" w:cs="仿宋_GB2312"/>
          <w:color w:val="auto"/>
          <w:sz w:val="30"/>
          <w:szCs w:val="30"/>
          <w:highlight w:val="none"/>
          <w:lang w:val="en-US" w:eastAsia="zh-CN"/>
        </w:rPr>
        <w:t>1</w:t>
      </w:r>
      <w:r>
        <w:rPr>
          <w:rFonts w:hint="eastAsia" w:ascii="仿宋_GB2312" w:hAnsi="仿宋_GB2312" w:eastAsia="仿宋_GB2312" w:cs="仿宋_GB2312"/>
          <w:color w:val="auto"/>
          <w:sz w:val="32"/>
          <w:szCs w:val="32"/>
          <w:highlight w:val="none"/>
          <w:lang w:val="en-US" w:eastAsia="zh-CN"/>
        </w:rPr>
        <w:t>辆。</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完成年初预算的0.00%。</w:t>
      </w:r>
      <w:r>
        <w:rPr>
          <w:rFonts w:hint="eastAsia" w:ascii="仿宋_GB2312" w:hAnsi="仿宋_GB2312" w:eastAsia="仿宋_GB2312" w:cs="仿宋_GB2312"/>
          <w:color w:val="auto"/>
          <w:sz w:val="32"/>
          <w:szCs w:val="32"/>
          <w:highlight w:val="none"/>
        </w:rPr>
        <w:t>决算数与预算数存在差异的主要原因</w:t>
      </w:r>
      <w:r>
        <w:rPr>
          <w:rFonts w:hint="eastAsia" w:ascii="仿宋_GB2312" w:hAnsi="仿宋_GB2312" w:eastAsia="仿宋_GB2312" w:cs="仿宋_GB2312"/>
          <w:color w:val="auto"/>
          <w:sz w:val="32"/>
          <w:szCs w:val="32"/>
          <w:highlight w:val="none"/>
          <w:lang w:val="en-US" w:eastAsia="zh-CN"/>
        </w:rPr>
        <w:t>是严格落实上级过紧日子的要求，压减非必要支出</w:t>
      </w:r>
      <w:r>
        <w:rPr>
          <w:rFonts w:hint="eastAsia" w:ascii="仿宋_GB2312" w:hAnsi="仿宋_GB2312" w:eastAsia="仿宋_GB2312" w:cs="仿宋_GB2312"/>
          <w:color w:val="auto"/>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lang w:val="en-US" w:eastAsia="zh-CN"/>
        </w:rPr>
        <w:t>0.00万元。主要用于外宾接待支出。2021年共接待国（境）外来访团组0个、来访外宾0人次（不包括陪同人员）。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外宾接待支出</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主要用于</w:t>
      </w:r>
      <w:r>
        <w:rPr>
          <w:rFonts w:hint="eastAsia" w:ascii="仿宋_GB2312" w:hAnsi="仿宋_GB2312" w:eastAsia="仿宋_GB2312" w:cs="仿宋_GB2312"/>
          <w:color w:val="auto"/>
          <w:sz w:val="32"/>
          <w:szCs w:val="32"/>
          <w:highlight w:val="none"/>
          <w:lang w:val="en-US" w:eastAsia="zh-CN"/>
        </w:rPr>
        <w:t>残疾人康复救助、评定补贴、燃油补贴、辅助器具购置等残疾人事业发展补助支出，不存在项目年末结转和结余数额较大。</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29.86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49.20</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164.77</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使用年初结转结余</w:t>
      </w:r>
      <w:r>
        <w:rPr>
          <w:rFonts w:hint="eastAsia" w:ascii="仿宋_GB2312" w:hAnsi="仿宋_GB2312" w:eastAsia="仿宋_GB2312" w:cs="仿宋_GB2312"/>
          <w:color w:val="auto"/>
          <w:sz w:val="32"/>
          <w:szCs w:val="32"/>
          <w:highlight w:val="none"/>
          <w:lang w:val="en-US" w:eastAsia="zh-CN"/>
        </w:rPr>
        <w:t>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2021年期末，我部门共有车辆2辆，其中：省级领导干部用车0辆、主要领导干部用车0辆、机要通信用车2辆、应急保障车0辆、执法执勤用车0辆、特种专业技术用车0辆、离退休干部用车0辆、其他用车0辆；单位价值5</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.00万元以上通用设备0台（套），单位价值10</w:t>
      </w:r>
      <w:r>
        <w:rPr>
          <w:rFonts w:hint="eastAsia" w:ascii="仿宋_GB2312" w:hAnsi="仿宋_GB2312" w:eastAsia="仿宋_GB2312" w:cs="仿宋_GB2312"/>
          <w:color w:val="auto"/>
          <w:sz w:val="32"/>
          <w:szCs w:val="32"/>
          <w:highlight w:val="none"/>
          <w:lang w:val="zh-CN" w:eastAsia="zh-CN"/>
        </w:rPr>
        <w:t>0</w:t>
      </w:r>
      <w:r>
        <w:rPr>
          <w:rFonts w:hint="eastAsia" w:ascii="仿宋_GB2312" w:hAnsi="仿宋_GB2312" w:eastAsia="仿宋_GB2312" w:cs="仿宋_GB2312"/>
          <w:color w:val="auto"/>
          <w:sz w:val="32"/>
          <w:szCs w:val="32"/>
          <w:highlight w:val="none"/>
          <w:lang w:val="en-US" w:eastAsia="zh-CN"/>
        </w:rPr>
        <w:t>.00万元以上专用设备0台（套）。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391.94万元，其中：基本支出271.42万元；支出项目4个，支出金额121.52万元。开展项目绩效自评项目自评项目4个，自评金额121.52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1"/>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按照《许昌市财政局关于开展2021年度市级预算绩效自评工作的通知》（许财效〔2022〕1号）等文件精神，我单位对本单位整体绩效目标和项目支出绩效目标进行了自评。一是单位整体绩效自评情况，2021年，</w:t>
      </w:r>
      <w:r>
        <w:rPr>
          <w:rFonts w:hint="eastAsia" w:ascii="仿宋_GB2312" w:hAnsi="仿宋_GB2312" w:eastAsia="仿宋_GB2312" w:cs="仿宋_GB2312"/>
          <w:color w:val="auto"/>
          <w:sz w:val="32"/>
          <w:szCs w:val="32"/>
          <w:highlight w:val="none"/>
          <w:lang w:eastAsia="zh-CN"/>
        </w:rPr>
        <w:t>我部门</w:t>
      </w:r>
      <w:r>
        <w:rPr>
          <w:rFonts w:hint="eastAsia" w:ascii="仿宋_GB2312" w:hAnsi="仿宋_GB2312" w:eastAsia="仿宋_GB2312" w:cs="仿宋_GB2312"/>
          <w:color w:val="000000"/>
          <w:sz w:val="32"/>
          <w:szCs w:val="32"/>
          <w:highlight w:val="none"/>
          <w:lang w:val="en-US" w:eastAsia="zh-CN"/>
        </w:rPr>
        <w:t>对残疾儿童康复救助、残疾人康复教育就业服务中心运行费、市直机关、社会团体、事业单位应缴残疾人就业保障金财政代扣、年审经费等</w:t>
      </w:r>
      <w:r>
        <w:rPr>
          <w:rFonts w:hint="eastAsia" w:ascii="仿宋_GB2312" w:hAnsi="仿宋_GB2312" w:eastAsia="仿宋_GB2312" w:cs="仿宋_GB2312"/>
          <w:color w:val="auto"/>
          <w:sz w:val="32"/>
          <w:szCs w:val="32"/>
          <w:highlight w:val="none"/>
          <w:lang w:val="en-US" w:eastAsia="zh-CN"/>
        </w:rPr>
        <w:t>工作开展综合效果显著。二是项目绩效自评情况。我单位共有1个项目批复了绩效目标。其中：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许昌市残疾人联合会（本级）4个，项目金额121.52万元。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3个项目评价等级为“优”、1个项目评价等级为“良”、0个项目评价等级为“中”、0个项目评价等级为“差”。</w:t>
      </w:r>
    </w:p>
    <w:p>
      <w:pPr>
        <w:keepNext w:val="0"/>
        <w:keepLines w:val="0"/>
        <w:pageBreakBefore w:val="0"/>
        <w:widowControl/>
        <w:numPr>
          <w:ilvl w:val="0"/>
          <w:numId w:val="2"/>
        </w:numPr>
        <w:kinsoku/>
        <w:wordWrap/>
        <w:overflowPunct/>
        <w:topLinePunct w:val="0"/>
        <w:autoSpaceDE/>
        <w:autoSpaceDN/>
        <w:bidi w:val="0"/>
        <w:adjustRightInd/>
        <w:snapToGrid/>
        <w:spacing w:line="36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2021年我单位未开展重点项目绩效评价。</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61FFE"/>
    <w:multiLevelType w:val="singleLevel"/>
    <w:tmpl w:val="D0661FFE"/>
    <w:lvl w:ilvl="0" w:tentative="0">
      <w:start w:val="3"/>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MWI1YjU0NTc0YzQ3OTY5ZjMwNjM3MDhmMWY1MDMifQ=="/>
    <w:docVar w:name="KSO_WPS_MARK_KEY" w:val="ffff0d0b-bda6-4003-b90b-a45099e10e1b"/>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B1157"/>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4C34CD2"/>
    <w:rsid w:val="053D4C0D"/>
    <w:rsid w:val="0557532E"/>
    <w:rsid w:val="0799329C"/>
    <w:rsid w:val="081E47A3"/>
    <w:rsid w:val="08397436"/>
    <w:rsid w:val="086F16A7"/>
    <w:rsid w:val="08C16F58"/>
    <w:rsid w:val="08FB30F4"/>
    <w:rsid w:val="0A0F7225"/>
    <w:rsid w:val="0A2B7D82"/>
    <w:rsid w:val="0ADC40E9"/>
    <w:rsid w:val="0AE607F4"/>
    <w:rsid w:val="0AFE2265"/>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8CD3997"/>
    <w:rsid w:val="1A8D28EB"/>
    <w:rsid w:val="1A9F2D78"/>
    <w:rsid w:val="1B2E6FD8"/>
    <w:rsid w:val="1B877D21"/>
    <w:rsid w:val="1C4319A9"/>
    <w:rsid w:val="1C482B04"/>
    <w:rsid w:val="1E443B4B"/>
    <w:rsid w:val="1E994F4A"/>
    <w:rsid w:val="1EAF0224"/>
    <w:rsid w:val="1F2230A4"/>
    <w:rsid w:val="20210932"/>
    <w:rsid w:val="202448E0"/>
    <w:rsid w:val="20F614FE"/>
    <w:rsid w:val="21302EEA"/>
    <w:rsid w:val="218A24AB"/>
    <w:rsid w:val="22376FB5"/>
    <w:rsid w:val="23242BAE"/>
    <w:rsid w:val="23E152D7"/>
    <w:rsid w:val="23EE2489"/>
    <w:rsid w:val="25407ECB"/>
    <w:rsid w:val="255D43C8"/>
    <w:rsid w:val="26714EF8"/>
    <w:rsid w:val="26876BDD"/>
    <w:rsid w:val="26F726E8"/>
    <w:rsid w:val="2714632A"/>
    <w:rsid w:val="27541E73"/>
    <w:rsid w:val="27667AA0"/>
    <w:rsid w:val="27B0539E"/>
    <w:rsid w:val="29365CF8"/>
    <w:rsid w:val="299469B3"/>
    <w:rsid w:val="2A01096C"/>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482930"/>
    <w:rsid w:val="36746FC3"/>
    <w:rsid w:val="368763AE"/>
    <w:rsid w:val="36D27A43"/>
    <w:rsid w:val="395D59E7"/>
    <w:rsid w:val="39652645"/>
    <w:rsid w:val="39A93932"/>
    <w:rsid w:val="3A915562"/>
    <w:rsid w:val="3B8D4765"/>
    <w:rsid w:val="3C000DBA"/>
    <w:rsid w:val="3DC045D3"/>
    <w:rsid w:val="3E504FFB"/>
    <w:rsid w:val="3E615CD0"/>
    <w:rsid w:val="3E875886"/>
    <w:rsid w:val="3E9C47F6"/>
    <w:rsid w:val="3F8B0112"/>
    <w:rsid w:val="3FAB3095"/>
    <w:rsid w:val="3FE45947"/>
    <w:rsid w:val="41242965"/>
    <w:rsid w:val="435671EA"/>
    <w:rsid w:val="43D00EBA"/>
    <w:rsid w:val="440809E9"/>
    <w:rsid w:val="442407A6"/>
    <w:rsid w:val="44805EA1"/>
    <w:rsid w:val="44C82F7C"/>
    <w:rsid w:val="45710696"/>
    <w:rsid w:val="46142B1B"/>
    <w:rsid w:val="47E60DD0"/>
    <w:rsid w:val="48735039"/>
    <w:rsid w:val="492C684B"/>
    <w:rsid w:val="49500594"/>
    <w:rsid w:val="49E7604E"/>
    <w:rsid w:val="4B060D7A"/>
    <w:rsid w:val="4BF67CDD"/>
    <w:rsid w:val="4D173441"/>
    <w:rsid w:val="4D603DD6"/>
    <w:rsid w:val="4E4C2B01"/>
    <w:rsid w:val="4E9144D9"/>
    <w:rsid w:val="4EBF010F"/>
    <w:rsid w:val="4F471EB0"/>
    <w:rsid w:val="4FDF5F3B"/>
    <w:rsid w:val="50F01137"/>
    <w:rsid w:val="50F15376"/>
    <w:rsid w:val="50F514EB"/>
    <w:rsid w:val="51082EE2"/>
    <w:rsid w:val="51331326"/>
    <w:rsid w:val="51740A7F"/>
    <w:rsid w:val="51A5541E"/>
    <w:rsid w:val="51C96242"/>
    <w:rsid w:val="51F81896"/>
    <w:rsid w:val="53906AE1"/>
    <w:rsid w:val="54F46F60"/>
    <w:rsid w:val="55A37BEA"/>
    <w:rsid w:val="56362CD2"/>
    <w:rsid w:val="5784687B"/>
    <w:rsid w:val="57846959"/>
    <w:rsid w:val="578E6A87"/>
    <w:rsid w:val="58BB5DE6"/>
    <w:rsid w:val="590A3372"/>
    <w:rsid w:val="5A880D7F"/>
    <w:rsid w:val="5AC2203A"/>
    <w:rsid w:val="5CBB3334"/>
    <w:rsid w:val="5D115FAF"/>
    <w:rsid w:val="5D49037D"/>
    <w:rsid w:val="5D783EB6"/>
    <w:rsid w:val="5E8A1769"/>
    <w:rsid w:val="5EC44FBF"/>
    <w:rsid w:val="62811722"/>
    <w:rsid w:val="62E75A72"/>
    <w:rsid w:val="639167F2"/>
    <w:rsid w:val="64571880"/>
    <w:rsid w:val="649125B6"/>
    <w:rsid w:val="652F4C1A"/>
    <w:rsid w:val="666D37F1"/>
    <w:rsid w:val="67087D8F"/>
    <w:rsid w:val="671F687E"/>
    <w:rsid w:val="67F415F8"/>
    <w:rsid w:val="682640D1"/>
    <w:rsid w:val="684B73E5"/>
    <w:rsid w:val="6A047A2A"/>
    <w:rsid w:val="6EFB7548"/>
    <w:rsid w:val="6F3831C3"/>
    <w:rsid w:val="6F8B71C1"/>
    <w:rsid w:val="70753482"/>
    <w:rsid w:val="707B522A"/>
    <w:rsid w:val="73194D05"/>
    <w:rsid w:val="733772D5"/>
    <w:rsid w:val="73A83B0E"/>
    <w:rsid w:val="744D3EF9"/>
    <w:rsid w:val="74794411"/>
    <w:rsid w:val="750D17A5"/>
    <w:rsid w:val="75867C40"/>
    <w:rsid w:val="75B10B26"/>
    <w:rsid w:val="76432199"/>
    <w:rsid w:val="76F44829"/>
    <w:rsid w:val="77A267C0"/>
    <w:rsid w:val="78882278"/>
    <w:rsid w:val="78B118A6"/>
    <w:rsid w:val="79135044"/>
    <w:rsid w:val="799531BE"/>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7">
    <w:name w:val="Normal Table"/>
    <w:unhideWhenUsed/>
    <w:qFormat/>
    <w:uiPriority w:val="99"/>
    <w:tblPr>
      <w:tblStyle w:val="7"/>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Balloon Text"/>
    <w:basedOn w:val="1"/>
    <w:link w:val="12"/>
    <w:unhideWhenUsed/>
    <w:uiPriority w:val="99"/>
    <w:rPr>
      <w:sz w:val="18"/>
      <w:szCs w:val="18"/>
    </w:r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uiPriority w:val="0"/>
    <w:pPr>
      <w:snapToGrid w:val="0"/>
      <w:jc w:val="left"/>
    </w:pPr>
    <w:rPr>
      <w:sz w:val="18"/>
    </w:rPr>
  </w:style>
  <w:style w:type="table" w:styleId="8">
    <w:name w:val="Table Grid"/>
    <w:basedOn w:val="7"/>
    <w:uiPriority w:val="59"/>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nhideWhenUsed/>
    <w:uiPriority w:val="99"/>
    <w:rPr>
      <w:color w:val="800080"/>
      <w:u w:val="single"/>
    </w:rPr>
  </w:style>
  <w:style w:type="character" w:styleId="11">
    <w:name w:val="Hyperlink"/>
    <w:unhideWhenUsed/>
    <w:uiPriority w:val="99"/>
    <w:rPr>
      <w:color w:val="0000FF"/>
      <w:u w:val="single"/>
    </w:rPr>
  </w:style>
  <w:style w:type="character" w:customStyle="1" w:styleId="12">
    <w:name w:val="批注框文本 Char"/>
    <w:link w:val="3"/>
    <w:semiHidden/>
    <w:uiPriority w:val="99"/>
    <w:rPr>
      <w:kern w:val="2"/>
      <w:sz w:val="18"/>
      <w:szCs w:val="18"/>
    </w:rPr>
  </w:style>
  <w:style w:type="character" w:customStyle="1" w:styleId="13">
    <w:name w:val="页脚 Char"/>
    <w:link w:val="4"/>
    <w:uiPriority w:val="99"/>
    <w:rPr>
      <w:kern w:val="2"/>
      <w:sz w:val="18"/>
      <w:szCs w:val="18"/>
    </w:rPr>
  </w:style>
  <w:style w:type="character" w:customStyle="1" w:styleId="14">
    <w:name w:val="页眉 Char"/>
    <w:link w:val="5"/>
    <w:uiPriority w:val="99"/>
    <w:rPr>
      <w:kern w:val="2"/>
      <w:sz w:val="18"/>
      <w:szCs w:val="18"/>
    </w:rPr>
  </w:style>
  <w:style w:type="character" w:customStyle="1" w:styleId="15">
    <w:name w:val="font21"/>
    <w:uiPriority w:val="0"/>
    <w:rPr>
      <w:rFonts w:hint="eastAsia" w:ascii="宋体" w:hAnsi="宋体" w:eastAsia="宋体" w:cs="宋体"/>
      <w:color w:val="000000"/>
      <w:sz w:val="22"/>
      <w:szCs w:val="22"/>
      <w:u w:val="none"/>
    </w:rPr>
  </w:style>
  <w:style w:type="character" w:customStyle="1" w:styleId="16">
    <w:name w:val="font41"/>
    <w:uiPriority w:val="0"/>
    <w:rPr>
      <w:rFonts w:hint="eastAsia" w:ascii="宋体" w:hAnsi="宋体" w:eastAsia="宋体" w:cs="宋体"/>
      <w:color w:val="000000"/>
      <w:sz w:val="24"/>
      <w:szCs w:val="24"/>
      <w:u w:val="none"/>
    </w:rPr>
  </w:style>
  <w:style w:type="character" w:customStyle="1" w:styleId="17">
    <w:name w:val="font51"/>
    <w:uiPriority w:val="0"/>
    <w:rPr>
      <w:rFonts w:hint="eastAsia" w:ascii="宋体" w:hAnsi="宋体" w:eastAsia="宋体" w:cs="宋体"/>
      <w:color w:val="000000"/>
      <w:sz w:val="24"/>
      <w:szCs w:val="24"/>
      <w:u w:val="none"/>
    </w:rPr>
  </w:style>
  <w:style w:type="character" w:customStyle="1" w:styleId="18">
    <w:name w:val="font01"/>
    <w:uiPriority w:val="0"/>
    <w:rPr>
      <w:rFonts w:hint="eastAsia" w:ascii="宋体" w:hAnsi="宋体" w:eastAsia="宋体" w:cs="宋体"/>
      <w:color w:val="000000"/>
      <w:sz w:val="22"/>
      <w:szCs w:val="22"/>
      <w:u w:val="none"/>
    </w:rPr>
  </w:style>
  <w:style w:type="character" w:customStyle="1" w:styleId="19">
    <w:name w:val="font11"/>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8485</Words>
  <Characters>10519</Characters>
  <Lines>60</Lines>
  <Paragraphs>16</Paragraphs>
  <TotalTime>4</TotalTime>
  <ScaleCrop>false</ScaleCrop>
  <LinksUpToDate>false</LinksUpToDate>
  <CharactersWithSpaces>10759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2023-04-18T06:58:48Z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FA6ED7E68FC3455FBD29C8790D39D9BF_13</vt:lpwstr>
  </property>
</Properties>
</file>