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heme="minorEastAsia" w:hAnsiTheme="minorEastAsia" w:eastAsiaTheme="minorEastAsia" w:cstheme="minorEastAsia"/>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许昌市林业和花木园艺发展中心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许昌市林业和花木园艺发展中心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许昌市林业和花木园艺发展中心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w:t>
      </w:r>
      <w:r>
        <w:rPr>
          <w:rFonts w:hint="eastAsia" w:ascii="仿宋_GB2312" w:hAnsi="仿宋_GB2312" w:eastAsia="仿宋_GB2312" w:cs="仿宋_GB2312"/>
          <w:kern w:val="0"/>
          <w:sz w:val="32"/>
          <w:szCs w:val="32"/>
          <w:highlight w:val="none"/>
          <w:lang w:val="en-US" w:eastAsia="zh-CN"/>
        </w:rPr>
        <w:t>中共</w:t>
      </w:r>
      <w:r>
        <w:rPr>
          <w:rFonts w:hint="eastAsia" w:ascii="仿宋_GB2312" w:hAnsi="仿宋_GB2312" w:eastAsia="仿宋_GB2312" w:cs="仿宋_GB2312"/>
          <w:kern w:val="0"/>
          <w:sz w:val="32"/>
          <w:szCs w:val="32"/>
          <w:highlight w:val="none"/>
        </w:rPr>
        <w:t>许昌市</w:t>
      </w:r>
      <w:r>
        <w:rPr>
          <w:rFonts w:hint="eastAsia" w:ascii="仿宋_GB2312" w:hAnsi="仿宋_GB2312" w:eastAsia="仿宋_GB2312" w:cs="仿宋_GB2312"/>
          <w:kern w:val="0"/>
          <w:sz w:val="32"/>
          <w:szCs w:val="32"/>
          <w:highlight w:val="none"/>
          <w:lang w:val="en-US" w:eastAsia="zh-CN"/>
        </w:rPr>
        <w:t>委</w:t>
      </w:r>
      <w:r>
        <w:rPr>
          <w:rFonts w:hint="eastAsia" w:ascii="仿宋_GB2312" w:hAnsi="仿宋_GB2312" w:eastAsia="仿宋_GB2312" w:cs="仿宋_GB2312"/>
          <w:kern w:val="0"/>
          <w:sz w:val="32"/>
          <w:szCs w:val="32"/>
          <w:highlight w:val="none"/>
        </w:rPr>
        <w:t>机构编制委员会关于</w:t>
      </w:r>
      <w:r>
        <w:rPr>
          <w:rFonts w:hint="eastAsia" w:ascii="仿宋_GB2312" w:hAnsi="仿宋_GB2312" w:eastAsia="仿宋_GB2312" w:cs="仿宋_GB2312"/>
          <w:kern w:val="0"/>
          <w:sz w:val="32"/>
          <w:szCs w:val="32"/>
          <w:highlight w:val="none"/>
          <w:lang w:val="en-US" w:eastAsia="zh-CN"/>
        </w:rPr>
        <w:t>成立</w:t>
      </w:r>
      <w:r>
        <w:rPr>
          <w:rFonts w:hint="eastAsia" w:ascii="仿宋_GB2312" w:hAnsi="仿宋_GB2312" w:eastAsia="仿宋_GB2312" w:cs="仿宋_GB2312"/>
          <w:kern w:val="0"/>
          <w:sz w:val="32"/>
          <w:szCs w:val="32"/>
          <w:highlight w:val="none"/>
        </w:rPr>
        <w:t>许昌市林业</w:t>
      </w:r>
      <w:r>
        <w:rPr>
          <w:rFonts w:hint="eastAsia" w:ascii="仿宋_GB2312" w:hAnsi="仿宋_GB2312" w:eastAsia="仿宋_GB2312" w:cs="仿宋_GB2312"/>
          <w:kern w:val="0"/>
          <w:sz w:val="32"/>
          <w:szCs w:val="32"/>
          <w:highlight w:val="none"/>
          <w:lang w:val="en-US" w:eastAsia="zh-CN"/>
        </w:rPr>
        <w:t>和花木园艺发展中心的通知</w:t>
      </w:r>
      <w:r>
        <w:rPr>
          <w:rFonts w:hint="eastAsia" w:ascii="仿宋_GB2312" w:hAnsi="仿宋_GB2312" w:eastAsia="仿宋_GB2312" w:cs="仿宋_GB2312"/>
          <w:kern w:val="0"/>
          <w:sz w:val="32"/>
          <w:szCs w:val="32"/>
          <w:highlight w:val="none"/>
        </w:rPr>
        <w:t>》（许编</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20</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号），本单位主要职责是：负责全市林业和花木园艺新技术、新成果、新品种的研究、试验、引进和推广示范、技术培训、技术咨询等工作；负责森林病虫害防治技术研究，防治新技术、新成果推广应用和指导、咨询工作，承担林业和花木园艺等重大活动的筹备和组织实施工作，为林政案件提供技术咨询。协助机关开展国土绿化、全民义务植树和生态文明建设工作；协助机关拟定全市林业和花木园艺产业规划和组织实施；协助机关开展全市林业和花木园艺资源化配置和产品质量监督工作；协助机关做好全市林业站和国有林场建设管理；协助机关做好各类森林资源保护和合理开发利用工作。协助机关开展林业有害生物的调查、普查和防治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许昌市林业和花木园艺发展中心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办公室、人事科、财务科、绿化工作站、花木园艺站、林业技术推广</w:t>
      </w:r>
      <w:r>
        <w:rPr>
          <w:rFonts w:hint="eastAsia" w:ascii="仿宋_GB2312" w:hAnsi="仿宋_GB2312" w:eastAsia="仿宋_GB2312" w:cs="仿宋_GB2312"/>
          <w:kern w:val="0"/>
          <w:sz w:val="32"/>
          <w:szCs w:val="32"/>
          <w:highlight w:val="none"/>
          <w:lang w:val="en-US" w:eastAsia="zh-CN"/>
        </w:rPr>
        <w:t>站、森林资源调查保护站、森林病虫害防治检疫站。</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许昌市林业和花木园艺发展中心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许昌市林业和花木园艺发展中心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pPr w:leftFromText="180" w:rightFromText="180" w:vertAnchor="text" w:horzAnchor="page" w:tblpX="1559" w:tblpY="44"/>
        <w:tblOverlap w:val="never"/>
        <w:tblW w:w="13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7"/>
        <w:gridCol w:w="915"/>
        <w:gridCol w:w="1725"/>
        <w:gridCol w:w="4005"/>
        <w:gridCol w:w="720"/>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0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4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42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9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0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84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949.33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949.33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161.5</w:t>
            </w:r>
            <w:r>
              <w:rPr>
                <w:rFonts w:hint="eastAsia" w:ascii="宋体" w:hAnsi="宋体" w:cs="宋体"/>
                <w:i w:val="0"/>
                <w:iCs w:val="0"/>
                <w:color w:val="000000"/>
                <w:kern w:val="0"/>
                <w:sz w:val="22"/>
                <w:szCs w:val="22"/>
                <w:u w:val="none"/>
                <w:lang w:val="en-US" w:eastAsia="zh-CN" w:bidi="ar"/>
              </w:rPr>
              <w:t>0</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0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1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4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07"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pPr w:leftFromText="180" w:rightFromText="180" w:vertAnchor="text" w:horzAnchor="page" w:tblpX="1550" w:tblpY="161"/>
        <w:tblOverlap w:val="never"/>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331"/>
        <w:gridCol w:w="4711"/>
        <w:gridCol w:w="1443"/>
        <w:gridCol w:w="1443"/>
        <w:gridCol w:w="1067"/>
        <w:gridCol w:w="1067"/>
        <w:gridCol w:w="1067"/>
        <w:gridCol w:w="1050"/>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73" w:type="dxa"/>
            <w:gridSpan w:val="11"/>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328"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3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71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8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69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14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6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55"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71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1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1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9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949.33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949.33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151.50</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146.77</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146.77</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734.58</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47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w:t>
            </w:r>
          </w:p>
        </w:tc>
        <w:tc>
          <w:tcPr>
            <w:tcW w:w="14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6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3"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8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
        <w:gridCol w:w="264"/>
        <w:gridCol w:w="741"/>
        <w:gridCol w:w="4322"/>
        <w:gridCol w:w="1436"/>
        <w:gridCol w:w="1989"/>
        <w:gridCol w:w="1946"/>
        <w:gridCol w:w="897"/>
        <w:gridCol w:w="897"/>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08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64"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6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1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2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0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9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9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3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996"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195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13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9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95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1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5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1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1,110.83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985.1</w:t>
            </w:r>
            <w:r>
              <w:rPr>
                <w:rFonts w:hint="eastAsia" w:ascii="宋体" w:hAnsi="宋体" w:cs="宋体"/>
                <w:b/>
                <w:bCs/>
                <w:i w:val="0"/>
                <w:iCs w:val="0"/>
                <w:color w:val="000000"/>
                <w:kern w:val="0"/>
                <w:sz w:val="22"/>
                <w:szCs w:val="22"/>
                <w:u w:val="none"/>
                <w:lang w:val="en-US" w:eastAsia="zh-CN" w:bidi="ar"/>
              </w:rPr>
              <w:t>2</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125.7</w:t>
            </w:r>
            <w:r>
              <w:rPr>
                <w:rFonts w:hint="eastAsia" w:ascii="宋体" w:hAnsi="宋体" w:cs="宋体"/>
                <w:b/>
                <w:bCs/>
                <w:i w:val="0"/>
                <w:iCs w:val="0"/>
                <w:color w:val="000000"/>
                <w:kern w:val="0"/>
                <w:sz w:val="22"/>
                <w:szCs w:val="22"/>
                <w:u w:val="none"/>
                <w:lang w:val="en-US" w:eastAsia="zh-CN" w:bidi="ar"/>
              </w:rPr>
              <w:t>1</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163.17</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163.17</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93.52</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93.52</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1"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42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13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19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39"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9"/>
        <w:gridCol w:w="562"/>
        <w:gridCol w:w="1231"/>
        <w:gridCol w:w="3918"/>
        <w:gridCol w:w="562"/>
        <w:gridCol w:w="1198"/>
        <w:gridCol w:w="1231"/>
        <w:gridCol w:w="870"/>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3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3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3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161.5</w:t>
            </w:r>
            <w:r>
              <w:rPr>
                <w:rFonts w:hint="eastAsia" w:ascii="宋体" w:hAnsi="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161.5</w:t>
            </w:r>
            <w:r>
              <w:rPr>
                <w:rFonts w:hint="eastAsia" w:ascii="宋体" w:hAnsi="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3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1"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197"/>
        <w:gridCol w:w="2285"/>
        <w:gridCol w:w="2063"/>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96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9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495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2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3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985.1</w:t>
            </w:r>
            <w:r>
              <w:rPr>
                <w:rFonts w:hint="eastAsia" w:ascii="宋体" w:hAnsi="宋体" w:cs="宋体"/>
                <w:b/>
                <w:bCs/>
                <w:i w:val="0"/>
                <w:iCs w:val="0"/>
                <w:color w:val="000000"/>
                <w:kern w:val="0"/>
                <w:sz w:val="22"/>
                <w:szCs w:val="22"/>
                <w:u w:val="none"/>
                <w:lang w:val="en-US" w:eastAsia="zh-CN" w:bidi="ar"/>
              </w:rPr>
              <w:t>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应用研究</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163.17</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93.52</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741.55</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技术推广与转化</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林业草原防灾减灾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7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002"/>
        <w:gridCol w:w="1046"/>
        <w:gridCol w:w="766"/>
        <w:gridCol w:w="2565"/>
        <w:gridCol w:w="934"/>
        <w:gridCol w:w="766"/>
        <w:gridCol w:w="3002"/>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7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0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0" w:name="OLE_LINK1" w:colFirst="2" w:colLast="2"/>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0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w:t>
            </w:r>
            <w:r>
              <w:rPr>
                <w:rFonts w:hint="eastAsia" w:ascii="宋体" w:hAnsi="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111.2</w:t>
            </w:r>
            <w:r>
              <w:rPr>
                <w:rFonts w:hint="eastAsia" w:ascii="宋体" w:hAnsi="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02"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929.8</w:t>
            </w:r>
            <w:r>
              <w:rPr>
                <w:rFonts w:hint="eastAsia" w:ascii="宋体" w:hAnsi="宋体" w:cs="宋体"/>
                <w:i w:val="0"/>
                <w:iCs w:val="0"/>
                <w:color w:val="000000"/>
                <w:kern w:val="0"/>
                <w:sz w:val="22"/>
                <w:szCs w:val="22"/>
                <w:u w:val="none"/>
                <w:lang w:val="en-US" w:eastAsia="zh-CN" w:bidi="ar"/>
              </w:rPr>
              <w:t>4</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69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9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155"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5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93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：许昌市林业和花木园艺发展中心</w:t>
            </w: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5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6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9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69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许昌市林业和花木园艺发展中心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813.99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274.21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单位机构改革，人员和职能增加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949.33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949.33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985.12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88.68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125.71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11.32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822.80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285.66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单位机构改革，人员和职能增加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849.53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325.11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单位机构改革，人员和职能增加</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val="en-US" w:eastAsia="zh-CN"/>
        </w:rPr>
        <w:t>一般公共服务（类）支出4.96万元，占0.45%；科学技术（类）支出84.65万元，占7.62%；社会保障和就业（类）支出167.90万元，占15.11%；卫生健康（类）支出26.53万元，占2.39%；城乡社区（类）支出773.29万元，占69.61%；农林水（类）支出53.50万元，占4.82%。</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978.30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1110.83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113.55</w:t>
      </w:r>
      <w:r>
        <w:rPr>
          <w:rFonts w:hint="eastAsia" w:ascii="仿宋_GB2312" w:hAnsi="仿宋_GB2312" w:eastAsia="仿宋_GB2312" w:cs="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科学技术支出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应用研究</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机构运行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84.65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使用2020年度财政结转资金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93.52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103.69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使用2020年度财政结转资金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57.06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56.71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99.39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人员变动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其他行政事业单位养老支出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99.16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离退休人员变动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4.73</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退休人员去世，年度追加经费</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100.95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人员变动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城乡社区支出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城乡社区管理事务</w:t>
      </w:r>
      <w:r>
        <w:rPr>
          <w:rFonts w:hint="eastAsia" w:ascii="仿宋_GB2312" w:hAnsi="仿宋_GB2312" w:eastAsia="仿宋_GB2312" w:cs="仿宋_GB2312"/>
          <w:b/>
          <w:bCs/>
          <w:sz w:val="32"/>
          <w:szCs w:val="32"/>
          <w:highlight w:val="none"/>
        </w:rPr>
        <w:t>（款）其他城乡社区管理事务支出（项）。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756.76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773.29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使用2020年度财政结转资金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林业和草原</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技术推广与转化</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18.98</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使用2020年度财政结转资金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林业和草原</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林业草原防灾减灾</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115.07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使用2020年度财政结转资金</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985.12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929.84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其他社会保障缴费、其他工资福利支出、住房公积金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退休费、抚恤金、生活补助；公用经费</w:t>
      </w:r>
      <w:r>
        <w:rPr>
          <w:rFonts w:hint="eastAsia" w:ascii="仿宋_GB2312" w:hAnsi="仿宋_GB2312" w:eastAsia="仿宋_GB2312" w:cs="仿宋_GB2312"/>
          <w:sz w:val="32"/>
          <w:szCs w:val="32"/>
          <w:highlight w:val="none"/>
          <w:lang w:val="en-US" w:eastAsia="zh-CN"/>
        </w:rPr>
        <w:t>55.28</w:t>
      </w:r>
      <w:r>
        <w:rPr>
          <w:rFonts w:hint="eastAsia" w:ascii="仿宋_GB2312" w:hAnsi="仿宋_GB2312" w:eastAsia="仿宋_GB2312" w:cs="仿宋_GB2312"/>
          <w:sz w:val="32"/>
          <w:szCs w:val="32"/>
          <w:highlight w:val="none"/>
        </w:rPr>
        <w:t>万元，主要包括：办公费、印刷费、手续费、水费、电费、邮电费、物业管理费、差旅费、维修（护）费、公务接待费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劳务费、委托业务费、工会经费、福利费、公务用车运行维护费。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82.37</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严格控制和压紧三公经费支出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99.40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0.60</w:t>
      </w:r>
      <w:r>
        <w:rPr>
          <w:rFonts w:hint="eastAsia" w:ascii="仿宋_GB2312" w:hAnsi="仿宋_GB2312" w:eastAsia="仿宋_GB2312" w:cs="仿宋_GB2312"/>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年度“三公”经费支出决算数与预算数不存在差异。因公出国（境）团组数0个，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lang w:val="en-US" w:eastAsia="zh-CN"/>
        </w:rPr>
        <w:t>0人次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4.97</w:t>
      </w:r>
      <w:r>
        <w:rPr>
          <w:rFonts w:hint="eastAsia" w:ascii="仿宋_GB2312" w:hAnsi="仿宋_GB2312" w:eastAsia="仿宋_GB2312" w:cs="仿宋_GB2312"/>
          <w:sz w:val="32"/>
          <w:szCs w:val="32"/>
          <w:highlight w:val="none"/>
        </w:rPr>
        <w:t>万元。主要用于</w:t>
      </w:r>
      <w:r>
        <w:rPr>
          <w:rFonts w:hint="eastAsia" w:ascii="仿宋" w:hAnsi="仿宋" w:eastAsia="仿宋"/>
          <w:sz w:val="32"/>
          <w:szCs w:val="32"/>
        </w:rPr>
        <w:t>单位公务用车燃料费、维修费、过路过桥费、保险费等支出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2.42</w:t>
      </w:r>
      <w:r>
        <w:rPr>
          <w:rFonts w:hint="eastAsia" w:ascii="仿宋_GB2312" w:hAnsi="仿宋_GB2312" w:eastAsia="仿宋_GB2312" w:cs="仿宋_GB2312"/>
          <w:sz w:val="32"/>
          <w:szCs w:val="32"/>
          <w:highlight w:val="none"/>
        </w:rPr>
        <w:t>%。决算数与预算数存在差异的主要原因是严格执行中央八项规定要求，控制公务活动的</w:t>
      </w:r>
      <w:r>
        <w:rPr>
          <w:rFonts w:hint="eastAsia" w:ascii="仿宋_GB2312" w:hAnsi="仿宋_GB2312" w:eastAsia="仿宋_GB2312" w:cs="仿宋_GB2312"/>
          <w:sz w:val="32"/>
          <w:szCs w:val="32"/>
          <w:highlight w:val="none"/>
          <w:lang w:eastAsia="zh-CN"/>
        </w:rPr>
        <w:t>次数、</w:t>
      </w:r>
      <w:r>
        <w:rPr>
          <w:rFonts w:hint="eastAsia" w:ascii="仿宋_GB2312" w:hAnsi="仿宋_GB2312" w:eastAsia="仿宋_GB2312" w:cs="仿宋_GB2312"/>
          <w:sz w:val="32"/>
          <w:szCs w:val="32"/>
          <w:highlight w:val="none"/>
        </w:rPr>
        <w:t>陪同人数和接待标准。其中：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本单位业务工作开展过程中的来访接待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w:t>
      </w:r>
      <w:r>
        <w:rPr>
          <w:rFonts w:hint="eastAsia" w:ascii="仿宋_GB2312" w:hAnsi="仿宋_GB2312" w:eastAsia="仿宋_GB2312" w:cs="仿宋_GB2312"/>
          <w:sz w:val="32"/>
          <w:szCs w:val="32"/>
          <w:highlight w:val="none"/>
          <w:lang w:val="en-US" w:eastAsia="zh-CN"/>
        </w:rPr>
        <w:t>较大。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1110.83万元，其中：基本支出985.12万元；支出项目2个，支出金额125.71万元。开展项目绩效自评项目1个，自评金额30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度市级预算资金全部开展</w:t>
      </w:r>
      <w:bookmarkStart w:id="1" w:name="_GoBack"/>
      <w:bookmarkEnd w:id="1"/>
      <w:r>
        <w:rPr>
          <w:rFonts w:hint="eastAsia" w:ascii="仿宋_GB2312" w:hAnsi="仿宋_GB2312" w:eastAsia="仿宋_GB2312" w:cs="仿宋_GB2312"/>
          <w:color w:val="auto"/>
          <w:sz w:val="32"/>
          <w:szCs w:val="32"/>
          <w:highlight w:val="none"/>
          <w:lang w:val="en-US" w:eastAsia="zh-CN"/>
        </w:rPr>
        <w:t>绩效自评，所属项目已于2021年度圆满完成支付，并实现预期目标，均通过自评获得满分。二是项目绩效自评情况。我单位共有1个项目批复了绩效目标，项目金额125.71万元。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11DFF"/>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2B16F2"/>
    <w:rsid w:val="024B6E08"/>
    <w:rsid w:val="02A3489A"/>
    <w:rsid w:val="02CA138D"/>
    <w:rsid w:val="02E36377"/>
    <w:rsid w:val="033646FC"/>
    <w:rsid w:val="03606139"/>
    <w:rsid w:val="03C75F80"/>
    <w:rsid w:val="03E86079"/>
    <w:rsid w:val="0478364D"/>
    <w:rsid w:val="053D4C0D"/>
    <w:rsid w:val="0557532E"/>
    <w:rsid w:val="0799329C"/>
    <w:rsid w:val="08397436"/>
    <w:rsid w:val="086F16A7"/>
    <w:rsid w:val="09B83C79"/>
    <w:rsid w:val="09C27CC7"/>
    <w:rsid w:val="0A0F7225"/>
    <w:rsid w:val="0A2B7D82"/>
    <w:rsid w:val="0A2E7AFC"/>
    <w:rsid w:val="0A3035D9"/>
    <w:rsid w:val="0ADC40E9"/>
    <w:rsid w:val="0AE607F4"/>
    <w:rsid w:val="0B386127"/>
    <w:rsid w:val="0B451598"/>
    <w:rsid w:val="0BEC73F4"/>
    <w:rsid w:val="0C392698"/>
    <w:rsid w:val="0E245887"/>
    <w:rsid w:val="0E8C4899"/>
    <w:rsid w:val="0EBB20D5"/>
    <w:rsid w:val="0EFB0822"/>
    <w:rsid w:val="10BD36F6"/>
    <w:rsid w:val="11BF0649"/>
    <w:rsid w:val="123E3E08"/>
    <w:rsid w:val="133212F4"/>
    <w:rsid w:val="136576A3"/>
    <w:rsid w:val="13D22E22"/>
    <w:rsid w:val="13EA00A1"/>
    <w:rsid w:val="148C66E5"/>
    <w:rsid w:val="154D4E9A"/>
    <w:rsid w:val="161C2DFF"/>
    <w:rsid w:val="16373578"/>
    <w:rsid w:val="16D3336B"/>
    <w:rsid w:val="17200028"/>
    <w:rsid w:val="17780248"/>
    <w:rsid w:val="17806C36"/>
    <w:rsid w:val="17A74F62"/>
    <w:rsid w:val="180D7C95"/>
    <w:rsid w:val="18A47774"/>
    <w:rsid w:val="19397941"/>
    <w:rsid w:val="1A073B05"/>
    <w:rsid w:val="1A8D28EB"/>
    <w:rsid w:val="1A9F2D78"/>
    <w:rsid w:val="1B0F4A4E"/>
    <w:rsid w:val="1B2E6FD8"/>
    <w:rsid w:val="1B877D21"/>
    <w:rsid w:val="1BFB0F3C"/>
    <w:rsid w:val="1C4319A9"/>
    <w:rsid w:val="1C9F6277"/>
    <w:rsid w:val="1D5D0FA1"/>
    <w:rsid w:val="1E1B192D"/>
    <w:rsid w:val="1E443B4B"/>
    <w:rsid w:val="1E994F4A"/>
    <w:rsid w:val="1EAF0224"/>
    <w:rsid w:val="1F2230A4"/>
    <w:rsid w:val="20210932"/>
    <w:rsid w:val="202448E0"/>
    <w:rsid w:val="20BA2413"/>
    <w:rsid w:val="20D50CB4"/>
    <w:rsid w:val="20F614FE"/>
    <w:rsid w:val="21302EEA"/>
    <w:rsid w:val="218524AB"/>
    <w:rsid w:val="22376FB5"/>
    <w:rsid w:val="232E07E1"/>
    <w:rsid w:val="23E152D7"/>
    <w:rsid w:val="23EE2489"/>
    <w:rsid w:val="24473807"/>
    <w:rsid w:val="24AA12D3"/>
    <w:rsid w:val="255D43C8"/>
    <w:rsid w:val="255E3514"/>
    <w:rsid w:val="261C3100"/>
    <w:rsid w:val="266967C7"/>
    <w:rsid w:val="26714EF8"/>
    <w:rsid w:val="26876BDD"/>
    <w:rsid w:val="2714632A"/>
    <w:rsid w:val="27541E73"/>
    <w:rsid w:val="27B0539E"/>
    <w:rsid w:val="27C272BD"/>
    <w:rsid w:val="27DA0165"/>
    <w:rsid w:val="29365CF8"/>
    <w:rsid w:val="299469B3"/>
    <w:rsid w:val="29D57132"/>
    <w:rsid w:val="2A805789"/>
    <w:rsid w:val="2A8110B0"/>
    <w:rsid w:val="2A892D9E"/>
    <w:rsid w:val="2AC11AAE"/>
    <w:rsid w:val="2ADC0D75"/>
    <w:rsid w:val="2B4A0E52"/>
    <w:rsid w:val="2C7F78C5"/>
    <w:rsid w:val="2C975890"/>
    <w:rsid w:val="2DD01DA7"/>
    <w:rsid w:val="2DEF21BB"/>
    <w:rsid w:val="2E12184A"/>
    <w:rsid w:val="2E4A2F05"/>
    <w:rsid w:val="2E5073D1"/>
    <w:rsid w:val="2ECC1061"/>
    <w:rsid w:val="2FA476AD"/>
    <w:rsid w:val="2FA765B0"/>
    <w:rsid w:val="303F7540"/>
    <w:rsid w:val="312546BF"/>
    <w:rsid w:val="31DD00BF"/>
    <w:rsid w:val="3293174C"/>
    <w:rsid w:val="32BB38D4"/>
    <w:rsid w:val="32C9376D"/>
    <w:rsid w:val="334B0AB4"/>
    <w:rsid w:val="33780472"/>
    <w:rsid w:val="33AF0905"/>
    <w:rsid w:val="351D0A29"/>
    <w:rsid w:val="3550415A"/>
    <w:rsid w:val="355932F4"/>
    <w:rsid w:val="35611882"/>
    <w:rsid w:val="357F1A89"/>
    <w:rsid w:val="36746FC3"/>
    <w:rsid w:val="368763AE"/>
    <w:rsid w:val="373806FB"/>
    <w:rsid w:val="395D59E7"/>
    <w:rsid w:val="39A93932"/>
    <w:rsid w:val="3A915562"/>
    <w:rsid w:val="3B8B7492"/>
    <w:rsid w:val="3B8D4765"/>
    <w:rsid w:val="3C000DBA"/>
    <w:rsid w:val="3C1852A6"/>
    <w:rsid w:val="3C601127"/>
    <w:rsid w:val="3D046583"/>
    <w:rsid w:val="3D8C1249"/>
    <w:rsid w:val="3DAB5BAA"/>
    <w:rsid w:val="3DC045D3"/>
    <w:rsid w:val="3E504FFB"/>
    <w:rsid w:val="3E615CD0"/>
    <w:rsid w:val="3E9C47F6"/>
    <w:rsid w:val="3F8B0112"/>
    <w:rsid w:val="3F9A4950"/>
    <w:rsid w:val="3FAB3095"/>
    <w:rsid w:val="3FE0432D"/>
    <w:rsid w:val="3FE45947"/>
    <w:rsid w:val="40DE086C"/>
    <w:rsid w:val="41242965"/>
    <w:rsid w:val="412A03CA"/>
    <w:rsid w:val="435671EA"/>
    <w:rsid w:val="440809E9"/>
    <w:rsid w:val="442407A6"/>
    <w:rsid w:val="44767069"/>
    <w:rsid w:val="44805EA1"/>
    <w:rsid w:val="44F1396C"/>
    <w:rsid w:val="45710696"/>
    <w:rsid w:val="46142B1B"/>
    <w:rsid w:val="46390633"/>
    <w:rsid w:val="47507FEA"/>
    <w:rsid w:val="47E60DD0"/>
    <w:rsid w:val="47F000A5"/>
    <w:rsid w:val="48735039"/>
    <w:rsid w:val="48C60506"/>
    <w:rsid w:val="492C684B"/>
    <w:rsid w:val="49500594"/>
    <w:rsid w:val="49E7604E"/>
    <w:rsid w:val="4AC21F51"/>
    <w:rsid w:val="4BF67CDD"/>
    <w:rsid w:val="4D173441"/>
    <w:rsid w:val="4D603DD6"/>
    <w:rsid w:val="4EBF010F"/>
    <w:rsid w:val="4F471EB0"/>
    <w:rsid w:val="4FECE0A9"/>
    <w:rsid w:val="51331326"/>
    <w:rsid w:val="515801C7"/>
    <w:rsid w:val="51740A7F"/>
    <w:rsid w:val="51A5541E"/>
    <w:rsid w:val="51C96242"/>
    <w:rsid w:val="53120896"/>
    <w:rsid w:val="53906AE1"/>
    <w:rsid w:val="53D10D44"/>
    <w:rsid w:val="54B73456"/>
    <w:rsid w:val="54C806C5"/>
    <w:rsid w:val="54F46F60"/>
    <w:rsid w:val="55A37BEA"/>
    <w:rsid w:val="56362CD2"/>
    <w:rsid w:val="5784687B"/>
    <w:rsid w:val="57846959"/>
    <w:rsid w:val="578E6A87"/>
    <w:rsid w:val="584B7AF9"/>
    <w:rsid w:val="59FD3342"/>
    <w:rsid w:val="5AB92C63"/>
    <w:rsid w:val="5AC2203A"/>
    <w:rsid w:val="5C1074C3"/>
    <w:rsid w:val="5CBB3334"/>
    <w:rsid w:val="5CFA6991"/>
    <w:rsid w:val="5D115FAF"/>
    <w:rsid w:val="5FDBEC95"/>
    <w:rsid w:val="61A8587F"/>
    <w:rsid w:val="61E02FD6"/>
    <w:rsid w:val="61FA3B5B"/>
    <w:rsid w:val="626B1682"/>
    <w:rsid w:val="62811722"/>
    <w:rsid w:val="62E75A72"/>
    <w:rsid w:val="64571880"/>
    <w:rsid w:val="649125B6"/>
    <w:rsid w:val="652F4C1A"/>
    <w:rsid w:val="66434B4A"/>
    <w:rsid w:val="666D37F1"/>
    <w:rsid w:val="669A3969"/>
    <w:rsid w:val="66B251D8"/>
    <w:rsid w:val="67087D8F"/>
    <w:rsid w:val="670D5158"/>
    <w:rsid w:val="671F687E"/>
    <w:rsid w:val="67410D28"/>
    <w:rsid w:val="67875CBD"/>
    <w:rsid w:val="67933A0C"/>
    <w:rsid w:val="67F415F8"/>
    <w:rsid w:val="682640D1"/>
    <w:rsid w:val="684B73E5"/>
    <w:rsid w:val="6A047A2A"/>
    <w:rsid w:val="6A701AF0"/>
    <w:rsid w:val="6B8C35B9"/>
    <w:rsid w:val="6DBB70D3"/>
    <w:rsid w:val="6EFB7548"/>
    <w:rsid w:val="6F3831C3"/>
    <w:rsid w:val="6F8B71C1"/>
    <w:rsid w:val="700F0193"/>
    <w:rsid w:val="70753482"/>
    <w:rsid w:val="707B522A"/>
    <w:rsid w:val="71FD27AF"/>
    <w:rsid w:val="7216618D"/>
    <w:rsid w:val="73194D05"/>
    <w:rsid w:val="73A83B0E"/>
    <w:rsid w:val="744D3EF9"/>
    <w:rsid w:val="74794411"/>
    <w:rsid w:val="74E56D13"/>
    <w:rsid w:val="750A77D6"/>
    <w:rsid w:val="754017E1"/>
    <w:rsid w:val="75867C40"/>
    <w:rsid w:val="75B10B26"/>
    <w:rsid w:val="76432199"/>
    <w:rsid w:val="765A1CB3"/>
    <w:rsid w:val="76F44829"/>
    <w:rsid w:val="774B4F43"/>
    <w:rsid w:val="77A267C0"/>
    <w:rsid w:val="77EE1B86"/>
    <w:rsid w:val="78882278"/>
    <w:rsid w:val="78B118A6"/>
    <w:rsid w:val="79135044"/>
    <w:rsid w:val="79987B67"/>
    <w:rsid w:val="7A63087C"/>
    <w:rsid w:val="7A7D0F99"/>
    <w:rsid w:val="7AF1471D"/>
    <w:rsid w:val="7BA23ABC"/>
    <w:rsid w:val="7C071DCA"/>
    <w:rsid w:val="7C8D2B6B"/>
    <w:rsid w:val="7D9C12B8"/>
    <w:rsid w:val="7E4A0E7C"/>
    <w:rsid w:val="7E7421DD"/>
    <w:rsid w:val="7EFD449D"/>
    <w:rsid w:val="87FADD98"/>
    <w:rsid w:val="BF955385"/>
    <w:rsid w:val="CB794EE8"/>
    <w:rsid w:val="DFDF33A5"/>
    <w:rsid w:val="F9F5476A"/>
    <w:rsid w:val="FADEA3A8"/>
    <w:rsid w:val="FF67A0C6"/>
    <w:rsid w:val="FF77C35F"/>
    <w:rsid w:val="FFBDC667"/>
    <w:rsid w:val="FFFEED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9104</Words>
  <Characters>11271</Characters>
  <Lines>60</Lines>
  <Paragraphs>16</Paragraphs>
  <TotalTime>16</TotalTime>
  <ScaleCrop>false</ScaleCrop>
  <LinksUpToDate>false</LinksUpToDate>
  <CharactersWithSpaces>11515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lenovo</cp:lastModifiedBy>
  <cp:lastPrinted>2023-02-22T23:17:00Z</cp:lastPrinted>
  <dcterms:modified xsi:type="dcterms:W3CDTF">2023-09-12T10:46:10Z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F15A75F046B7443389804586751FB420_13</vt:lpwstr>
  </property>
</Properties>
</file>