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center"/>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spacing w:line="276" w:lineRule="auto"/>
        <w:ind w:right="641"/>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许昌市机构编制电子政务中心</w:t>
      </w:r>
    </w:p>
    <w:p>
      <w:pPr>
        <w:spacing w:line="276" w:lineRule="auto"/>
        <w:ind w:right="641"/>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spacing w:line="276" w:lineRule="auto"/>
        <w:ind w:right="641"/>
        <w:jc w:val="both"/>
        <w:rPr>
          <w:rFonts w:hint="eastAsia" w:ascii="黑体" w:hAnsi="黑体" w:eastAsia="黑体" w:cs="黑体"/>
          <w:sz w:val="32"/>
          <w:szCs w:val="32"/>
          <w:highlight w:val="none"/>
        </w:rPr>
      </w:pPr>
    </w:p>
    <w:p>
      <w:pPr>
        <w:spacing w:line="276" w:lineRule="auto"/>
        <w:ind w:right="641"/>
        <w:jc w:val="both"/>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许昌市机构编制电子政务中心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pStyle w:val="7"/>
        <w:rPr>
          <w:rFonts w:hint="eastAsia"/>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许昌市机构编制电子</w:t>
      </w:r>
    </w:p>
    <w:p>
      <w:pPr>
        <w:widowControl/>
        <w:numPr>
          <w:ilvl w:val="0"/>
          <w:numId w:val="0"/>
        </w:numPr>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val="en-US" w:eastAsia="zh-CN"/>
        </w:rPr>
        <w:t>政务中心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596" w:firstLineChars="200"/>
        <w:jc w:val="both"/>
        <w:textAlignment w:val="auto"/>
        <w:outlineLvl w:val="9"/>
        <w:rPr>
          <w:rFonts w:hint="eastAsia" w:ascii="仿宋_GB2312" w:hAnsi="仿宋_GB2312" w:eastAsia="仿宋_GB2312" w:cs="Times New Roman"/>
          <w:spacing w:val="-11"/>
          <w:sz w:val="32"/>
        </w:rPr>
      </w:pPr>
      <w:r>
        <w:rPr>
          <w:rFonts w:hint="eastAsia" w:ascii="仿宋_GB2312" w:hAnsi="仿宋_GB2312" w:eastAsia="仿宋_GB2312" w:cs="Times New Roman"/>
          <w:spacing w:val="-11"/>
          <w:sz w:val="32"/>
          <w:lang w:val="en-US" w:eastAsia="zh-CN"/>
        </w:rPr>
        <w:t>（一）</w:t>
      </w:r>
      <w:r>
        <w:rPr>
          <w:rFonts w:hint="eastAsia" w:ascii="仿宋_GB2312" w:hAnsi="仿宋_GB2312" w:eastAsia="仿宋_GB2312" w:cs="Times New Roman"/>
          <w:spacing w:val="-11"/>
          <w:sz w:val="32"/>
        </w:rPr>
        <w:t>承担省编办委托的全市政务和公益专用中文域名的注册和管理；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596" w:firstLineChars="200"/>
        <w:jc w:val="both"/>
        <w:textAlignment w:val="auto"/>
        <w:outlineLvl w:val="9"/>
        <w:rPr>
          <w:rFonts w:hint="eastAsia" w:ascii="仿宋_GB2312" w:hAnsi="仿宋_GB2312" w:eastAsia="仿宋_GB2312" w:cs="Times New Roman"/>
          <w:spacing w:val="-11"/>
          <w:sz w:val="32"/>
        </w:rPr>
      </w:pPr>
      <w:r>
        <w:rPr>
          <w:rFonts w:hint="eastAsia" w:ascii="仿宋_GB2312" w:hAnsi="仿宋_GB2312" w:eastAsia="仿宋_GB2312" w:cs="Times New Roman"/>
          <w:spacing w:val="-11"/>
          <w:sz w:val="32"/>
          <w:lang w:val="en-US" w:eastAsia="zh-CN"/>
        </w:rPr>
        <w:t>（二）</w:t>
      </w:r>
      <w:r>
        <w:rPr>
          <w:rFonts w:hint="eastAsia" w:ascii="仿宋_GB2312" w:hAnsi="仿宋_GB2312" w:eastAsia="仿宋_GB2312" w:cs="Times New Roman"/>
          <w:spacing w:val="-11"/>
          <w:sz w:val="32"/>
        </w:rPr>
        <w:t>承办全市机构编制实名制动态管理及机构编制统计、市直单位统发工资中的编制审核、核发《机构编制审核通知单》</w:t>
      </w:r>
      <w:r>
        <w:rPr>
          <w:rFonts w:hint="eastAsia" w:ascii="仿宋_GB2312" w:hAnsi="仿宋_GB2312" w:eastAsia="仿宋_GB2312" w:cs="Times New Roman"/>
          <w:spacing w:val="-11"/>
          <w:sz w:val="32"/>
        </w:rPr>
        <mc:AlternateContent>
          <mc:Choice Requires="wps">
            <w:drawing>
              <wp:anchor distT="0" distB="0" distL="114300" distR="114300" simplePos="0" relativeHeight="251659264" behindDoc="0" locked="0" layoutInCell="1" allowOverlap="1">
                <wp:simplePos x="0" y="0"/>
                <wp:positionH relativeFrom="page">
                  <wp:posOffset>-2147483648</wp:posOffset>
                </wp:positionH>
                <wp:positionV relativeFrom="page">
                  <wp:posOffset>-2147483648</wp:posOffset>
                </wp:positionV>
                <wp:extent cx="5673090" cy="10795"/>
                <wp:effectExtent l="0" t="6985" r="3810" b="10795"/>
                <wp:wrapNone/>
                <wp:docPr id="1" name="Line 2"/>
                <wp:cNvGraphicFramePr/>
                <a:graphic xmlns:a="http://schemas.openxmlformats.org/drawingml/2006/main">
                  <a:graphicData uri="http://schemas.microsoft.com/office/word/2010/wordprocessingShape">
                    <wps:wsp>
                      <wps:cNvSpPr/>
                      <wps:spPr>
                        <a:xfrm flipV="1">
                          <a:off x="0" y="0"/>
                          <a:ext cx="5673090" cy="10795"/>
                        </a:xfrm>
                        <a:prstGeom prst="line">
                          <a:avLst/>
                        </a:prstGeom>
                        <a:ln w="144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107374182.4pt;margin-top:-107374182.4pt;height:0.85pt;width:446.7pt;mso-position-horizontal-relative:page;mso-position-vertical-relative:page;z-index:251659264;mso-width-relative:page;mso-height-relative:page;" filled="f" stroked="t" coordsize="21600,21600" o:gfxdata="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9kAxeEAAAAnAQAADwAAAAAAAAABACAAAAAiAAAAZHJzL2Rvd25yZXYueG1sUEsBAhQAFAAAAAgA&#10;h07iQFhP61PjAQAA6AMAAA4AAAAAAAAAAQAgAAAAMAEAAGRycy9lMm9Eb2MueG1sUEsFBgAAAAAG&#10;AAYAWQEAAIUFAAAAAA==&#10;">
                <v:fill on="f" focussize="0,0"/>
                <v:stroke weight="1.13385826771654pt" color="#000000" joinstyle="round"/>
                <v:imagedata o:title=""/>
                <o:lock v:ext="edit" aspectratio="f"/>
              </v:line>
            </w:pict>
          </mc:Fallback>
        </mc:AlternateContent>
      </w:r>
      <w:r>
        <w:rPr>
          <w:rFonts w:hint="eastAsia" w:ascii="仿宋_GB2312" w:hAnsi="仿宋_GB2312" w:eastAsia="仿宋_GB2312" w:cs="Times New Roman"/>
          <w:spacing w:val="-11"/>
          <w:sz w:val="32"/>
        </w:rPr>
        <mc:AlternateContent>
          <mc:Choice Requires="wps">
            <w:drawing>
              <wp:anchor distT="0" distB="0" distL="114300" distR="114300" simplePos="0" relativeHeight="251660288" behindDoc="0" locked="0" layoutInCell="1" allowOverlap="1">
                <wp:simplePos x="0" y="0"/>
                <wp:positionH relativeFrom="page">
                  <wp:posOffset>-2147483648</wp:posOffset>
                </wp:positionH>
                <wp:positionV relativeFrom="page">
                  <wp:posOffset>-2147483648</wp:posOffset>
                </wp:positionV>
                <wp:extent cx="5673725" cy="10795"/>
                <wp:effectExtent l="0" t="6985" r="3175" b="10795"/>
                <wp:wrapNone/>
                <wp:docPr id="2" name="Line 3"/>
                <wp:cNvGraphicFramePr/>
                <a:graphic xmlns:a="http://schemas.openxmlformats.org/drawingml/2006/main">
                  <a:graphicData uri="http://schemas.microsoft.com/office/word/2010/wordprocessingShape">
                    <wps:wsp>
                      <wps:cNvSpPr/>
                      <wps:spPr>
                        <a:xfrm flipV="1">
                          <a:off x="0" y="0"/>
                          <a:ext cx="5673725" cy="10795"/>
                        </a:xfrm>
                        <a:prstGeom prst="line">
                          <a:avLst/>
                        </a:prstGeom>
                        <a:ln w="1440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107374182.4pt;margin-top:-107374182.4pt;height:0.85pt;width:446.75pt;mso-position-horizontal-relative:page;mso-position-vertical-relative:page;z-index:251660288;mso-width-relative:page;mso-height-relative:page;" filled="f" stroked="t" coordsize="21600,21600" o:gfxdata="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tEnG4QAAACcBAAAPAAAAAAAAAAEAIAAAACIAAABkcnMvZG93bnJldi54bWxQSwECFAAUAAAA&#10;CACHTuJAF4gHY+UBAADoAwAADgAAAAAAAAABACAAAAAwAQAAZHJzL2Uyb0RvYy54bWxQSwUGAAAA&#10;AAYABgBZAQAAhwUAAAAA&#10;">
                <v:fill on="f" focussize="0,0"/>
                <v:stroke weight="1.13385826771654pt" color="#000000" joinstyle="round"/>
                <v:imagedata o:title=""/>
                <o:lock v:ext="edit" aspectratio="f"/>
              </v:line>
            </w:pict>
          </mc:Fallback>
        </mc:AlternateContent>
      </w:r>
      <w:r>
        <w:rPr>
          <w:rFonts w:hint="eastAsia" w:ascii="仿宋_GB2312" w:hAnsi="仿宋_GB2312" w:eastAsia="仿宋_GB2312" w:cs="Times New Roman"/>
          <w:spacing w:val="-11"/>
          <w:sz w:val="32"/>
        </w:rPr>
        <mc:AlternateContent>
          <mc:Choice Requires="wps">
            <w:drawing>
              <wp:anchor distT="0" distB="0" distL="114300" distR="114300" simplePos="0" relativeHeight="251661312" behindDoc="0" locked="0" layoutInCell="1" allowOverlap="1">
                <wp:simplePos x="0" y="0"/>
                <wp:positionH relativeFrom="page">
                  <wp:posOffset>-2147483648</wp:posOffset>
                </wp:positionH>
                <wp:positionV relativeFrom="page">
                  <wp:posOffset>-2147483648</wp:posOffset>
                </wp:positionV>
                <wp:extent cx="5673725" cy="10795"/>
                <wp:effectExtent l="0" t="6985" r="3175" b="10795"/>
                <wp:wrapNone/>
                <wp:docPr id="3" name="Line 4"/>
                <wp:cNvGraphicFramePr/>
                <a:graphic xmlns:a="http://schemas.openxmlformats.org/drawingml/2006/main">
                  <a:graphicData uri="http://schemas.microsoft.com/office/word/2010/wordprocessingShape">
                    <wps:wsp>
                      <wps:cNvSpPr/>
                      <wps:spPr>
                        <a:xfrm flipV="1">
                          <a:off x="0" y="0"/>
                          <a:ext cx="5673725" cy="10795"/>
                        </a:xfrm>
                        <a:prstGeom prst="line">
                          <a:avLst/>
                        </a:prstGeom>
                        <a:ln w="1440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flip:y;margin-left:-107374182.4pt;margin-top:-107374182.4pt;height:0.85pt;width:446.75pt;mso-position-horizontal-relative:page;mso-position-vertical-relative:page;z-index:251661312;mso-width-relative:page;mso-height-relative:page;" filled="f" stroked="t" coordsize="21600,21600" o:gfxdata="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tEnG4QAAACcBAAAPAAAAAAAAAAEAIAAAACIAAABkcnMvZG93bnJldi54bWxQSwECFAAUAAAA&#10;CACHTuJA4ODEk+UBAADoAwAADgAAAAAAAAABACAAAAAwAQAAZHJzL2Uyb0RvYy54bWxQSwUGAAAA&#10;AAYABgBZAQAAhwUAAAAA&#10;">
                <v:fill on="f" focussize="0,0"/>
                <v:stroke weight="1.13385826771654pt" color="#000000" joinstyle="round"/>
                <v:imagedata o:title=""/>
                <o:lock v:ext="edit" aspectratio="f"/>
              </v:line>
            </w:pict>
          </mc:Fallback>
        </mc:AlternateContent>
      </w:r>
      <w:r>
        <w:rPr>
          <w:rFonts w:hint="eastAsia" w:ascii="仿宋_GB2312" w:hAnsi="仿宋_GB2312" w:eastAsia="仿宋_GB2312" w:cs="Times New Roman"/>
          <w:spacing w:val="-11"/>
          <w:sz w:val="32"/>
        </w:rPr>
        <w:t>和《入（减）编通知单》；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596" w:firstLineChars="200"/>
        <w:jc w:val="both"/>
        <w:textAlignment w:val="auto"/>
        <w:outlineLvl w:val="9"/>
        <w:rPr>
          <w:rFonts w:hint="eastAsia" w:ascii="仿宋_GB2312" w:hAnsi="宋体" w:eastAsia="仿宋_GB2312" w:cs="宋体"/>
          <w:kern w:val="0"/>
          <w:sz w:val="32"/>
          <w:szCs w:val="32"/>
          <w:highlight w:val="none"/>
        </w:rPr>
      </w:pPr>
      <w:r>
        <w:rPr>
          <w:rFonts w:hint="eastAsia" w:ascii="仿宋_GB2312" w:hAnsi="仿宋_GB2312" w:eastAsia="仿宋_GB2312" w:cs="Times New Roman"/>
          <w:spacing w:val="-11"/>
          <w:sz w:val="32"/>
          <w:lang w:val="en-US" w:eastAsia="zh-CN"/>
        </w:rPr>
        <w:t>（三）</w:t>
      </w:r>
      <w:r>
        <w:rPr>
          <w:rFonts w:hint="eastAsia" w:ascii="仿宋_GB2312" w:hAnsi="仿宋_GB2312" w:eastAsia="仿宋_GB2312" w:cs="Times New Roman"/>
          <w:spacing w:val="-11"/>
          <w:sz w:val="32"/>
        </w:rPr>
        <w:t>负责机关</w:t>
      </w:r>
      <w:r>
        <w:rPr>
          <w:rFonts w:hint="eastAsia" w:ascii="仿宋_GB2312" w:hAnsi="仿宋_GB2312" w:eastAsia="仿宋_GB2312"/>
          <w:spacing w:val="-11"/>
          <w:sz w:val="32"/>
          <w:szCs w:val="32"/>
        </w:rPr>
        <w:t>门户</w:t>
      </w:r>
      <w:r>
        <w:rPr>
          <w:rFonts w:hint="eastAsia" w:ascii="仿宋_GB2312" w:hAnsi="仿宋_GB2312" w:eastAsia="仿宋_GB2312"/>
          <w:spacing w:val="-11"/>
          <w:sz w:val="32"/>
        </w:rPr>
        <w:t>网站建设、政务信息公开、电子政务、受理和反馈网上举报、信息化建设等日常工作。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许昌市机构编制电子政务中心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color w:val="auto"/>
          <w:sz w:val="32"/>
          <w:szCs w:val="32"/>
          <w:highlight w:val="none"/>
          <w:lang w:val="en-US" w:eastAsia="zh-CN"/>
        </w:rPr>
        <w:t>包括：办公室。</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sz w:val="32"/>
          <w:szCs w:val="32"/>
          <w:highlight w:val="none"/>
          <w:lang w:val="en-US" w:eastAsia="zh-CN"/>
        </w:rPr>
        <w:t>许昌市机构编制电子政务中心</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1.许昌市机构编制电子政务中心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7"/>
        <w:rPr>
          <w:rFonts w:hint="eastAsia"/>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0"/>
        <w:gridCol w:w="906"/>
        <w:gridCol w:w="1223"/>
        <w:gridCol w:w="4929"/>
        <w:gridCol w:w="944"/>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10"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1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4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53"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17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43" w:type="pct"/>
            <w:gridSpan w:val="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46"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2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2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99.36</w:t>
            </w: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99.36</w:t>
            </w: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28.67</w:t>
            </w: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2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7"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c>
          <w:tcPr>
            <w:tcW w:w="170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pStyle w:val="7"/>
        <w:ind w:left="0" w:leftChars="0" w:firstLine="0" w:firstLineChars="0"/>
        <w:rPr>
          <w:rFonts w:hint="eastAsia" w:ascii="仿宋_GB2312" w:hAnsi="仿宋_GB2312" w:eastAsia="仿宋_GB2312" w:cs="仿宋_GB2312"/>
          <w:sz w:val="32"/>
          <w:szCs w:val="32"/>
          <w:highlight w:val="none"/>
        </w:rPr>
      </w:pPr>
    </w:p>
    <w:p>
      <w:pPr>
        <w:pStyle w:val="7"/>
        <w:ind w:left="0" w:leftChars="0" w:firstLine="0" w:firstLineChars="0"/>
        <w:rPr>
          <w:rFonts w:hint="eastAsia" w:ascii="仿宋_GB2312" w:hAnsi="仿宋_GB2312" w:eastAsia="仿宋_GB2312" w:cs="仿宋_GB2312"/>
          <w:sz w:val="32"/>
          <w:szCs w:val="32"/>
          <w:highlight w:val="none"/>
        </w:rPr>
      </w:pPr>
    </w:p>
    <w:p>
      <w:pPr>
        <w:pStyle w:val="7"/>
        <w:ind w:left="0" w:leftChars="0" w:firstLine="0" w:firstLineChars="0"/>
        <w:rPr>
          <w:rFonts w:hint="eastAsia" w:ascii="仿宋_GB2312" w:hAnsi="仿宋_GB2312" w:eastAsia="仿宋_GB2312" w:cs="仿宋_GB2312"/>
          <w:sz w:val="32"/>
          <w:szCs w:val="32"/>
          <w:highlight w:val="none"/>
        </w:rPr>
      </w:pPr>
    </w:p>
    <w:p>
      <w:pPr>
        <w:pStyle w:val="7"/>
        <w:ind w:left="0" w:leftChars="0" w:firstLine="0" w:firstLineChars="0"/>
        <w:rPr>
          <w:rFonts w:hint="eastAsia" w:ascii="仿宋_GB2312" w:hAnsi="仿宋_GB2312" w:eastAsia="仿宋_GB2312" w:cs="仿宋_GB2312"/>
          <w:sz w:val="32"/>
          <w:szCs w:val="32"/>
          <w:highlight w:val="none"/>
        </w:rPr>
      </w:pPr>
    </w:p>
    <w:p>
      <w:pPr>
        <w:pStyle w:val="7"/>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5"/>
        <w:gridCol w:w="345"/>
        <w:gridCol w:w="816"/>
        <w:gridCol w:w="3762"/>
        <w:gridCol w:w="1336"/>
        <w:gridCol w:w="1318"/>
        <w:gridCol w:w="1315"/>
        <w:gridCol w:w="1315"/>
        <w:gridCol w:w="1315"/>
        <w:gridCol w:w="1315"/>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14"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46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5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5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29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99.36</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99.36</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90.22</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90.22</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87.30</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87.30</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61.35</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61.35</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2013250</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2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4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270" w:bottom="1800" w:left="127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
        <w:gridCol w:w="334"/>
        <w:gridCol w:w="839"/>
        <w:gridCol w:w="4630"/>
        <w:gridCol w:w="1562"/>
        <w:gridCol w:w="1486"/>
        <w:gridCol w:w="1486"/>
        <w:gridCol w:w="1269"/>
        <w:gridCol w:w="116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1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3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14"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53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3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0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48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9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128.03</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80.06</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47.97</w:t>
            </w: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118.89</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70.92</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115.97</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67.96</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67.96</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2013250</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5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3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270" w:bottom="1800" w:left="1270" w:header="720" w:footer="720" w:gutter="0"/>
          <w:pgNumType w:fmt="numberInDash"/>
          <w:cols w:space="720" w:num="1"/>
          <w:docGrid w:type="lines" w:linePitch="312" w:charSpace="0"/>
        </w:sectPr>
      </w:pPr>
    </w:p>
    <w:tbl>
      <w:tblPr>
        <w:tblStyle w:val="8"/>
        <w:tblW w:w="14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7"/>
        <w:gridCol w:w="548"/>
        <w:gridCol w:w="1081"/>
        <w:gridCol w:w="3906"/>
        <w:gridCol w:w="548"/>
        <w:gridCol w:w="961"/>
        <w:gridCol w:w="1136"/>
        <w:gridCol w:w="1381"/>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42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4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8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76"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39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94" w:type="dxa"/>
            <w:gridSpan w:val="2"/>
            <w:tcBorders>
              <w:top w:val="nil"/>
              <w:left w:val="nil"/>
              <w:bottom w:val="nil"/>
              <w:right w:val="nil"/>
            </w:tcBorders>
            <w:noWrap/>
            <w:vAlign w:val="bottom"/>
          </w:tcPr>
          <w:p>
            <w:pPr>
              <w:keepNext w:val="0"/>
              <w:keepLines w:val="0"/>
              <w:widowControl/>
              <w:suppressLineNumbers w:val="0"/>
              <w:ind w:firstLine="1200" w:firstLineChars="6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7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4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4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6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4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8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99.36</w:t>
            </w: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118.89</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118.89</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99.36</w:t>
            </w: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28.67</w:t>
            </w: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28.67</w:t>
            </w:r>
          </w:p>
        </w:tc>
        <w:tc>
          <w:tcPr>
            <w:tcW w:w="39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c>
          <w:tcPr>
            <w:tcW w:w="39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128.03</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42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270" w:bottom="1800" w:left="1270" w:header="720" w:footer="720" w:gutter="0"/>
          <w:pgNumType w:fmt="numberInDash"/>
          <w:cols w:space="720" w:num="1"/>
          <w:docGrid w:type="lines" w:linePitch="312" w:charSpace="0"/>
        </w:sectPr>
      </w:pPr>
    </w:p>
    <w:tbl>
      <w:tblPr>
        <w:tblStyle w:val="8"/>
        <w:tblW w:w="4539" w:type="pct"/>
        <w:tblInd w:w="5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2"/>
        <w:gridCol w:w="595"/>
        <w:gridCol w:w="408"/>
        <w:gridCol w:w="116"/>
        <w:gridCol w:w="5797"/>
        <w:gridCol w:w="332"/>
        <w:gridCol w:w="1741"/>
        <w:gridCol w:w="686"/>
        <w:gridCol w:w="1525"/>
        <w:gridCol w:w="814"/>
        <w:gridCol w:w="1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0"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1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03"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6"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55" w:hRule="atLeast"/>
        </w:trPr>
        <w:tc>
          <w:tcPr>
            <w:tcW w:w="2550"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731"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0"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7"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25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49"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04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31"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80"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37"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7" w:hRule="atLeast"/>
        </w:trPr>
        <w:tc>
          <w:tcPr>
            <w:tcW w:w="505"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1"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7"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308" w:hRule="atLeast"/>
        </w:trPr>
        <w:tc>
          <w:tcPr>
            <w:tcW w:w="505"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1"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7"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2550"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2550"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128.03</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80.06</w:t>
            </w:r>
          </w:p>
        </w:tc>
        <w:tc>
          <w:tcPr>
            <w:tcW w:w="937"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118.89</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70.92</w:t>
            </w:r>
          </w:p>
        </w:tc>
        <w:tc>
          <w:tcPr>
            <w:tcW w:w="937"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115.97</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937"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67.96</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67.96</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c>
          <w:tcPr>
            <w:tcW w:w="78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7"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2013250</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0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73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8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9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8"/>
        <w:tblW w:w="14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245"/>
        <w:gridCol w:w="991"/>
        <w:gridCol w:w="766"/>
        <w:gridCol w:w="2359"/>
        <w:gridCol w:w="903"/>
        <w:gridCol w:w="827"/>
        <w:gridCol w:w="3634"/>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6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9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2"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6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6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6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63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63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5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63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8489"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270" w:bottom="1800" w:left="127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
        <w:gridCol w:w="1524"/>
        <w:gridCol w:w="891"/>
        <w:gridCol w:w="1335"/>
        <w:gridCol w:w="1524"/>
        <w:gridCol w:w="1527"/>
        <w:gridCol w:w="743"/>
        <w:gridCol w:w="1329"/>
        <w:gridCol w:w="891"/>
        <w:gridCol w:w="1329"/>
        <w:gridCol w:w="1333"/>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6"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2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8"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48"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52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8"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99"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400"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91"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52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24"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5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52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52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5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6" w:type="pct"/>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我单位没有预算安排的三公经费，也没有预算安排的三公支出，故本表无数据</w:t>
            </w:r>
          </w:p>
        </w:tc>
      </w:tr>
    </w:tbl>
    <w:p>
      <w:pPr>
        <w:keepNext w:val="0"/>
        <w:keepLines w:val="0"/>
        <w:widowControl/>
        <w:suppressLineNumbers w:val="0"/>
        <w:jc w:val="left"/>
        <w:textAlignment w:val="center"/>
        <w:rPr>
          <w:rFonts w:hint="eastAsia" w:ascii="仿宋_GB2312" w:hAnsi="仿宋_GB2312" w:eastAsia="仿宋_GB2312" w:cs="仿宋_GB2312"/>
          <w:sz w:val="32"/>
          <w:szCs w:val="32"/>
          <w:highlight w:val="none"/>
        </w:rPr>
        <w:sectPr>
          <w:pgSz w:w="16838" w:h="11906" w:orient="landscape"/>
          <w:pgMar w:top="1800" w:right="1270" w:bottom="1800" w:left="127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说明：我单位没有预算安排的“三公”经费，也没有预算安排的“三公”经费支出，故本表无数据。</w:t>
      </w:r>
    </w:p>
    <w:p>
      <w:pPr>
        <w:pStyle w:val="7"/>
        <w:ind w:left="0" w:leftChars="0" w:firstLine="0" w:firstLineChars="0"/>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
        <w:gridCol w:w="551"/>
        <w:gridCol w:w="557"/>
        <w:gridCol w:w="2323"/>
        <w:gridCol w:w="2044"/>
        <w:gridCol w:w="1602"/>
        <w:gridCol w:w="1602"/>
        <w:gridCol w:w="1602"/>
        <w:gridCol w:w="1610"/>
        <w:gridCol w:w="2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8"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1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48"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单位：许昌市机构编制电子政务中心</w:t>
            </w:r>
          </w:p>
        </w:tc>
        <w:tc>
          <w:tcPr>
            <w:tcW w:w="71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5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665"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1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6"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8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6"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6"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6"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6"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注：本表反映单位本年度政府性基金预算财政拨款收入、支出及结转和结余情况。本表金额转换为万元时，因四舍五入可能存在尾差。我单位2021年无政府性基金决算支出，故此表无数据。</w:t>
            </w:r>
          </w:p>
        </w:tc>
      </w:tr>
    </w:tbl>
    <w:p>
      <w:pPr>
        <w:ind w:firstLine="640" w:firstLineChars="200"/>
        <w:jc w:val="both"/>
        <w:outlineLvl w:val="9"/>
        <w:rPr>
          <w:rFonts w:hint="eastAsia" w:ascii="仿宋_GB2312" w:hAnsi="仿宋_GB2312" w:eastAsia="仿宋_GB2312" w:cs="仿宋_GB2312"/>
          <w:sz w:val="32"/>
          <w:szCs w:val="32"/>
          <w:highlight w:val="none"/>
          <w:lang w:val="en-US" w:eastAsia="zh-CN"/>
        </w:rPr>
        <w:sectPr>
          <w:pgSz w:w="16838" w:h="11906" w:orient="landscape"/>
          <w:pgMar w:top="1800" w:right="1270" w:bottom="1800" w:left="127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128.03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4.43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3.34</w:t>
      </w:r>
      <w:r>
        <w:rPr>
          <w:rFonts w:hint="eastAsia" w:ascii="仿宋_GB2312" w:hAnsi="仿宋_GB2312" w:eastAsia="仿宋_GB2312" w:cs="仿宋_GB2312"/>
          <w:sz w:val="32"/>
          <w:szCs w:val="32"/>
          <w:highlight w:val="none"/>
        </w:rPr>
        <w:t>%。主要原因是</w:t>
      </w:r>
      <w:r>
        <w:rPr>
          <w:rFonts w:hint="eastAsia" w:eastAsia="仿宋_GB2312"/>
          <w:sz w:val="32"/>
          <w:szCs w:val="32"/>
          <w:lang w:val="en-US" w:eastAsia="zh-CN"/>
        </w:rPr>
        <w:t>按照要求压缩开支。</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99.36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99.36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128.03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80.06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62.53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47.97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37.47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128.03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4.43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3.34</w:t>
      </w:r>
      <w:r>
        <w:rPr>
          <w:rFonts w:hint="eastAsia" w:ascii="仿宋_GB2312" w:hAnsi="仿宋_GB2312" w:eastAsia="仿宋_GB2312" w:cs="仿宋_GB2312"/>
          <w:sz w:val="32"/>
          <w:szCs w:val="32"/>
          <w:highlight w:val="none"/>
        </w:rPr>
        <w:t>%。主要原因是</w:t>
      </w:r>
      <w:r>
        <w:rPr>
          <w:rFonts w:hint="eastAsia" w:eastAsia="仿宋_GB2312"/>
          <w:sz w:val="32"/>
          <w:szCs w:val="32"/>
          <w:lang w:val="en-US" w:eastAsia="zh-CN"/>
        </w:rPr>
        <w:t>按照要求压缩开支。</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128.03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22.72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21.57</w:t>
      </w:r>
      <w:r>
        <w:rPr>
          <w:rFonts w:hint="eastAsia" w:ascii="仿宋_GB2312" w:hAnsi="仿宋_GB2312" w:eastAsia="仿宋_GB2312" w:cs="仿宋_GB2312"/>
          <w:sz w:val="32"/>
          <w:szCs w:val="32"/>
          <w:highlight w:val="none"/>
        </w:rPr>
        <w:t>%。主要原因是</w:t>
      </w:r>
      <w:r>
        <w:rPr>
          <w:rFonts w:hint="eastAsia" w:eastAsia="仿宋_GB2312"/>
          <w:sz w:val="32"/>
          <w:szCs w:val="32"/>
          <w:lang w:val="en-US" w:eastAsia="zh-CN"/>
        </w:rPr>
        <w:t>使用上年结转资金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021年度一般公共预算财政拨款支出</w:t>
      </w:r>
      <w:r>
        <w:rPr>
          <w:rFonts w:hint="eastAsia" w:ascii="仿宋_GB2312" w:hAnsi="仿宋_GB2312" w:eastAsia="仿宋_GB2312" w:cs="仿宋_GB2312"/>
          <w:sz w:val="32"/>
          <w:szCs w:val="32"/>
          <w:highlight w:val="none"/>
          <w:lang w:val="en-US" w:eastAsia="zh-CN"/>
        </w:rPr>
        <w:t>128.03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118.89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92.86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lang w:val="en-US" w:eastAsia="zh-CN"/>
        </w:rPr>
        <w:t>4.44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lang w:val="en-US" w:eastAsia="zh-CN"/>
        </w:rPr>
        <w:t>4.70万元，占3.67%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75.21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128.03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170.23</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1．一般公共服务（类）纪检监察事务（款）行政运行（项）。</w:t>
      </w:r>
      <w:r>
        <w:rPr>
          <w:rFonts w:hint="eastAsia" w:ascii="仿宋_GB2312" w:hAnsi="仿宋_GB2312" w:eastAsia="仿宋_GB2312" w:cs="仿宋_GB2312"/>
          <w:color w:val="auto"/>
          <w:sz w:val="32"/>
          <w:szCs w:val="32"/>
          <w:highlight w:val="none"/>
          <w:lang w:val="en-US" w:eastAsia="zh-CN"/>
        </w:rPr>
        <w:t>年初预算为0万元，支出决算为2.54万元。</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highlight w:val="none"/>
          <w:lang w:val="en-US" w:eastAsia="zh-CN"/>
        </w:rPr>
        <w:t>年中追加项目</w:t>
      </w:r>
      <w:r>
        <w:rPr>
          <w:rFonts w:hint="eastAsia" w:ascii="仿宋_GB2312" w:hAnsi="仿宋_GB2312" w:eastAsia="仿宋_GB2312" w:cs="仿宋_GB2312"/>
          <w:sz w:val="32"/>
          <w:szCs w:val="32"/>
          <w:highlight w:val="none"/>
        </w:rPr>
        <w:t>。</w:t>
      </w:r>
    </w:p>
    <w:p>
      <w:pPr>
        <w:pStyle w:val="7"/>
        <w:ind w:firstLine="643" w:firstLineChars="200"/>
        <w:rPr>
          <w:rFonts w:hint="eastAsia"/>
          <w:highlight w:val="none"/>
        </w:rPr>
      </w:pPr>
      <w:r>
        <w:rPr>
          <w:rFonts w:hint="eastAsia" w:ascii="仿宋_GB2312" w:hAnsi="仿宋_GB2312" w:eastAsia="仿宋_GB2312" w:cs="仿宋_GB2312"/>
          <w:b/>
          <w:bCs/>
          <w:color w:val="auto"/>
          <w:sz w:val="32"/>
          <w:szCs w:val="32"/>
          <w:highlight w:val="none"/>
          <w:lang w:val="en-US" w:eastAsia="zh-CN"/>
        </w:rPr>
        <w:t>2．一般公共服务（类）群众团体事务（款）工会事务（项）。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年初预算为0.38万元，支出决算为0.38万元，完成年初预算的100%。决算数与年初预算数不存在差异。</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组织事务（款）</w:t>
      </w:r>
      <w:r>
        <w:rPr>
          <w:rFonts w:hint="eastAsia" w:ascii="仿宋_GB2312" w:hAnsi="仿宋_GB2312" w:eastAsia="仿宋_GB2312" w:cs="仿宋_GB2312"/>
          <w:b/>
          <w:bCs/>
          <w:color w:val="auto"/>
          <w:sz w:val="32"/>
          <w:szCs w:val="32"/>
          <w:highlight w:val="none"/>
        </w:rPr>
        <w:t>行政运行（项）。</w:t>
      </w:r>
      <w:r>
        <w:rPr>
          <w:rFonts w:hint="eastAsia" w:ascii="仿宋_GB2312" w:hAnsi="仿宋_GB2312" w:eastAsia="仿宋_GB2312" w:cs="仿宋_GB2312"/>
          <w:color w:val="auto"/>
          <w:sz w:val="32"/>
          <w:szCs w:val="32"/>
          <w:highlight w:val="none"/>
        </w:rPr>
        <w:t>年初预算</w:t>
      </w:r>
      <w:r>
        <w:rPr>
          <w:rFonts w:hint="eastAsia" w:ascii="仿宋_GB2312" w:hAnsi="仿宋_GB2312" w:eastAsia="仿宋_GB2312" w:cs="仿宋_GB2312"/>
          <w:color w:val="auto"/>
          <w:sz w:val="32"/>
          <w:szCs w:val="32"/>
          <w:highlight w:val="none"/>
          <w:lang w:val="en-US" w:eastAsia="zh-CN"/>
        </w:rPr>
        <w:t>65.57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67.96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103.65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决算数与年初预算数存在差异的主要原因是新增招录</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员增加预算支出。</w:t>
      </w:r>
    </w:p>
    <w:p>
      <w:pPr>
        <w:widowControl/>
        <w:numPr>
          <w:ilvl w:val="0"/>
          <w:numId w:val="0"/>
        </w:numPr>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w:t>
      </w:r>
      <w:r>
        <w:rPr>
          <w:rFonts w:hint="eastAsia" w:ascii="仿宋_GB2312" w:hAnsi="仿宋_GB2312" w:eastAsia="仿宋_GB2312" w:cs="仿宋_GB2312"/>
          <w:b/>
          <w:bCs/>
          <w:color w:val="auto"/>
          <w:sz w:val="32"/>
          <w:szCs w:val="32"/>
          <w:highlight w:val="none"/>
          <w:lang w:eastAsia="zh-CN"/>
        </w:rPr>
        <w:t>组织事务（款）</w:t>
      </w:r>
      <w:r>
        <w:rPr>
          <w:rFonts w:hint="eastAsia" w:ascii="仿宋_GB2312" w:hAnsi="仿宋_GB2312" w:eastAsia="仿宋_GB2312" w:cs="仿宋_GB2312"/>
          <w:b/>
          <w:bCs/>
          <w:color w:val="auto"/>
          <w:sz w:val="32"/>
          <w:szCs w:val="32"/>
          <w:highlight w:val="none"/>
          <w:lang w:val="en-US" w:eastAsia="zh-CN"/>
        </w:rPr>
        <w:t>一般行政管理事务（项）。</w:t>
      </w:r>
      <w:r>
        <w:rPr>
          <w:rFonts w:hint="eastAsia" w:ascii="仿宋_GB2312" w:hAnsi="仿宋_GB2312" w:eastAsia="仿宋_GB2312" w:cs="仿宋_GB2312"/>
          <w:b w:val="0"/>
          <w:bCs w:val="0"/>
          <w:color w:val="auto"/>
          <w:sz w:val="32"/>
          <w:szCs w:val="32"/>
          <w:highlight w:val="none"/>
          <w:lang w:val="en-US" w:eastAsia="zh-CN"/>
        </w:rPr>
        <w:t>年初预算为0万元，支出决算为47.97万元。决算数与年初预算数存在差异的主要原因是以前年度结转列支本年度支出和年度追加项目经费。</w:t>
      </w:r>
    </w:p>
    <w:p>
      <w:pPr>
        <w:widowControl/>
        <w:numPr>
          <w:ilvl w:val="0"/>
          <w:numId w:val="0"/>
        </w:numPr>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5.一般公共服务支出（类）</w:t>
      </w:r>
      <w:r>
        <w:rPr>
          <w:rFonts w:hint="eastAsia" w:ascii="仿宋_GB2312" w:hAnsi="仿宋_GB2312" w:eastAsia="仿宋_GB2312" w:cs="仿宋_GB2312"/>
          <w:b/>
          <w:bCs/>
          <w:color w:val="auto"/>
          <w:sz w:val="32"/>
          <w:szCs w:val="32"/>
          <w:highlight w:val="none"/>
          <w:lang w:eastAsia="zh-CN"/>
        </w:rPr>
        <w:t>组织事务（款）</w:t>
      </w:r>
      <w:r>
        <w:rPr>
          <w:rFonts w:hint="eastAsia" w:ascii="仿宋_GB2312" w:hAnsi="仿宋_GB2312" w:eastAsia="仿宋_GB2312" w:cs="仿宋_GB2312"/>
          <w:b/>
          <w:bCs/>
          <w:color w:val="auto"/>
          <w:sz w:val="32"/>
          <w:szCs w:val="32"/>
          <w:highlight w:val="none"/>
          <w:lang w:val="en-US" w:eastAsia="zh-CN"/>
        </w:rPr>
        <w:t>事业运行（项）。</w:t>
      </w:r>
      <w:r>
        <w:rPr>
          <w:rFonts w:hint="eastAsia" w:ascii="仿宋_GB2312" w:hAnsi="仿宋_GB2312" w:eastAsia="仿宋_GB2312" w:cs="仿宋_GB2312"/>
          <w:b w:val="0"/>
          <w:bCs w:val="0"/>
          <w:color w:val="auto"/>
          <w:sz w:val="32"/>
          <w:szCs w:val="32"/>
          <w:highlight w:val="none"/>
          <w:lang w:val="en-US" w:eastAsia="zh-CN"/>
        </w:rPr>
        <w:t>年初预算为0.12万元，支出决算为0.05万元，</w:t>
      </w:r>
      <w:r>
        <w:rPr>
          <w:rFonts w:hint="eastAsia" w:ascii="仿宋_GB2312" w:hAnsi="仿宋_GB2312" w:eastAsia="仿宋_GB2312" w:cs="仿宋_GB2312"/>
          <w:color w:val="auto"/>
          <w:sz w:val="32"/>
          <w:szCs w:val="32"/>
          <w:highlight w:val="none"/>
        </w:rPr>
        <w:t>完成年初预算的</w:t>
      </w:r>
      <w:r>
        <w:rPr>
          <w:rFonts w:hint="eastAsia" w:ascii="仿宋_GB2312" w:hAnsi="仿宋_GB2312" w:eastAsia="仿宋_GB2312" w:cs="仿宋_GB2312"/>
          <w:color w:val="auto"/>
          <w:sz w:val="32"/>
          <w:szCs w:val="32"/>
          <w:highlight w:val="none"/>
          <w:lang w:val="en-US" w:eastAsia="zh-CN"/>
        </w:rPr>
        <w:t>41.67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决算数与年初预算数存在差异的主要原因是厉行节约。</w:t>
      </w:r>
    </w:p>
    <w:p>
      <w:pPr>
        <w:widowControl/>
        <w:numPr>
          <w:ilvl w:val="0"/>
          <w:numId w:val="0"/>
        </w:numPr>
        <w:spacing w:line="590" w:lineRule="exact"/>
        <w:ind w:firstLine="643"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4.44</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4.44</w:t>
      </w:r>
      <w:r>
        <w:rPr>
          <w:rFonts w:hint="eastAsia" w:ascii="仿宋_GB2312" w:hAnsi="仿宋_GB2312" w:eastAsia="仿宋_GB2312" w:cs="仿宋_GB2312"/>
          <w:b w:val="0"/>
          <w:bCs w:val="0"/>
          <w:color w:val="auto"/>
          <w:sz w:val="32"/>
          <w:szCs w:val="32"/>
          <w:highlight w:val="none"/>
        </w:rPr>
        <w:t>万元，完成年初预算的100%。决算数与年初预算数</w:t>
      </w:r>
      <w:r>
        <w:rPr>
          <w:rFonts w:hint="eastAsia" w:ascii="仿宋_GB2312" w:hAnsi="仿宋_GB2312" w:eastAsia="仿宋_GB2312" w:cs="仿宋_GB2312"/>
          <w:b w:val="0"/>
          <w:bCs w:val="0"/>
          <w:color w:val="auto"/>
          <w:sz w:val="32"/>
          <w:szCs w:val="32"/>
          <w:highlight w:val="none"/>
          <w:lang w:eastAsia="zh-CN"/>
        </w:rPr>
        <w:t>不</w:t>
      </w:r>
      <w:r>
        <w:rPr>
          <w:rFonts w:hint="eastAsia" w:ascii="仿宋_GB2312" w:hAnsi="仿宋_GB2312" w:eastAsia="仿宋_GB2312" w:cs="仿宋_GB2312"/>
          <w:b w:val="0"/>
          <w:bCs w:val="0"/>
          <w:color w:val="auto"/>
          <w:sz w:val="32"/>
          <w:szCs w:val="32"/>
          <w:highlight w:val="none"/>
        </w:rPr>
        <w:t>存在差异</w:t>
      </w:r>
      <w:r>
        <w:rPr>
          <w:rFonts w:hint="eastAsia" w:ascii="仿宋_GB2312" w:hAnsi="仿宋_GB2312" w:eastAsia="仿宋_GB2312" w:cs="仿宋_GB2312"/>
          <w:b w:val="0"/>
          <w:bCs w:val="0"/>
          <w:color w:val="auto"/>
          <w:sz w:val="32"/>
          <w:szCs w:val="32"/>
          <w:highlight w:val="none"/>
          <w:lang w:eastAsia="zh-CN"/>
        </w:rPr>
        <w:t>。</w:t>
      </w:r>
    </w:p>
    <w:p>
      <w:pPr>
        <w:widowControl/>
        <w:numPr>
          <w:ilvl w:val="0"/>
          <w:numId w:val="0"/>
        </w:numPr>
        <w:spacing w:line="590" w:lineRule="exact"/>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2.41</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2.41</w:t>
      </w:r>
      <w:r>
        <w:rPr>
          <w:rFonts w:hint="eastAsia" w:ascii="仿宋_GB2312" w:hAnsi="仿宋_GB2312" w:eastAsia="仿宋_GB2312" w:cs="仿宋_GB2312"/>
          <w:b w:val="0"/>
          <w:bCs w:val="0"/>
          <w:color w:val="auto"/>
          <w:sz w:val="32"/>
          <w:szCs w:val="32"/>
          <w:highlight w:val="none"/>
        </w:rPr>
        <w:t>万元，完成年初预算的100%。决算数与年初预算数</w:t>
      </w:r>
      <w:r>
        <w:rPr>
          <w:rFonts w:hint="eastAsia" w:ascii="仿宋_GB2312" w:hAnsi="仿宋_GB2312" w:eastAsia="仿宋_GB2312" w:cs="仿宋_GB2312"/>
          <w:b w:val="0"/>
          <w:bCs w:val="0"/>
          <w:color w:val="auto"/>
          <w:sz w:val="32"/>
          <w:szCs w:val="32"/>
          <w:highlight w:val="none"/>
          <w:lang w:eastAsia="zh-CN"/>
        </w:rPr>
        <w:t>不</w:t>
      </w:r>
      <w:r>
        <w:rPr>
          <w:rFonts w:hint="eastAsia" w:ascii="仿宋_GB2312" w:hAnsi="仿宋_GB2312" w:eastAsia="仿宋_GB2312" w:cs="仿宋_GB2312"/>
          <w:b w:val="0"/>
          <w:bCs w:val="0"/>
          <w:color w:val="auto"/>
          <w:sz w:val="32"/>
          <w:szCs w:val="32"/>
          <w:highlight w:val="none"/>
        </w:rPr>
        <w:t>存在差异</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590" w:lineRule="exact"/>
        <w:ind w:firstLine="643"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卫生健康支出（类）行政事业单位医疗（款）公务员医疗补助（项）。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2.29</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2.29</w:t>
      </w:r>
      <w:r>
        <w:rPr>
          <w:rFonts w:hint="eastAsia" w:ascii="仿宋_GB2312" w:hAnsi="仿宋_GB2312" w:eastAsia="仿宋_GB2312" w:cs="仿宋_GB2312"/>
          <w:b w:val="0"/>
          <w:bCs w:val="0"/>
          <w:color w:val="auto"/>
          <w:sz w:val="32"/>
          <w:szCs w:val="32"/>
          <w:highlight w:val="none"/>
        </w:rPr>
        <w:t>万元，完成年初预算的100%。决算数与年初预算数</w:t>
      </w:r>
      <w:r>
        <w:rPr>
          <w:rFonts w:hint="eastAsia" w:ascii="仿宋_GB2312" w:hAnsi="仿宋_GB2312" w:eastAsia="仿宋_GB2312" w:cs="仿宋_GB2312"/>
          <w:b w:val="0"/>
          <w:bCs w:val="0"/>
          <w:color w:val="auto"/>
          <w:sz w:val="32"/>
          <w:szCs w:val="32"/>
          <w:highlight w:val="none"/>
          <w:lang w:eastAsia="zh-CN"/>
        </w:rPr>
        <w:t>不</w:t>
      </w:r>
      <w:r>
        <w:rPr>
          <w:rFonts w:hint="eastAsia" w:ascii="仿宋_GB2312" w:hAnsi="仿宋_GB2312" w:eastAsia="仿宋_GB2312" w:cs="仿宋_GB2312"/>
          <w:b w:val="0"/>
          <w:bCs w:val="0"/>
          <w:color w:val="auto"/>
          <w:sz w:val="32"/>
          <w:szCs w:val="32"/>
          <w:highlight w:val="none"/>
        </w:rPr>
        <w:t>存在差异</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80.06</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78.68</w:t>
      </w:r>
      <w:r>
        <w:rPr>
          <w:rFonts w:hint="eastAsia" w:ascii="仿宋_GB2312" w:hAnsi="仿宋_GB2312" w:eastAsia="仿宋_GB2312" w:cs="仿宋_GB2312"/>
          <w:sz w:val="32"/>
          <w:szCs w:val="32"/>
        </w:rPr>
        <w:t>万元，主要包括：基本工资、津贴补贴、</w:t>
      </w:r>
      <w:r>
        <w:rPr>
          <w:rFonts w:hint="eastAsia" w:ascii="仿宋_GB2312" w:hAnsi="仿宋_GB2312" w:eastAsia="仿宋_GB2312" w:cs="仿宋_GB2312"/>
          <w:sz w:val="32"/>
          <w:szCs w:val="32"/>
          <w:lang w:eastAsia="zh-CN"/>
        </w:rPr>
        <w:t>奖金、机关事业单位基本养老保险缴费、职工基本医疗保险缴费、公务员医疗补助缴费、</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万元，主要包括：办公费、差旅费、工会经费、福利费</w:t>
      </w:r>
      <w:r>
        <w:rPr>
          <w:rFonts w:hint="eastAsia" w:ascii="仿宋_GB2312" w:hAnsi="仿宋_GB2312" w:eastAsia="仿宋_GB2312" w:cs="仿宋_GB2312"/>
          <w:sz w:val="32"/>
          <w:szCs w:val="32"/>
          <w:lang w:eastAsia="zh-CN"/>
        </w:rPr>
        <w:t>等。</w:t>
      </w:r>
    </w:p>
    <w:p>
      <w:pPr>
        <w:keepNext w:val="0"/>
        <w:keepLines w:val="0"/>
        <w:pageBreakBefore w:val="0"/>
        <w:widowControl/>
        <w:kinsoku/>
        <w:wordWrap/>
        <w:overflowPunct/>
        <w:topLinePunct w:val="0"/>
        <w:autoSpaceDE/>
        <w:autoSpaceDN/>
        <w:bidi w:val="0"/>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年度政府性基金预算财政拨款支出年初预算为0万元，支出决算为0万元。</w:t>
      </w:r>
      <w:r>
        <w:rPr>
          <w:rFonts w:hint="eastAsia" w:ascii="仿宋_GB2312" w:hAnsi="仿宋_GB2312" w:eastAsia="仿宋_GB2312" w:cs="仿宋_GB2312"/>
          <w:color w:val="auto"/>
          <w:sz w:val="32"/>
          <w:szCs w:val="32"/>
          <w:highlight w:val="none"/>
          <w:lang w:eastAsia="zh-CN"/>
        </w:rPr>
        <w:t>不存在项目年末结转和结余资金数额较大。情况说明：我</w:t>
      </w:r>
      <w:r>
        <w:rPr>
          <w:rFonts w:hint="eastAsia" w:ascii="仿宋_GB2312" w:hAnsi="仿宋_GB2312" w:eastAsia="仿宋_GB2312" w:cs="仿宋_GB2312"/>
          <w:b w:val="0"/>
          <w:bCs/>
          <w:sz w:val="32"/>
          <w:szCs w:val="32"/>
          <w:highlight w:val="none"/>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128.03万元，其中：基本支出80.06万元；支出项目3个，支出金额47.97万元。开展项目绩效自评项目3个，自评金额47.97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科学规范的方法，基于预期目标的实现程度，我单位深入开展了绩效自评工作，单位整体绩效自评结果为良好。二是项目绩效自评情况。我单位共有3个项目批复了绩效目标，项目金额47.97万元。</w:t>
      </w:r>
    </w:p>
    <w:p>
      <w:pPr>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基于项目预期目标的实现程度，对2021年度项目支出绩效进行自评，绩效自评平均得分为98.8分。其中：3个项目评价等级为“优”，</w:t>
      </w:r>
      <w:r>
        <w:rPr>
          <w:rFonts w:hint="eastAsia" w:ascii="仿宋_GB2312" w:hAnsi="仿宋_GB2312" w:eastAsia="仿宋_GB2312" w:cs="仿宋_GB2312"/>
          <w:color w:val="auto"/>
          <w:sz w:val="32"/>
          <w:szCs w:val="32"/>
          <w:highlight w:val="none"/>
        </w:rPr>
        <w:t>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7"/>
        <w:rPr>
          <w:rFonts w:hint="eastAsia" w:ascii="黑体" w:hAnsi="宋体" w:eastAsia="黑体" w:cs="宋体"/>
          <w:kern w:val="0"/>
          <w:sz w:val="28"/>
          <w:szCs w:val="28"/>
          <w:highlight w:val="none"/>
        </w:rPr>
      </w:pPr>
    </w:p>
    <w:p>
      <w:pPr>
        <w:pStyle w:val="7"/>
        <w:rPr>
          <w:rFonts w:hint="eastAsia" w:ascii="黑体" w:hAnsi="宋体" w:eastAsia="黑体" w:cs="宋体"/>
          <w:kern w:val="0"/>
          <w:sz w:val="28"/>
          <w:szCs w:val="28"/>
          <w:highlight w:val="none"/>
        </w:rPr>
      </w:pPr>
    </w:p>
    <w:p>
      <w:pPr>
        <w:pStyle w:val="7"/>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ySKM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Mkij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boH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vV5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4W6B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13D1"/>
    <w:multiLevelType w:val="singleLevel"/>
    <w:tmpl w:val="9FFF13D1"/>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3A5946"/>
    <w:rsid w:val="01DC6F05"/>
    <w:rsid w:val="02A3489A"/>
    <w:rsid w:val="02CA138D"/>
    <w:rsid w:val="033646FC"/>
    <w:rsid w:val="03C75F80"/>
    <w:rsid w:val="0478364D"/>
    <w:rsid w:val="05202C37"/>
    <w:rsid w:val="053D4C0D"/>
    <w:rsid w:val="0557532E"/>
    <w:rsid w:val="06205F06"/>
    <w:rsid w:val="0799329C"/>
    <w:rsid w:val="08397436"/>
    <w:rsid w:val="086F16A7"/>
    <w:rsid w:val="086F7027"/>
    <w:rsid w:val="0A0F7225"/>
    <w:rsid w:val="0A2B7D82"/>
    <w:rsid w:val="0ADC40E9"/>
    <w:rsid w:val="0AE607F4"/>
    <w:rsid w:val="0B386127"/>
    <w:rsid w:val="0B451598"/>
    <w:rsid w:val="0B6C3B81"/>
    <w:rsid w:val="0BEC73F4"/>
    <w:rsid w:val="0C392698"/>
    <w:rsid w:val="0D9A0918"/>
    <w:rsid w:val="10BD36F6"/>
    <w:rsid w:val="11BF0649"/>
    <w:rsid w:val="123E3E08"/>
    <w:rsid w:val="13165211"/>
    <w:rsid w:val="133212F4"/>
    <w:rsid w:val="13D22E22"/>
    <w:rsid w:val="161C2DFF"/>
    <w:rsid w:val="16373578"/>
    <w:rsid w:val="16D3336B"/>
    <w:rsid w:val="17200028"/>
    <w:rsid w:val="17806C36"/>
    <w:rsid w:val="17A74F62"/>
    <w:rsid w:val="18A47774"/>
    <w:rsid w:val="1A8D28EB"/>
    <w:rsid w:val="1A9F2D78"/>
    <w:rsid w:val="1B2E6FD8"/>
    <w:rsid w:val="1B877D21"/>
    <w:rsid w:val="1C4319A9"/>
    <w:rsid w:val="1C6C3EEA"/>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134F46"/>
    <w:rsid w:val="2FA476AD"/>
    <w:rsid w:val="303F7540"/>
    <w:rsid w:val="31DD00BF"/>
    <w:rsid w:val="3293174C"/>
    <w:rsid w:val="32BB38D4"/>
    <w:rsid w:val="32C9376D"/>
    <w:rsid w:val="33780472"/>
    <w:rsid w:val="33AF0905"/>
    <w:rsid w:val="355932F4"/>
    <w:rsid w:val="35611882"/>
    <w:rsid w:val="36746FC3"/>
    <w:rsid w:val="368763AE"/>
    <w:rsid w:val="38A81E61"/>
    <w:rsid w:val="395D59E7"/>
    <w:rsid w:val="39A93932"/>
    <w:rsid w:val="3A915562"/>
    <w:rsid w:val="3B8D4765"/>
    <w:rsid w:val="3C000DBA"/>
    <w:rsid w:val="3D7C3284"/>
    <w:rsid w:val="3DC045D3"/>
    <w:rsid w:val="3E504FFB"/>
    <w:rsid w:val="3E615CD0"/>
    <w:rsid w:val="3E9C47F6"/>
    <w:rsid w:val="3EEC4EF4"/>
    <w:rsid w:val="3F8B0112"/>
    <w:rsid w:val="3FAB3095"/>
    <w:rsid w:val="3FE45947"/>
    <w:rsid w:val="41242965"/>
    <w:rsid w:val="435671EA"/>
    <w:rsid w:val="440809E9"/>
    <w:rsid w:val="442407A6"/>
    <w:rsid w:val="44805EA1"/>
    <w:rsid w:val="45710696"/>
    <w:rsid w:val="46142B1B"/>
    <w:rsid w:val="46DC1FBC"/>
    <w:rsid w:val="47E60DD0"/>
    <w:rsid w:val="48735039"/>
    <w:rsid w:val="48BB0092"/>
    <w:rsid w:val="492C684B"/>
    <w:rsid w:val="49500594"/>
    <w:rsid w:val="49E7604E"/>
    <w:rsid w:val="4BD30AD7"/>
    <w:rsid w:val="4BF67CDD"/>
    <w:rsid w:val="4D173441"/>
    <w:rsid w:val="4D603DD6"/>
    <w:rsid w:val="4EBF010F"/>
    <w:rsid w:val="4F471EB0"/>
    <w:rsid w:val="51331326"/>
    <w:rsid w:val="51740A7F"/>
    <w:rsid w:val="51A5541E"/>
    <w:rsid w:val="51C96242"/>
    <w:rsid w:val="51E67CCE"/>
    <w:rsid w:val="53906AE1"/>
    <w:rsid w:val="54F46F60"/>
    <w:rsid w:val="556D1D67"/>
    <w:rsid w:val="55A37BEA"/>
    <w:rsid w:val="56362CD2"/>
    <w:rsid w:val="5784687B"/>
    <w:rsid w:val="57846959"/>
    <w:rsid w:val="578E6A87"/>
    <w:rsid w:val="599E4BE5"/>
    <w:rsid w:val="5AC2203A"/>
    <w:rsid w:val="5BFFD9CC"/>
    <w:rsid w:val="5CBB3334"/>
    <w:rsid w:val="5D115FAF"/>
    <w:rsid w:val="5F3F7668"/>
    <w:rsid w:val="62811722"/>
    <w:rsid w:val="62E75A72"/>
    <w:rsid w:val="64571880"/>
    <w:rsid w:val="649125B6"/>
    <w:rsid w:val="652F4C1A"/>
    <w:rsid w:val="666D37F1"/>
    <w:rsid w:val="67087D8F"/>
    <w:rsid w:val="671F687E"/>
    <w:rsid w:val="67F415F8"/>
    <w:rsid w:val="682640D1"/>
    <w:rsid w:val="684B73E5"/>
    <w:rsid w:val="6A047A2A"/>
    <w:rsid w:val="6ADFE86D"/>
    <w:rsid w:val="6EFB7548"/>
    <w:rsid w:val="6F3831C3"/>
    <w:rsid w:val="6F8B71C1"/>
    <w:rsid w:val="70753482"/>
    <w:rsid w:val="707B522A"/>
    <w:rsid w:val="72895117"/>
    <w:rsid w:val="72D8486C"/>
    <w:rsid w:val="73194D05"/>
    <w:rsid w:val="73A83B0E"/>
    <w:rsid w:val="744D3EF9"/>
    <w:rsid w:val="74794411"/>
    <w:rsid w:val="75867C40"/>
    <w:rsid w:val="75B10B26"/>
    <w:rsid w:val="76432199"/>
    <w:rsid w:val="76F44829"/>
    <w:rsid w:val="771F1C9A"/>
    <w:rsid w:val="77A267C0"/>
    <w:rsid w:val="78882278"/>
    <w:rsid w:val="78B118A6"/>
    <w:rsid w:val="79135044"/>
    <w:rsid w:val="795812F2"/>
    <w:rsid w:val="7A7D0F99"/>
    <w:rsid w:val="7BFFA369"/>
    <w:rsid w:val="7C0745C3"/>
    <w:rsid w:val="7D29284E"/>
    <w:rsid w:val="7E4A0E7C"/>
    <w:rsid w:val="7EA61C4D"/>
    <w:rsid w:val="7EFD449D"/>
    <w:rsid w:val="AEF34BE1"/>
    <w:rsid w:val="AFF52FEA"/>
    <w:rsid w:val="B77F9844"/>
    <w:rsid w:val="DBBF0960"/>
    <w:rsid w:val="DEFF7B3E"/>
    <w:rsid w:val="EB6EDF84"/>
    <w:rsid w:val="EFEFD5A5"/>
    <w:rsid w:val="F7A77B5A"/>
    <w:rsid w:val="FF6FE4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2">
    <w:name w:val="heading 3"/>
    <w:basedOn w:val="1"/>
    <w:next w:val="1"/>
    <w:qFormat/>
    <w:uiPriority w:val="9"/>
    <w:pPr>
      <w:spacing w:beforeAutospacing="1" w:afterAutospacing="1"/>
      <w:jc w:val="left"/>
      <w:outlineLvl w:val="2"/>
    </w:pPr>
    <w:rPr>
      <w:rFonts w:ascii="宋体" w:hAnsi="宋体"/>
      <w:b/>
      <w:kern w:val="0"/>
      <w:sz w:val="27"/>
      <w:szCs w:val="27"/>
    </w:rPr>
  </w:style>
  <w:style w:type="character" w:default="1" w:styleId="10">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w:basedOn w:val="1"/>
    <w:qFormat/>
    <w:uiPriority w:val="0"/>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style>
  <w:style w:type="table" w:styleId="9">
    <w:name w:val="Table Grid"/>
    <w:basedOn w:val="8"/>
    <w:uiPriority w:val="5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uiPriority w:val="99"/>
    <w:rPr>
      <w:color w:val="800080"/>
      <w:u w:val="single"/>
    </w:rPr>
  </w:style>
  <w:style w:type="character" w:styleId="12">
    <w:name w:val="Hyperlink"/>
    <w:unhideWhenUsed/>
    <w:uiPriority w:val="99"/>
    <w:rPr>
      <w:color w:val="0000FF"/>
      <w:u w:val="single"/>
    </w:rPr>
  </w:style>
  <w:style w:type="character" w:customStyle="1" w:styleId="13">
    <w:name w:val="批注框文本 Char"/>
    <w:link w:val="4"/>
    <w:semiHidden/>
    <w:uiPriority w:val="99"/>
    <w:rPr>
      <w:kern w:val="2"/>
      <w:sz w:val="18"/>
      <w:szCs w:val="18"/>
    </w:rPr>
  </w:style>
  <w:style w:type="character" w:customStyle="1" w:styleId="14">
    <w:name w:val="页脚 Char"/>
    <w:link w:val="5"/>
    <w:uiPriority w:val="99"/>
    <w:rPr>
      <w:kern w:val="2"/>
      <w:sz w:val="18"/>
      <w:szCs w:val="18"/>
    </w:rPr>
  </w:style>
  <w:style w:type="character" w:customStyle="1" w:styleId="15">
    <w:name w:val="页眉 Char"/>
    <w:link w:val="6"/>
    <w:uiPriority w:val="99"/>
    <w:rPr>
      <w:kern w:val="2"/>
      <w:sz w:val="18"/>
      <w:szCs w:val="18"/>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21"/>
    <w:uiPriority w:val="0"/>
    <w:rPr>
      <w:rFonts w:hint="eastAsia" w:ascii="宋体" w:hAnsi="宋体" w:eastAsia="宋体" w:cs="宋体"/>
      <w:color w:val="000000"/>
      <w:sz w:val="22"/>
      <w:szCs w:val="22"/>
      <w:u w:val="none"/>
    </w:rPr>
  </w:style>
  <w:style w:type="character" w:customStyle="1" w:styleId="18">
    <w:name w:val="font51"/>
    <w:uiPriority w:val="0"/>
    <w:rPr>
      <w:rFonts w:hint="eastAsia" w:ascii="宋体" w:hAnsi="宋体" w:eastAsia="宋体" w:cs="宋体"/>
      <w:color w:val="000000"/>
      <w:sz w:val="24"/>
      <w:szCs w:val="24"/>
      <w:u w:val="none"/>
    </w:rPr>
  </w:style>
  <w:style w:type="character" w:customStyle="1" w:styleId="19">
    <w:name w:val="font11"/>
    <w:uiPriority w:val="0"/>
    <w:rPr>
      <w:rFonts w:hint="eastAsia" w:ascii="宋体" w:hAnsi="宋体" w:eastAsia="宋体" w:cs="宋体"/>
      <w:color w:val="000000"/>
      <w:sz w:val="20"/>
      <w:szCs w:val="20"/>
      <w:u w:val="none"/>
    </w:rPr>
  </w:style>
  <w:style w:type="character" w:customStyle="1" w:styleId="20">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7762</Words>
  <Characters>9279</Characters>
  <Lines>60</Lines>
  <Paragraphs>16</Paragraphs>
  <TotalTime>70</TotalTime>
  <ScaleCrop>false</ScaleCrop>
  <LinksUpToDate>false</LinksUpToDate>
  <CharactersWithSpaces>9511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2007-12-02T03:41:00Z</dcterms:created>
  <dc:creator>管理者</dc:creator>
  <cp:lastModifiedBy>悟の</cp:lastModifiedBy>
  <cp:lastPrinted>2018-07-27T10:50:00Z</cp:lastPrinted>
  <dcterms:modified xsi:type="dcterms:W3CDTF">2023-05-29T03:02:04Z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7010DF8B80264BE981CA618ABE32495D_13</vt:lpwstr>
  </property>
</Properties>
</file>