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r>
        <w:rPr>
          <w:rFonts w:hint="eastAsia" w:ascii="黑体" w:hAnsi="宋体" w:eastAsia="黑体" w:cs="宋体"/>
          <w:kern w:val="0"/>
          <w:sz w:val="28"/>
          <w:szCs w:val="28"/>
        </w:rPr>
        <w:t xml:space="preserve">   </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w:t>
      </w:r>
      <w:r>
        <w:rPr>
          <w:rFonts w:hint="eastAsia" w:ascii="黑体" w:hAnsi="黑体" w:eastAsia="黑体" w:cs="黑体"/>
          <w:sz w:val="52"/>
          <w:szCs w:val="52"/>
        </w:rPr>
        <w:t>1年度</w:t>
      </w:r>
    </w:p>
    <w:p>
      <w:pPr>
        <w:jc w:val="center"/>
        <w:rPr>
          <w:rFonts w:ascii="黑体" w:hAnsi="黑体" w:eastAsia="黑体" w:cs="黑体"/>
          <w:sz w:val="52"/>
          <w:szCs w:val="52"/>
        </w:rPr>
      </w:pPr>
      <w:r>
        <w:rPr>
          <w:rFonts w:hint="eastAsia" w:ascii="黑体" w:hAnsi="黑体" w:eastAsia="黑体" w:cs="黑体"/>
          <w:sz w:val="52"/>
          <w:szCs w:val="52"/>
        </w:rPr>
        <w:t>许昌市机关事务中心后勤一处</w:t>
      </w:r>
    </w:p>
    <w:p>
      <w:pPr>
        <w:jc w:val="center"/>
        <w:rPr>
          <w:rFonts w:ascii="黑体" w:hAnsi="黑体" w:eastAsia="黑体" w:cs="黑体"/>
          <w:sz w:val="52"/>
          <w:szCs w:val="52"/>
        </w:rPr>
      </w:pPr>
      <w:r>
        <w:rPr>
          <w:rFonts w:hint="eastAsia" w:ascii="黑体" w:hAnsi="黑体" w:eastAsia="黑体" w:cs="黑体"/>
          <w:sz w:val="52"/>
          <w:szCs w:val="52"/>
        </w:rPr>
        <w:t>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许昌市机关事务中心后勤一处概况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numPr>
          <w:ilvl w:val="0"/>
          <w:numId w:val="2"/>
        </w:numPr>
        <w:jc w:val="center"/>
        <w:outlineLvl w:val="0"/>
        <w:rPr>
          <w:rFonts w:ascii="黑体" w:hAnsi="黑体" w:eastAsia="黑体" w:cs="黑体"/>
          <w:sz w:val="48"/>
          <w:szCs w:val="48"/>
        </w:rPr>
      </w:pPr>
      <w:r>
        <w:rPr>
          <w:rFonts w:hint="eastAsia" w:ascii="黑体" w:hAnsi="黑体" w:eastAsia="黑体" w:cs="黑体"/>
          <w:sz w:val="48"/>
          <w:szCs w:val="48"/>
        </w:rPr>
        <w:t xml:space="preserve"> 许昌市机关事务中心</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 xml:space="preserve">         后勤一处概况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jc w:val="left"/>
        <w:outlineLvl w:val="1"/>
        <w:rPr>
          <w:rFonts w:ascii="仿宋_GB2312" w:hAnsi="仿宋_GB2312" w:eastAsia="仿宋_GB2312" w:cs="仿宋_GB2312"/>
          <w:bCs/>
          <w:sz w:val="32"/>
        </w:rPr>
      </w:pPr>
      <w:r>
        <w:rPr>
          <w:rFonts w:hint="eastAsia" w:ascii="仿宋_GB2312" w:hAnsi="仿宋_GB2312" w:eastAsia="仿宋_GB2312" w:cs="仿宋_GB2312"/>
          <w:bCs/>
          <w:sz w:val="32"/>
        </w:rPr>
        <w:t>许昌市机关事务中心后勤一处的单位职责是负责市委、市政府和人大、政协等办公区的安全保卫、卫生、绿化及房屋、水、电、暖等公共设施的管理。</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snapToGrid w:val="0"/>
        <w:spacing w:line="360" w:lineRule="auto"/>
        <w:ind w:left="1" w:firstLine="639"/>
        <w:jc w:val="left"/>
        <w:textAlignment w:val="bottom"/>
        <w:rPr>
          <w:rFonts w:ascii="仿宋_GB2312" w:hAnsi="仿宋_GB2312" w:eastAsia="仿宋_GB2312" w:cs="仿宋_GB2312"/>
          <w:bCs/>
          <w:sz w:val="32"/>
        </w:rPr>
      </w:pPr>
      <w:r>
        <w:rPr>
          <w:rFonts w:hint="eastAsia" w:ascii="仿宋_GB2312" w:hAnsi="仿宋_GB2312" w:eastAsia="仿宋_GB2312" w:cs="仿宋_GB2312"/>
          <w:bCs/>
          <w:sz w:val="32"/>
        </w:rPr>
        <w:t>许昌市机关事务中心后勤一处成立于2005年3月，市政府直属正科级事业单位，经费财政全供，隶属市直机关事务中心领导。后勤一处内设科室（机构）7个：办公室、管理服务科、保卫科、会务中心、绿化保洁、机关餐厅服务科、财务科。</w:t>
      </w:r>
    </w:p>
    <w:p>
      <w:pPr>
        <w:widowControl/>
        <w:spacing w:line="360" w:lineRule="auto"/>
        <w:ind w:firstLine="640" w:firstLineChars="200"/>
        <w:jc w:val="left"/>
        <w:rPr>
          <w:rFonts w:ascii="黑体" w:hAnsi="黑体" w:eastAsia="黑体" w:cs="楷体"/>
          <w:b/>
          <w:bCs/>
          <w:color w:val="FF0000"/>
          <w:kern w:val="0"/>
          <w:sz w:val="28"/>
          <w:szCs w:val="28"/>
        </w:rPr>
      </w:pPr>
      <w:r>
        <w:rPr>
          <w:rFonts w:hint="eastAsia" w:ascii="仿宋_GB2312" w:hAnsi="仿宋_GB2312" w:eastAsia="仿宋_GB2312" w:cs="仿宋_GB2312"/>
          <w:kern w:val="0"/>
          <w:sz w:val="32"/>
          <w:szCs w:val="32"/>
        </w:rPr>
        <w:t>从决算单位构成看，许昌市机关事务中心后勤一处单位决算包括：本级决算（1个）。</w:t>
      </w:r>
    </w:p>
    <w:p>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纳入本单位2021年度单位决算编制</w:t>
      </w:r>
      <w:r>
        <w:rPr>
          <w:rFonts w:hint="eastAsia" w:ascii="仿宋_GB2312" w:hAnsi="仿宋_GB2312" w:eastAsia="仿宋_GB2312" w:cs="仿宋_GB2312"/>
          <w:color w:val="000000"/>
          <w:kern w:val="0"/>
          <w:sz w:val="32"/>
          <w:szCs w:val="32"/>
        </w:rPr>
        <w:t>范围的单位共1个，</w:t>
      </w:r>
      <w:r>
        <w:rPr>
          <w:rFonts w:hint="eastAsia" w:ascii="仿宋_GB2312" w:hAnsi="仿宋_GB2312" w:eastAsia="仿宋_GB2312" w:cs="仿宋_GB2312"/>
          <w:kern w:val="0"/>
          <w:sz w:val="32"/>
          <w:szCs w:val="32"/>
        </w:rPr>
        <w:t>具体是：</w:t>
      </w:r>
    </w:p>
    <w:p>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1.许昌市机关事务中心后勤一处</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4070" w:type="dxa"/>
        <w:tblInd w:w="93" w:type="dxa"/>
        <w:tblLayout w:type="autofit"/>
        <w:tblCellMar>
          <w:top w:w="0" w:type="dxa"/>
          <w:left w:w="108" w:type="dxa"/>
          <w:bottom w:w="0" w:type="dxa"/>
          <w:right w:w="108" w:type="dxa"/>
        </w:tblCellMar>
      </w:tblPr>
      <w:tblGrid>
        <w:gridCol w:w="4623"/>
        <w:gridCol w:w="812"/>
        <w:gridCol w:w="1474"/>
        <w:gridCol w:w="4351"/>
        <w:gridCol w:w="812"/>
        <w:gridCol w:w="1998"/>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2,162.75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463.90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795"/>
        <w:gridCol w:w="795"/>
        <w:gridCol w:w="347"/>
        <w:gridCol w:w="3956"/>
        <w:gridCol w:w="1347"/>
        <w:gridCol w:w="1275"/>
        <w:gridCol w:w="1141"/>
        <w:gridCol w:w="1127"/>
        <w:gridCol w:w="1113"/>
        <w:gridCol w:w="1099"/>
        <w:gridCol w:w="1179"/>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28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9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2078" w:type="pct"/>
            <w:gridSpan w:val="4"/>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cs="宋体"/>
                <w:color w:val="000000"/>
                <w:kern w:val="0"/>
                <w:sz w:val="20"/>
                <w:szCs w:val="20"/>
              </w:rPr>
              <w:t>单位：许昌市机关事务中心后勤一处</w:t>
            </w:r>
          </w:p>
        </w:tc>
        <w:tc>
          <w:tcPr>
            <w:tcW w:w="47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8" w:type="pct"/>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0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76"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450"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403"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398"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393"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388"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410"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685"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392" w:type="pct"/>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47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685"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392" w:type="pct"/>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47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685"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392" w:type="pct"/>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47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5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0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9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42" w:hRule="atLeast"/>
        </w:trPr>
        <w:tc>
          <w:tcPr>
            <w:tcW w:w="2078"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7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50"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03"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98"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93"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410"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402" w:hRule="atLeast"/>
        </w:trPr>
        <w:tc>
          <w:tcPr>
            <w:tcW w:w="2078"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1,740.37</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1,740.37</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41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1,698.85</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1,698.85</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1,697.43</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1,697.43</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2010303</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机关服务</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225.43</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225.43</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2010350</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1,472.00</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1,472.00</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17"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1392"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47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5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0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88"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autofit"/>
        <w:tblCellMar>
          <w:top w:w="0" w:type="dxa"/>
          <w:left w:w="108" w:type="dxa"/>
          <w:bottom w:w="0" w:type="dxa"/>
          <w:right w:w="108" w:type="dxa"/>
        </w:tblCellMar>
      </w:tblPr>
      <w:tblGrid>
        <w:gridCol w:w="3416"/>
        <w:gridCol w:w="222"/>
        <w:gridCol w:w="222"/>
        <w:gridCol w:w="3956"/>
        <w:gridCol w:w="1252"/>
        <w:gridCol w:w="1191"/>
        <w:gridCol w:w="1011"/>
        <w:gridCol w:w="631"/>
        <w:gridCol w:w="553"/>
        <w:gridCol w:w="1720"/>
      </w:tblGrid>
      <w:tr>
        <w:tblPrEx>
          <w:tblCellMar>
            <w:top w:w="0" w:type="dxa"/>
            <w:left w:w="108" w:type="dxa"/>
            <w:bottom w:w="0" w:type="dxa"/>
            <w:right w:w="108" w:type="dxa"/>
          </w:tblCellMar>
        </w:tblPrEx>
        <w:trPr>
          <w:trHeight w:val="474" w:hRule="atLeast"/>
        </w:trPr>
        <w:tc>
          <w:tcPr>
            <w:tcW w:w="0" w:type="auto"/>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72"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27"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2,204.27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1,580.66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623.61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41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2,162.75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1,539.14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2,161.33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1,537.72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机关服务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1,795.96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1,172.35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3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5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8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1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4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0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3416"/>
        <w:gridCol w:w="505"/>
        <w:gridCol w:w="1191"/>
        <w:gridCol w:w="3516"/>
        <w:gridCol w:w="505"/>
        <w:gridCol w:w="1191"/>
        <w:gridCol w:w="1249"/>
        <w:gridCol w:w="785"/>
        <w:gridCol w:w="1816"/>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121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4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54"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1214" w:type="pct"/>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16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4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54"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1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3227"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支     出</w:t>
            </w:r>
          </w:p>
        </w:tc>
      </w:tr>
      <w:tr>
        <w:tblPrEx>
          <w:tblCellMar>
            <w:top w:w="0" w:type="dxa"/>
            <w:left w:w="108" w:type="dxa"/>
            <w:bottom w:w="0" w:type="dxa"/>
            <w:right w:w="108" w:type="dxa"/>
          </w:tblCellMar>
        </w:tblPrEx>
        <w:trPr>
          <w:trHeight w:val="312" w:hRule="atLeast"/>
        </w:trPr>
        <w:tc>
          <w:tcPr>
            <w:tcW w:w="1214"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8"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89"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249"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8"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89" w:type="pct"/>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72"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293"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654" w:type="pct"/>
            <w:vMerge w:val="restart"/>
            <w:tcBorders>
              <w:top w:val="nil"/>
              <w:left w:val="nil"/>
              <w:bottom w:val="single" w:color="000000" w:sz="4" w:space="0"/>
              <w:right w:val="single" w:color="000000" w:sz="4" w:space="0"/>
            </w:tcBorders>
            <w:shd w:val="clear" w:color="auto" w:fill="auto"/>
            <w:vAlign w:val="center"/>
          </w:tcPr>
          <w:p>
            <w:r>
              <w:rPr>
                <w:rFonts w:hint="eastAsia"/>
              </w:rPr>
              <w:t>国有资本经营预算财政拨款</w:t>
            </w:r>
          </w:p>
        </w:tc>
      </w:tr>
      <w:tr>
        <w:tblPrEx>
          <w:tblCellMar>
            <w:top w:w="0" w:type="dxa"/>
            <w:left w:w="108" w:type="dxa"/>
            <w:bottom w:w="0" w:type="dxa"/>
            <w:right w:w="108" w:type="dxa"/>
          </w:tblCellMar>
        </w:tblPrEx>
        <w:trPr>
          <w:trHeight w:val="1552" w:hRule="atLeast"/>
        </w:trPr>
        <w:tc>
          <w:tcPr>
            <w:tcW w:w="121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8"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89"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9"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8"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89" w:type="pct"/>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472"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3"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654"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68"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8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4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68"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8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93"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654"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1,740.37</w:t>
            </w: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2,162.75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2,162.75</w:t>
            </w: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0"/>
                <w:szCs w:val="20"/>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1,740.37</w:t>
            </w:r>
          </w:p>
        </w:tc>
        <w:tc>
          <w:tcPr>
            <w:tcW w:w="124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463.90</w:t>
            </w:r>
          </w:p>
        </w:tc>
        <w:tc>
          <w:tcPr>
            <w:tcW w:w="124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463.90</w:t>
            </w:r>
          </w:p>
        </w:tc>
        <w:tc>
          <w:tcPr>
            <w:tcW w:w="1249"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1249"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38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7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1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168" w:type="pct"/>
            <w:tcBorders>
              <w:top w:val="nil"/>
              <w:left w:val="nil"/>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124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168"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38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2,204.27</w:t>
            </w:r>
          </w:p>
        </w:tc>
        <w:tc>
          <w:tcPr>
            <w:tcW w:w="29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65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4156"/>
        <w:gridCol w:w="264"/>
        <w:gridCol w:w="269"/>
        <w:gridCol w:w="4819"/>
        <w:gridCol w:w="1341"/>
        <w:gridCol w:w="1341"/>
        <w:gridCol w:w="1984"/>
      </w:tblGrid>
      <w:tr>
        <w:tblPrEx>
          <w:tblCellMar>
            <w:top w:w="0" w:type="dxa"/>
            <w:left w:w="108" w:type="dxa"/>
            <w:bottom w:w="0" w:type="dxa"/>
            <w:right w:w="108" w:type="dxa"/>
          </w:tblCellMar>
        </w:tblPrEx>
        <w:trPr>
          <w:trHeight w:val="459" w:hRule="atLeast"/>
        </w:trPr>
        <w:tc>
          <w:tcPr>
            <w:tcW w:w="5000" w:type="pct"/>
            <w:gridSpan w:val="7"/>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14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9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99"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1466" w:type="pct"/>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9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99"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3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项目</w:t>
            </w:r>
          </w:p>
        </w:tc>
        <w:tc>
          <w:tcPr>
            <w:tcW w:w="1645"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612" w:hRule="exact"/>
        </w:trPr>
        <w:tc>
          <w:tcPr>
            <w:tcW w:w="1654"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功能分类科目编码</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科目名称</w:t>
            </w:r>
          </w:p>
        </w:tc>
        <w:tc>
          <w:tcPr>
            <w:tcW w:w="473"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小计</w:t>
            </w:r>
          </w:p>
        </w:tc>
        <w:tc>
          <w:tcPr>
            <w:tcW w:w="473"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基本支出</w:t>
            </w:r>
          </w:p>
        </w:tc>
        <w:tc>
          <w:tcPr>
            <w:tcW w:w="699"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 xml:space="preserve">项目支出       </w:t>
            </w:r>
          </w:p>
        </w:tc>
      </w:tr>
      <w:tr>
        <w:tblPrEx>
          <w:tblCellMar>
            <w:top w:w="0" w:type="dxa"/>
            <w:left w:w="108" w:type="dxa"/>
            <w:bottom w:w="0" w:type="dxa"/>
            <w:right w:w="108" w:type="dxa"/>
          </w:tblCellMar>
        </w:tblPrEx>
        <w:trPr>
          <w:trHeight w:val="308" w:hRule="atLeast"/>
        </w:trPr>
        <w:tc>
          <w:tcPr>
            <w:tcW w:w="3354"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699" w:type="pc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3354"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2,204.27</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1,580.66</w:t>
            </w:r>
          </w:p>
        </w:tc>
        <w:tc>
          <w:tcPr>
            <w:tcW w:w="69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623.61</w:t>
            </w:r>
          </w:p>
        </w:tc>
      </w:tr>
      <w:tr>
        <w:tblPrEx>
          <w:tblCellMar>
            <w:top w:w="0" w:type="dxa"/>
            <w:left w:w="108" w:type="dxa"/>
            <w:bottom w:w="0" w:type="dxa"/>
            <w:right w:w="108" w:type="dxa"/>
          </w:tblCellMar>
        </w:tblPrEx>
        <w:trPr>
          <w:trHeight w:val="252"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2,162.75</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1,539.14</w:t>
            </w:r>
          </w:p>
        </w:tc>
        <w:tc>
          <w:tcPr>
            <w:tcW w:w="69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2,161.33</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1,537.72</w:t>
            </w:r>
          </w:p>
        </w:tc>
        <w:tc>
          <w:tcPr>
            <w:tcW w:w="69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2010303</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机关服务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365.37</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365.37</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2010350</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1,795.96</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1,172.35</w:t>
            </w:r>
          </w:p>
        </w:tc>
        <w:tc>
          <w:tcPr>
            <w:tcW w:w="69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623.61</w:t>
            </w: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33.72</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28.46</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12.17</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15.30</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65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1699"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7.80</w:t>
            </w:r>
          </w:p>
        </w:tc>
        <w:tc>
          <w:tcPr>
            <w:tcW w:w="6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116"/>
        <w:gridCol w:w="2370"/>
        <w:gridCol w:w="1021"/>
        <w:gridCol w:w="1185"/>
        <w:gridCol w:w="2052"/>
        <w:gridCol w:w="1403"/>
        <w:gridCol w:w="1174"/>
        <w:gridCol w:w="2612"/>
        <w:gridCol w:w="1241"/>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39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2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9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2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37"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1229"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cs="宋体"/>
                <w:color w:val="000000"/>
                <w:kern w:val="0"/>
                <w:sz w:val="20"/>
                <w:szCs w:val="20"/>
              </w:rPr>
              <w:t>单位：许昌市机关事务中心后勤一处</w:t>
            </w:r>
          </w:p>
        </w:tc>
        <w:tc>
          <w:tcPr>
            <w:tcW w:w="3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2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9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59" w:type="pct"/>
            <w:gridSpan w:val="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5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3410"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3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836"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360"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418"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723"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494"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414"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921"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437"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3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36"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60"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8"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23"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94"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4"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21"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37"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280.06</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1,265.87</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66.33</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8.10</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129.34</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11.98</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43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8.84</w:t>
            </w: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31.26</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24.91</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43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8.34</w:t>
            </w: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836" w:type="pct"/>
            <w:tcBorders>
              <w:top w:val="nil"/>
              <w:left w:val="nil"/>
              <w:bottom w:val="single" w:color="000000" w:sz="4" w:space="0"/>
              <w:right w:val="single" w:color="000000" w:sz="4" w:space="0"/>
            </w:tcBorders>
            <w:shd w:val="clear" w:color="auto" w:fill="auto"/>
            <w:noWrap/>
            <w:vAlign w:val="center"/>
          </w:tcPr>
          <w:p>
            <w:r>
              <w:rPr>
                <w:rFonts w:hint="eastAsia"/>
              </w:rPr>
              <w:t xml:space="preserve">  机关事业单位基本养老保险缴费</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17.19</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297.14</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1.87</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8.37</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109.56</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w:t>
            </w:r>
            <w:bookmarkStart w:id="0" w:name="_GoBack"/>
            <w:bookmarkEnd w:id="0"/>
            <w:r>
              <w:rPr>
                <w:rFonts w:hint="eastAsia" w:ascii="宋体" w:hAnsi="宋体" w:cs="宋体"/>
                <w:color w:val="000000"/>
                <w:kern w:val="0"/>
                <w:sz w:val="22"/>
              </w:rPr>
              <w:t>公务员医疗补助缴费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34.55</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15.58</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97.00</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25.89</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13.16</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43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0.50</w:t>
            </w: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7.47</w:t>
            </w: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685.13</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2.90</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2.13</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921" w:type="pct"/>
            <w:tcBorders>
              <w:top w:val="nil"/>
              <w:left w:val="nil"/>
              <w:bottom w:val="single" w:color="000000" w:sz="4" w:space="0"/>
              <w:right w:val="single" w:color="000000" w:sz="4" w:space="0"/>
            </w:tcBorders>
            <w:shd w:val="clear" w:color="auto" w:fill="auto"/>
            <w:noWrap/>
            <w:vAlign w:val="center"/>
          </w:tcPr>
          <w:p>
            <w:r>
              <w:rPr>
                <w:rFonts w:hint="eastAsia"/>
              </w:rPr>
              <w:t xml:space="preserve">  对民间非营利组织和群众性自治组织补贴</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723" w:type="pct"/>
            <w:tcBorders>
              <w:top w:val="nil"/>
              <w:left w:val="nil"/>
              <w:bottom w:val="single" w:color="000000" w:sz="4" w:space="0"/>
              <w:right w:val="single" w:color="000000" w:sz="4" w:space="0"/>
            </w:tcBorders>
            <w:shd w:val="clear" w:color="auto" w:fill="auto"/>
            <w:noWrap/>
            <w:vAlign w:val="center"/>
          </w:tcPr>
          <w:p>
            <w:r>
              <w:rPr>
                <w:rFonts w:hint="eastAsia"/>
              </w:rPr>
              <w:t xml:space="preserve">  公务用车运行维护费</w:t>
            </w:r>
          </w:p>
        </w:tc>
        <w:tc>
          <w:tcPr>
            <w:tcW w:w="49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9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921"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83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921"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36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8"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72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414"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921" w:type="pct"/>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43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2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305.95</w:t>
            </w:r>
          </w:p>
        </w:tc>
        <w:tc>
          <w:tcPr>
            <w:tcW w:w="2972" w:type="pct"/>
            <w:gridSpan w:val="5"/>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43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1,274.71</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3416"/>
        <w:gridCol w:w="1077"/>
        <w:gridCol w:w="937"/>
        <w:gridCol w:w="702"/>
        <w:gridCol w:w="940"/>
        <w:gridCol w:w="708"/>
        <w:gridCol w:w="937"/>
        <w:gridCol w:w="1077"/>
        <w:gridCol w:w="938"/>
        <w:gridCol w:w="703"/>
        <w:gridCol w:w="941"/>
        <w:gridCol w:w="1617"/>
      </w:tblGrid>
      <w:tr>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327" w:hRule="atLeast"/>
        </w:trPr>
        <w:tc>
          <w:tcPr>
            <w:tcW w:w="100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9"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1009" w:type="pct"/>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9" w:type="pct"/>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2276"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00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1015" w:type="pct"/>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282"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366"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1015" w:type="pct"/>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479" w:type="pct"/>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00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82"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282"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66"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82"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479" w:type="pct"/>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09"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1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82"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82"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41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82"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66"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479" w:type="pc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1009"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2.00</w:t>
            </w: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2.00</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2.00</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36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47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5001" w:type="dxa"/>
        <w:tblInd w:w="93" w:type="dxa"/>
        <w:tblLayout w:type="autofit"/>
        <w:tblCellMar>
          <w:top w:w="0" w:type="dxa"/>
          <w:left w:w="108" w:type="dxa"/>
          <w:bottom w:w="0" w:type="dxa"/>
          <w:right w:w="108" w:type="dxa"/>
        </w:tblCellMar>
      </w:tblPr>
      <w:tblGrid>
        <w:gridCol w:w="3416"/>
        <w:gridCol w:w="222"/>
        <w:gridCol w:w="222"/>
        <w:gridCol w:w="1096"/>
        <w:gridCol w:w="1673"/>
        <w:gridCol w:w="1673"/>
        <w:gridCol w:w="1673"/>
        <w:gridCol w:w="1673"/>
        <w:gridCol w:w="1673"/>
        <w:gridCol w:w="1680"/>
      </w:tblGrid>
      <w:tr>
        <w:tblPrEx>
          <w:tblCellMar>
            <w:top w:w="0" w:type="dxa"/>
            <w:left w:w="108" w:type="dxa"/>
            <w:bottom w:w="0" w:type="dxa"/>
            <w:right w:w="108" w:type="dxa"/>
          </w:tblCellMar>
        </w:tblPrEx>
        <w:trPr>
          <w:trHeight w:val="390" w:hRule="atLeast"/>
        </w:trPr>
        <w:tc>
          <w:tcPr>
            <w:tcW w:w="15001" w:type="dxa"/>
            <w:gridSpan w:val="10"/>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单位：许昌市机关事务中心后勤一处</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7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67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01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38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6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6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ind w:firstLine="640" w:firstLineChars="200"/>
        <w:jc w:val="left"/>
        <w:rPr>
          <w:rFonts w:ascii="仿宋_GB2312" w:hAnsi="仿宋_GB2312" w:eastAsia="仿宋_GB2312"/>
          <w:sz w:val="32"/>
          <w:szCs w:val="24"/>
        </w:rPr>
      </w:pPr>
      <w:r>
        <w:rPr>
          <w:rFonts w:hint="eastAsia" w:ascii="仿宋_GB2312" w:hAnsi="仿宋_GB2312" w:eastAsia="仿宋_GB2312"/>
          <w:sz w:val="32"/>
          <w:szCs w:val="24"/>
        </w:rPr>
        <w:t>2021年度收、支总计均为2204.27万元。与上年度相比，收、支总计各减少227.52万元，下降9.36%。主要原因为落实过紧日子要求，减少项目支出。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2021年度收入合计1740.37万元，其中：财政拨款收入1740.37万元，占100%；上级补助收入0.00万元；事业收入0.00万元；经营收入0.00万元；附属单位上缴收入0.00万元；其他收入0.00万元。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2021年度支出合计2204.27万元，其中：基本支出1580.66万元，占71.71%；项目支出623.61万元，占28.29%；上缴上级支出0.00万元；经营支出0.00万元；对附属单位补助支出0.00万元。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ind w:firstLine="640" w:firstLineChars="200"/>
        <w:jc w:val="left"/>
        <w:rPr>
          <w:rFonts w:eastAsia="Times New Roman"/>
          <w:kern w:val="0"/>
          <w:sz w:val="18"/>
          <w:szCs w:val="24"/>
          <w:lang w:val="zh-CN"/>
        </w:rPr>
      </w:pPr>
      <w:r>
        <w:rPr>
          <w:rFonts w:hint="eastAsia" w:ascii="仿宋_GB2312" w:hAnsi="仿宋_GB2312" w:eastAsia="仿宋_GB2312"/>
          <w:sz w:val="32"/>
          <w:szCs w:val="24"/>
        </w:rPr>
        <w:t>2021年度财政拨款收、支总计均为2204.27万元。与上年度相比，财政拨款收、支总计各减少227.52万元，下降9.36%。主要原因为落实过紧日子要求，减少项目支出。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jc w:val="left"/>
        <w:rPr>
          <w:rFonts w:ascii="宋体" w:hAnsi="宋体" w:eastAsia="仿宋_GB2312"/>
          <w:color w:val="FF0000"/>
          <w:kern w:val="0"/>
          <w:sz w:val="18"/>
          <w:szCs w:val="24"/>
        </w:rPr>
      </w:pPr>
      <w:r>
        <w:rPr>
          <w:rFonts w:hint="eastAsia" w:ascii="仿宋_GB2312" w:hAnsi="仿宋_GB2312" w:eastAsia="仿宋_GB2312"/>
          <w:sz w:val="32"/>
          <w:szCs w:val="24"/>
        </w:rPr>
        <w:t xml:space="preserve">   2021年度一般公共预算财政拨款支出2204.27万元，占支出合计的100%。与上年度相比，一般公共预算财政拨款支出增加113.13万元，增长5.41%。主要原因是</w:t>
      </w:r>
      <w:r>
        <w:rPr>
          <w:rFonts w:hint="eastAsia" w:ascii="仿宋_GB2312" w:hAnsi="仿宋_GB2312" w:eastAsia="仿宋_GB2312" w:cs="仿宋_GB2312"/>
          <w:sz w:val="32"/>
          <w:szCs w:val="32"/>
          <w:lang w:val="zh-CN"/>
        </w:rPr>
        <w:t>人大、政协调干楼“汽改水”供热工程、水电暖费及节能分成费、保洁费、保安费等项目</w:t>
      </w:r>
      <w:r>
        <w:rPr>
          <w:rFonts w:hint="eastAsia" w:ascii="仿宋_GB2312" w:hAnsi="仿宋_GB2312" w:eastAsia="仿宋_GB2312" w:cs="仿宋_GB2312"/>
          <w:sz w:val="32"/>
          <w:szCs w:val="32"/>
        </w:rPr>
        <w:t>2020年资金</w:t>
      </w:r>
      <w:r>
        <w:rPr>
          <w:rFonts w:hint="eastAsia" w:ascii="仿宋_GB2312" w:hAnsi="仿宋_GB2312" w:eastAsia="仿宋_GB2312" w:cs="仿宋_GB2312"/>
          <w:sz w:val="32"/>
          <w:szCs w:val="32"/>
          <w:lang w:val="zh-CN"/>
        </w:rPr>
        <w:t>结转至</w:t>
      </w:r>
      <w:r>
        <w:rPr>
          <w:rFonts w:hint="eastAsia" w:ascii="仿宋_GB2312" w:hAnsi="仿宋_GB2312" w:eastAsia="仿宋_GB2312" w:cs="仿宋_GB2312"/>
          <w:sz w:val="32"/>
          <w:szCs w:val="32"/>
        </w:rPr>
        <w:t>2021年继续使用</w:t>
      </w:r>
      <w:r>
        <w:rPr>
          <w:rFonts w:hint="eastAsia" w:ascii="仿宋_GB2312" w:hAnsi="仿宋_GB2312" w:eastAsia="仿宋_GB2312" w:cs="仿宋_GB2312"/>
          <w:sz w:val="32"/>
          <w:szCs w:val="32"/>
          <w:lang w:val="zh-CN"/>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360" w:lineRule="auto"/>
        <w:ind w:firstLine="640" w:firstLineChars="200"/>
        <w:rPr>
          <w:rFonts w:ascii="仿宋_GB2312" w:hAnsi="仿宋_GB2312" w:eastAsia="仿宋_GB2312"/>
          <w:sz w:val="32"/>
          <w:szCs w:val="24"/>
        </w:rPr>
      </w:pPr>
      <w:r>
        <w:rPr>
          <w:rFonts w:hint="eastAsia" w:ascii="仿宋_GB2312" w:hAnsi="仿宋_GB2312" w:eastAsia="仿宋_GB2312"/>
          <w:sz w:val="32"/>
          <w:szCs w:val="24"/>
        </w:rPr>
        <w:t>2021年度一般公共预算财政拨款支出2204.27万元，主要用于以下方面：一般公共服务（类）支出2162.75万元，占98.12%；</w:t>
      </w:r>
      <w:r>
        <w:rPr>
          <w:rFonts w:hint="eastAsia" w:ascii="仿宋_GB2312" w:hAnsi="仿宋_GB2312" w:eastAsia="仿宋_GB2312"/>
          <w:sz w:val="32"/>
          <w:szCs w:val="24"/>
          <w:lang w:val="zh-CN"/>
        </w:rPr>
        <w:t>社会保障和就业（类）支出</w:t>
      </w:r>
      <w:r>
        <w:rPr>
          <w:rFonts w:hint="eastAsia" w:ascii="仿宋_GB2312" w:hAnsi="仿宋_GB2312" w:eastAsia="仿宋_GB2312"/>
          <w:sz w:val="32"/>
          <w:szCs w:val="24"/>
        </w:rPr>
        <w:t>33.72万元，占1.53%；卫生健康（类）支出7.80万元，占0.35%</w:t>
      </w:r>
      <w:r>
        <w:rPr>
          <w:rFonts w:hint="eastAsia" w:ascii="仿宋_GB2312" w:hAnsi="仿宋_GB2312" w:eastAsia="仿宋_GB2312"/>
          <w:sz w:val="32"/>
          <w:szCs w:val="24"/>
          <w:lang w:val="zh-CN"/>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line="590" w:lineRule="exact"/>
        <w:ind w:firstLine="640"/>
        <w:rPr>
          <w:rFonts w:eastAsia="Times New Roman"/>
          <w:sz w:val="32"/>
          <w:szCs w:val="24"/>
        </w:rPr>
      </w:pPr>
      <w:r>
        <w:rPr>
          <w:rFonts w:hint="eastAsia" w:ascii="仿宋_GB2312" w:hAnsi="仿宋_GB2312" w:eastAsia="仿宋_GB2312"/>
          <w:sz w:val="32"/>
          <w:szCs w:val="24"/>
        </w:rPr>
        <w:t>2021年度一般公共预算财政拨款支出年初预算为1740.37万元，支出决算为2204.27万元，完成年初预算的126.65%。其中：</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1．一般公共服务支出（类）政府办公厅（室）及相关机构事务（款）机关服务（项）。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225.43</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365.37</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162.07</w:t>
      </w:r>
      <w:r>
        <w:rPr>
          <w:rFonts w:hint="eastAsia" w:ascii="仿宋_GB2312" w:hAnsi="仿宋_GB2312" w:eastAsia="仿宋_GB2312" w:cs="仿宋_GB2312"/>
          <w:sz w:val="32"/>
          <w:szCs w:val="32"/>
          <w:lang w:val="zh-CN"/>
        </w:rPr>
        <w:t>%。决算数与年初预算数存在差异的主要原因是项目资金年底结转。</w:t>
      </w:r>
    </w:p>
    <w:p>
      <w:pPr>
        <w:ind w:firstLine="642" w:firstLineChars="200"/>
        <w:jc w:val="left"/>
        <w:rPr>
          <w:rFonts w:ascii="仿宋" w:hAnsi="仿宋" w:eastAsia="仿宋" w:cs="仿宋"/>
          <w:sz w:val="32"/>
          <w:szCs w:val="32"/>
          <w:lang w:val="zh-CN"/>
        </w:rPr>
      </w:pPr>
      <w:r>
        <w:rPr>
          <w:rFonts w:hint="eastAsia" w:ascii="仿宋_GB2312" w:hAnsi="仿宋_GB2312" w:eastAsia="仿宋_GB2312" w:cs="仿宋_GB2312"/>
          <w:b/>
          <w:bCs/>
          <w:sz w:val="32"/>
          <w:szCs w:val="32"/>
          <w:lang w:val="zh-CN"/>
        </w:rPr>
        <w:t>2．一般公共服务支出（类）政府办公厅（室）及相关机构事务（款）事业运行（项）。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1472.00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1795.96</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122.01</w:t>
      </w:r>
      <w:r>
        <w:rPr>
          <w:rFonts w:hint="eastAsia" w:ascii="仿宋_GB2312" w:hAnsi="仿宋_GB2312" w:eastAsia="仿宋_GB2312" w:cs="仿宋_GB2312"/>
          <w:sz w:val="32"/>
          <w:szCs w:val="32"/>
          <w:lang w:val="zh-CN"/>
        </w:rPr>
        <w:t>%。决算数与年初预算数存在差异的主要原因是消防管网改造工程资金、人大、政协调干楼“汽改水”供热工程项目剩余资金结转、机关餐厅劳务、保安、保洁、等专业公司劳务费用的结转等。</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一般公共服务支出（类）群众团体事务（款）工会事务（项）。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1.42</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1.42</w:t>
      </w:r>
      <w:r>
        <w:rPr>
          <w:rFonts w:hint="eastAsia" w:ascii="仿宋_GB2312" w:hAnsi="仿宋_GB2312" w:eastAsia="仿宋_GB2312" w:cs="仿宋_GB2312"/>
          <w:sz w:val="32"/>
          <w:szCs w:val="32"/>
          <w:lang w:val="zh-CN"/>
        </w:rPr>
        <w:t>万元，完成年初预算的100%。决算数与年初预算数不存在差异。</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zh-CN"/>
        </w:rPr>
        <w:t>社会保障和就业支出（类）行政事业单位养老支出（款）行政单位离退休（项）。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12.17</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12.17</w:t>
      </w:r>
      <w:r>
        <w:rPr>
          <w:rFonts w:hint="eastAsia" w:ascii="仿宋_GB2312" w:hAnsi="仿宋_GB2312" w:eastAsia="仿宋_GB2312" w:cs="仿宋_GB2312"/>
          <w:sz w:val="32"/>
          <w:szCs w:val="32"/>
          <w:lang w:val="zh-CN"/>
        </w:rPr>
        <w:t>万元，完成年初预算的100%。决算数与年初预算数不存在差异。</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zh-CN"/>
        </w:rPr>
        <w:t>社会保障和就业支出（类）行政事业单位养老支出（款）事业单位离退休（项）。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0.98</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0.98</w:t>
      </w:r>
      <w:r>
        <w:rPr>
          <w:rFonts w:hint="eastAsia" w:ascii="仿宋_GB2312" w:hAnsi="仿宋_GB2312" w:eastAsia="仿宋_GB2312" w:cs="仿宋_GB2312"/>
          <w:sz w:val="32"/>
          <w:szCs w:val="32"/>
          <w:lang w:val="zh-CN"/>
        </w:rPr>
        <w:t>万元，完成年初预算的100%。决算数与年初预算数不存在差异。</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6.社会保障和就业支出（类）行政事业单位养老支出（款）机关事业单位基本养老保险缴费支出（项）。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15.30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15.30</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%。决算数与年初预算数不存差异。</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7.社会保障和就业支出（类）抚恤（款）死亡抚恤（项）。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5.26</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5.26</w:t>
      </w:r>
      <w:r>
        <w:rPr>
          <w:rFonts w:hint="eastAsia" w:ascii="仿宋_GB2312" w:hAnsi="仿宋_GB2312" w:eastAsia="仿宋_GB2312" w:cs="仿宋_GB2312"/>
          <w:sz w:val="32"/>
          <w:szCs w:val="32"/>
          <w:lang w:val="zh-CN"/>
        </w:rPr>
        <w:t>万元，完成年初预算的100%。决算数与年初预算数不存差异。</w:t>
      </w:r>
    </w:p>
    <w:p>
      <w:pPr>
        <w:ind w:firstLine="642"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8.卫生健康支出（类）行政事业单位医疗（款）事业单位医疗（项）。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7.80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7.80</w:t>
      </w:r>
      <w:r>
        <w:rPr>
          <w:rFonts w:hint="eastAsia" w:ascii="仿宋_GB2312" w:hAnsi="仿宋_GB2312" w:eastAsia="仿宋_GB2312" w:cs="仿宋_GB2312"/>
          <w:sz w:val="32"/>
          <w:szCs w:val="32"/>
          <w:lang w:val="zh-CN"/>
        </w:rPr>
        <w:t>万元，完成年初预算的100%。决算数与年初预算数不存差异。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一般公共预算财政拨款基本支出1580.66万元。其中：人员经费305.95万元，主要包括：基本工资、津贴补贴、奖金、绩效工资、机关事业单位基本养老保险缴费、职工基本医疗保险缴费、退休费、抚恤金、生活补助、住房公积金、对个人和家庭的补助；公用经费1274.71万元，</w:t>
      </w:r>
      <w:r>
        <w:rPr>
          <w:rFonts w:hint="eastAsia" w:ascii="仿宋_GB2312" w:hAnsi="仿宋_GB2312" w:eastAsia="仿宋_GB2312" w:cs="仿宋_GB2312"/>
          <w:sz w:val="32"/>
          <w:szCs w:val="32"/>
        </w:rPr>
        <w:t>主要包括：办公费、水费、电费、邮电费、取暖费、物业管理费、维修（护）费、劳务费、委托业务费、工会经费、福利费、公务用车运行维护费、办公设备购置、无形资产购置。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ind w:firstLine="640" w:firstLineChars="200"/>
        <w:jc w:val="left"/>
        <w:rPr>
          <w:rFonts w:eastAsia="Times New Roman"/>
          <w:kern w:val="0"/>
          <w:sz w:val="18"/>
          <w:szCs w:val="24"/>
          <w:lang w:val="zh-CN"/>
        </w:rPr>
      </w:pPr>
      <w:r>
        <w:rPr>
          <w:rFonts w:hint="eastAsia" w:ascii="仿宋_GB2312" w:hAnsi="仿宋_GB2312" w:eastAsia="仿宋_GB2312"/>
          <w:sz w:val="32"/>
          <w:szCs w:val="24"/>
        </w:rPr>
        <w:t>2021年度</w:t>
      </w:r>
      <w:r>
        <w:rPr>
          <w:rFonts w:ascii="仿宋_GB2312" w:hAnsi="仿宋_GB2312" w:eastAsia="仿宋_GB2312"/>
          <w:sz w:val="32"/>
          <w:szCs w:val="24"/>
        </w:rPr>
        <w:t>“</w:t>
      </w:r>
      <w:r>
        <w:rPr>
          <w:rFonts w:hint="eastAsia" w:ascii="仿宋_GB2312" w:hAnsi="仿宋_GB2312" w:eastAsia="仿宋_GB2312"/>
          <w:sz w:val="32"/>
          <w:szCs w:val="24"/>
        </w:rPr>
        <w:t>三公</w:t>
      </w:r>
      <w:r>
        <w:rPr>
          <w:rFonts w:ascii="仿宋_GB2312" w:hAnsi="仿宋_GB2312" w:eastAsia="仿宋_GB2312"/>
          <w:sz w:val="32"/>
          <w:szCs w:val="24"/>
        </w:rPr>
        <w:t>”</w:t>
      </w:r>
      <w:r>
        <w:rPr>
          <w:rFonts w:hint="eastAsia" w:ascii="仿宋_GB2312" w:hAnsi="仿宋_GB2312" w:eastAsia="仿宋_GB2312"/>
          <w:sz w:val="32"/>
          <w:szCs w:val="24"/>
        </w:rPr>
        <w:t>经费财政拨款支出预算为2.00万元，支出决算为1.16万元，完成预算的58.00%。2021年度</w:t>
      </w:r>
      <w:r>
        <w:rPr>
          <w:rFonts w:ascii="仿宋_GB2312" w:hAnsi="仿宋_GB2312" w:eastAsia="仿宋_GB2312"/>
          <w:sz w:val="32"/>
          <w:szCs w:val="24"/>
        </w:rPr>
        <w:t>“</w:t>
      </w:r>
      <w:r>
        <w:rPr>
          <w:rFonts w:hint="eastAsia" w:ascii="仿宋_GB2312" w:hAnsi="仿宋_GB2312" w:eastAsia="仿宋_GB2312"/>
          <w:sz w:val="32"/>
          <w:szCs w:val="24"/>
        </w:rPr>
        <w:t>三公</w:t>
      </w:r>
      <w:r>
        <w:rPr>
          <w:rFonts w:ascii="仿宋_GB2312" w:hAnsi="仿宋_GB2312" w:eastAsia="仿宋_GB2312"/>
          <w:sz w:val="32"/>
          <w:szCs w:val="24"/>
        </w:rPr>
        <w:t>”</w:t>
      </w:r>
      <w:r>
        <w:rPr>
          <w:rFonts w:hint="eastAsia" w:ascii="仿宋_GB2312" w:hAnsi="仿宋_GB2312" w:eastAsia="仿宋_GB2312"/>
          <w:sz w:val="32"/>
          <w:szCs w:val="24"/>
        </w:rPr>
        <w:t>经费支出决算数与预算数存在差异的主要原因单位严格落实中央八项规定压缩单位不必要的开支。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spacing w:line="590" w:lineRule="exact"/>
        <w:ind w:firstLine="640"/>
        <w:rPr>
          <w:rFonts w:eastAsia="Times New Roman"/>
          <w:kern w:val="0"/>
          <w:sz w:val="18"/>
          <w:szCs w:val="24"/>
        </w:rPr>
      </w:pPr>
      <w:r>
        <w:rPr>
          <w:rFonts w:hint="eastAsia" w:ascii="仿宋_GB2312" w:hAnsi="仿宋_GB2312" w:eastAsia="仿宋_GB2312"/>
          <w:sz w:val="32"/>
          <w:szCs w:val="24"/>
        </w:rPr>
        <w:t>2021年度</w:t>
      </w:r>
      <w:r>
        <w:rPr>
          <w:rFonts w:ascii="仿宋_GB2312" w:hAnsi="仿宋_GB2312" w:eastAsia="仿宋_GB2312"/>
          <w:sz w:val="32"/>
          <w:szCs w:val="24"/>
        </w:rPr>
        <w:t>“</w:t>
      </w:r>
      <w:r>
        <w:rPr>
          <w:rFonts w:hint="eastAsia" w:ascii="仿宋_GB2312" w:hAnsi="仿宋_GB2312" w:eastAsia="仿宋_GB2312"/>
          <w:sz w:val="32"/>
          <w:szCs w:val="24"/>
        </w:rPr>
        <w:t>三公</w:t>
      </w:r>
      <w:r>
        <w:rPr>
          <w:rFonts w:ascii="仿宋_GB2312" w:hAnsi="仿宋_GB2312" w:eastAsia="仿宋_GB2312"/>
          <w:sz w:val="32"/>
          <w:szCs w:val="24"/>
        </w:rPr>
        <w:t>”</w:t>
      </w:r>
      <w:r>
        <w:rPr>
          <w:rFonts w:hint="eastAsia" w:ascii="仿宋_GB2312" w:hAnsi="仿宋_GB2312" w:eastAsia="仿宋_GB2312"/>
          <w:sz w:val="32"/>
          <w:szCs w:val="24"/>
        </w:rPr>
        <w:t>经费财政拨款支出决算中，因公出国（境）费支出决算0.00万元；公务用车购置及运行费支出决算1.16万元，完成预算的58.00%，占100%；公务接待费支出决算0.00万元；具体情况如下：</w:t>
      </w:r>
    </w:p>
    <w:p>
      <w:pPr>
        <w:widowControl/>
        <w:spacing w:line="590" w:lineRule="exact"/>
        <w:ind w:firstLine="642" w:firstLineChars="200"/>
        <w:rPr>
          <w:rFonts w:eastAsia="Times New Roman"/>
          <w:kern w:val="0"/>
          <w:sz w:val="18"/>
          <w:szCs w:val="24"/>
          <w:lang w:val="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r>
        <w:rPr>
          <w:rFonts w:hint="eastAsia" w:ascii="仿宋_GB2312" w:hAnsi="仿宋_GB2312" w:eastAsia="仿宋_GB2312"/>
          <w:sz w:val="32"/>
          <w:szCs w:val="24"/>
        </w:rPr>
        <w:t>因公出国（境）团组数0个，因公出国（境）人次数0人。</w:t>
      </w:r>
    </w:p>
    <w:p>
      <w:pPr>
        <w:ind w:firstLine="642" w:firstLineChars="200"/>
        <w:jc w:val="left"/>
        <w:rPr>
          <w:rFonts w:eastAsia="Times New Roman"/>
          <w:sz w:val="32"/>
          <w:szCs w:val="24"/>
        </w:rPr>
      </w:pPr>
      <w:r>
        <w:rPr>
          <w:rFonts w:hint="eastAsia" w:ascii="仿宋_GB2312" w:hAnsi="仿宋_GB2312" w:eastAsia="仿宋_GB2312"/>
          <w:b/>
          <w:sz w:val="32"/>
          <w:szCs w:val="24"/>
        </w:rPr>
        <w:t>2．公务用车购置及运行费</w:t>
      </w:r>
      <w:r>
        <w:rPr>
          <w:rFonts w:hint="eastAsia" w:ascii="仿宋_GB2312" w:hAnsi="仿宋_GB2312" w:eastAsia="仿宋_GB2312"/>
          <w:sz w:val="32"/>
          <w:szCs w:val="24"/>
        </w:rPr>
        <w:t>预算为2.00万元，支出决算为1.16万元，完成预算的58.00%，决算数与预算数存在差异的主要原因是单位严格落实中央八项规定压缩单位不必要的开支。其中：</w:t>
      </w:r>
    </w:p>
    <w:p>
      <w:pPr>
        <w:ind w:firstLine="640" w:firstLineChars="200"/>
        <w:jc w:val="left"/>
        <w:rPr>
          <w:rFonts w:ascii="仿宋_GB2312" w:hAnsi="仿宋_GB2312" w:eastAsia="仿宋_GB2312"/>
          <w:sz w:val="32"/>
          <w:szCs w:val="24"/>
        </w:rPr>
      </w:pPr>
      <w:r>
        <w:rPr>
          <w:rFonts w:hint="eastAsia" w:ascii="仿宋_GB2312" w:hAnsi="仿宋_GB2312" w:eastAsia="仿宋_GB2312"/>
          <w:sz w:val="32"/>
          <w:szCs w:val="24"/>
        </w:rPr>
        <w:t>公务用车购置支出0.00万元,购置车辆0辆。</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公务用车运行支出</w:t>
      </w:r>
      <w:r>
        <w:rPr>
          <w:rFonts w:hint="eastAsia" w:ascii="仿宋_GB2312" w:hAnsi="仿宋_GB2312" w:eastAsia="仿宋_GB2312"/>
          <w:sz w:val="32"/>
          <w:szCs w:val="24"/>
        </w:rPr>
        <w:t>1.16万元。主要用于</w:t>
      </w:r>
      <w:r>
        <w:rPr>
          <w:rFonts w:hint="eastAsia" w:ascii="仿宋_GB2312" w:hAnsi="仿宋_GB2312" w:eastAsia="仿宋_GB2312"/>
          <w:sz w:val="32"/>
          <w:szCs w:val="24"/>
          <w:lang w:val="zh-CN"/>
        </w:rPr>
        <w:t>公务用车日常耗油、维修、保险等支出</w:t>
      </w:r>
      <w:r>
        <w:rPr>
          <w:rFonts w:hint="eastAsia" w:ascii="仿宋_GB2312" w:hAnsi="仿宋_GB2312" w:eastAsia="仿宋_GB2312"/>
          <w:sz w:val="32"/>
          <w:szCs w:val="24"/>
        </w:rPr>
        <w:t>。2021年期末，单位开支财政拨款的公务用车保有量为1辆。</w:t>
      </w:r>
    </w:p>
    <w:p>
      <w:pPr>
        <w:spacing w:line="590" w:lineRule="exact"/>
        <w:ind w:firstLine="640"/>
        <w:rPr>
          <w:rFonts w:eastAsia="Times New Roman"/>
          <w:sz w:val="32"/>
          <w:szCs w:val="24"/>
        </w:rPr>
      </w:pPr>
      <w:r>
        <w:rPr>
          <w:rFonts w:hint="eastAsia" w:ascii="仿宋_GB2312" w:hAnsi="仿宋_GB2312" w:eastAsia="仿宋_GB2312"/>
          <w:b/>
          <w:sz w:val="32"/>
          <w:szCs w:val="24"/>
        </w:rPr>
        <w:t>3.公务接待费</w:t>
      </w:r>
      <w:r>
        <w:rPr>
          <w:rFonts w:hint="eastAsia" w:ascii="仿宋_GB2312" w:hAnsi="仿宋_GB2312" w:eastAsia="仿宋_GB2312"/>
          <w:sz w:val="32"/>
          <w:szCs w:val="24"/>
        </w:rPr>
        <w:t>预算为0.00万元，支出决算为0.00万元。决算数与预算数不存在差异。其中：</w:t>
      </w:r>
    </w:p>
    <w:p>
      <w:pPr>
        <w:spacing w:line="590" w:lineRule="exact"/>
        <w:ind w:firstLine="640"/>
        <w:rPr>
          <w:rFonts w:ascii="仿宋_GB2312" w:hAnsi="仿宋_GB2312" w:eastAsia="仿宋_GB2312"/>
          <w:sz w:val="32"/>
          <w:szCs w:val="24"/>
        </w:rPr>
      </w:pPr>
      <w:r>
        <w:rPr>
          <w:rFonts w:hint="eastAsia" w:ascii="仿宋_GB2312" w:hAnsi="仿宋_GB2312" w:eastAsia="仿宋_GB2312"/>
          <w:b/>
          <w:sz w:val="32"/>
          <w:szCs w:val="24"/>
        </w:rPr>
        <w:t>外宾接待支出</w:t>
      </w:r>
      <w:r>
        <w:rPr>
          <w:rFonts w:hint="eastAsia" w:ascii="仿宋_GB2312" w:hAnsi="仿宋_GB2312" w:eastAsia="仿宋_GB2312"/>
          <w:sz w:val="32"/>
          <w:szCs w:val="24"/>
        </w:rPr>
        <w:t>0.00万元。2021年共接待国（境）外来访团组0个、来访外宾0人次（不包括陪同人员）。</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其他国内公务接待支出</w:t>
      </w:r>
      <w:r>
        <w:rPr>
          <w:rFonts w:hint="eastAsia" w:ascii="仿宋_GB2312" w:hAnsi="仿宋_GB2312" w:eastAsia="仿宋_GB2312"/>
          <w:sz w:val="32"/>
          <w:szCs w:val="24"/>
        </w:rPr>
        <w:t>0.00万元。2021年共接待国内来访团组0个、来宾0人次（不包括陪同人员）。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jc w:val="left"/>
        <w:rPr>
          <w:rFonts w:ascii="黑体" w:hAnsi="黑体" w:eastAsia="黑体" w:cs="仿宋_GB2312"/>
          <w:b/>
          <w:bCs/>
          <w:color w:val="FF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2021年度政府采购支出总额72.98万元，其中：政府采购货物支出72.98万元、政府采购工程支出0.00万元、政府采购服务支出0.00万元。授予中小企业合同金额0.00万元,其中：授予小微企业合同金额0.00万元。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spacing w:line="590" w:lineRule="exact"/>
        <w:ind w:firstLine="640"/>
        <w:rPr>
          <w:rFonts w:eastAsia="Times New Roman"/>
          <w:kern w:val="0"/>
          <w:sz w:val="18"/>
          <w:szCs w:val="24"/>
        </w:rPr>
      </w:pPr>
      <w:r>
        <w:rPr>
          <w:rFonts w:hint="eastAsia" w:ascii="仿宋_GB2312" w:hAnsi="仿宋_GB2312" w:eastAsia="仿宋_GB2312"/>
          <w:sz w:val="32"/>
          <w:szCs w:val="24"/>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不断强化预算绩效管理，积极参加财政组织的各项培训，并将培训内容及精神及时传达给各业务科室组织大家共同学习，务求将预算绩效管理纳入到日常工作中。</w:t>
      </w:r>
      <w:r>
        <w:rPr>
          <w:rFonts w:hint="eastAsia" w:ascii="仿宋_GB2312" w:eastAsia="仿宋_GB2312"/>
          <w:sz w:val="32"/>
          <w:szCs w:val="32"/>
        </w:rPr>
        <w:t>绩效监控项目构成主要包括保安、保洁、公共设施维修维护、水电暖费及节能分成费、机关餐厅劳务及运行等。</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我单位通过自评汲取经验，提高专项资金的使用效益，改进完善财务管理办法，用制度管项目，用制度管资金。同时，我单位依据整体绩效目标所设定的绩效指标清晰、细化、可衡量，与部门年度的任务数或计划数相对应；与本年度部门预算资金相匹配。二是项目绩效自评情况。项目自评结果良好，满意率在95.00%以上，没有偏差较大（20.00%以上）的绩效项目。我单位共有0个项目批复了绩效目标。</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96.73分。其中：14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黑体" w:hAnsi="宋体" w:eastAsia="黑体" w:cs="宋体"/>
          <w:kern w:val="0"/>
          <w:sz w:val="28"/>
          <w:szCs w:val="28"/>
        </w:rPr>
      </w:pPr>
      <w:r>
        <w:rPr>
          <w:rFonts w:hint="eastAsia" w:ascii="仿宋_GB2312" w:hAnsi="仿宋_GB2312" w:eastAsia="仿宋_GB2312" w:cs="仿宋_GB2312"/>
          <w:sz w:val="32"/>
          <w:szCs w:val="32"/>
        </w:rPr>
        <w:t>2021年度我单位没有开展重点绩效评价项目。</w:t>
      </w: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pStyle w:val="2"/>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_GB2312">
    <w:altName w:val="宋体"/>
    <w:panose1 w:val="02010609030101010101"/>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562A504"/>
    <w:multiLevelType w:val="singleLevel"/>
    <w:tmpl w:val="7562A504"/>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evenAndOddHeaders w:val="true"/>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lhN2E0ODMxMzZhZGJhNjM1MjkzOGMwN2JhN2M3Zm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95729"/>
    <w:rsid w:val="0041489C"/>
    <w:rsid w:val="0042585F"/>
    <w:rsid w:val="00445CAC"/>
    <w:rsid w:val="00472E19"/>
    <w:rsid w:val="00487869"/>
    <w:rsid w:val="004D5275"/>
    <w:rsid w:val="004F63DB"/>
    <w:rsid w:val="00505190"/>
    <w:rsid w:val="00507364"/>
    <w:rsid w:val="00546F7C"/>
    <w:rsid w:val="005A0C2F"/>
    <w:rsid w:val="005B1AE2"/>
    <w:rsid w:val="005B3EFD"/>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27A73"/>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9275E"/>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06E28"/>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D4677"/>
    <w:rsid w:val="01DC6F05"/>
    <w:rsid w:val="02A3489A"/>
    <w:rsid w:val="02CA138D"/>
    <w:rsid w:val="033646FC"/>
    <w:rsid w:val="03C75F80"/>
    <w:rsid w:val="0478364D"/>
    <w:rsid w:val="053D4C0D"/>
    <w:rsid w:val="0557532E"/>
    <w:rsid w:val="071F36EB"/>
    <w:rsid w:val="0799329C"/>
    <w:rsid w:val="0807041E"/>
    <w:rsid w:val="08397436"/>
    <w:rsid w:val="086F16A7"/>
    <w:rsid w:val="0A0F7225"/>
    <w:rsid w:val="0A2B7D82"/>
    <w:rsid w:val="0A9A6B7F"/>
    <w:rsid w:val="0ADC40E9"/>
    <w:rsid w:val="0AE607F4"/>
    <w:rsid w:val="0B386127"/>
    <w:rsid w:val="0B451598"/>
    <w:rsid w:val="0BEC73F4"/>
    <w:rsid w:val="0C392698"/>
    <w:rsid w:val="10BD36F6"/>
    <w:rsid w:val="11427629"/>
    <w:rsid w:val="11BF0649"/>
    <w:rsid w:val="123E3E08"/>
    <w:rsid w:val="12A71333"/>
    <w:rsid w:val="133212F4"/>
    <w:rsid w:val="13D22E22"/>
    <w:rsid w:val="14172FEE"/>
    <w:rsid w:val="14CB44CC"/>
    <w:rsid w:val="15761F97"/>
    <w:rsid w:val="161C2DFF"/>
    <w:rsid w:val="16373578"/>
    <w:rsid w:val="16D3336B"/>
    <w:rsid w:val="17200028"/>
    <w:rsid w:val="177C2B98"/>
    <w:rsid w:val="17806C36"/>
    <w:rsid w:val="17A74F62"/>
    <w:rsid w:val="18A47774"/>
    <w:rsid w:val="1A756CC1"/>
    <w:rsid w:val="1A8D28EB"/>
    <w:rsid w:val="1A9F2D78"/>
    <w:rsid w:val="1B2E6FD8"/>
    <w:rsid w:val="1B877D21"/>
    <w:rsid w:val="1C4319A9"/>
    <w:rsid w:val="1E276524"/>
    <w:rsid w:val="1E443B4B"/>
    <w:rsid w:val="1E994F4A"/>
    <w:rsid w:val="1EAF0224"/>
    <w:rsid w:val="1EE44415"/>
    <w:rsid w:val="1F2230A4"/>
    <w:rsid w:val="1F7C289F"/>
    <w:rsid w:val="1FF645BB"/>
    <w:rsid w:val="20210932"/>
    <w:rsid w:val="202448E0"/>
    <w:rsid w:val="20F614FE"/>
    <w:rsid w:val="21302EEA"/>
    <w:rsid w:val="22376FB5"/>
    <w:rsid w:val="22816478"/>
    <w:rsid w:val="23E152D7"/>
    <w:rsid w:val="23EE2489"/>
    <w:rsid w:val="24A7216D"/>
    <w:rsid w:val="255D43C8"/>
    <w:rsid w:val="261D1FBA"/>
    <w:rsid w:val="26714EF8"/>
    <w:rsid w:val="26876BDD"/>
    <w:rsid w:val="26D94133"/>
    <w:rsid w:val="2714632A"/>
    <w:rsid w:val="27541E73"/>
    <w:rsid w:val="27B0539E"/>
    <w:rsid w:val="29365CF8"/>
    <w:rsid w:val="299469B3"/>
    <w:rsid w:val="2A224043"/>
    <w:rsid w:val="2A805789"/>
    <w:rsid w:val="2ADC0D75"/>
    <w:rsid w:val="2B4A0E52"/>
    <w:rsid w:val="2C975890"/>
    <w:rsid w:val="2D4C1B03"/>
    <w:rsid w:val="2DEF21BB"/>
    <w:rsid w:val="2E4A2F05"/>
    <w:rsid w:val="2ECC1061"/>
    <w:rsid w:val="2FA476AD"/>
    <w:rsid w:val="30281C88"/>
    <w:rsid w:val="303F7540"/>
    <w:rsid w:val="30A4583E"/>
    <w:rsid w:val="31DD00BF"/>
    <w:rsid w:val="3293174C"/>
    <w:rsid w:val="32BB38D4"/>
    <w:rsid w:val="32C9376D"/>
    <w:rsid w:val="33780472"/>
    <w:rsid w:val="33AF0905"/>
    <w:rsid w:val="33F36CFA"/>
    <w:rsid w:val="33FD51E7"/>
    <w:rsid w:val="340F089F"/>
    <w:rsid w:val="355932F4"/>
    <w:rsid w:val="35611882"/>
    <w:rsid w:val="36746FC3"/>
    <w:rsid w:val="368763AE"/>
    <w:rsid w:val="36B717E5"/>
    <w:rsid w:val="38DA238F"/>
    <w:rsid w:val="39580E8B"/>
    <w:rsid w:val="395D59E7"/>
    <w:rsid w:val="39A93932"/>
    <w:rsid w:val="3A39972B"/>
    <w:rsid w:val="3A915562"/>
    <w:rsid w:val="3B8D4765"/>
    <w:rsid w:val="3C000DBA"/>
    <w:rsid w:val="3D532A3A"/>
    <w:rsid w:val="3D71A693"/>
    <w:rsid w:val="3DC045D3"/>
    <w:rsid w:val="3E504FFB"/>
    <w:rsid w:val="3E615CD0"/>
    <w:rsid w:val="3E9C47F6"/>
    <w:rsid w:val="3EEEA78B"/>
    <w:rsid w:val="3EF36CB8"/>
    <w:rsid w:val="3F00274D"/>
    <w:rsid w:val="3F1A74E6"/>
    <w:rsid w:val="3F8B0112"/>
    <w:rsid w:val="3FAB3095"/>
    <w:rsid w:val="3FE45947"/>
    <w:rsid w:val="41242965"/>
    <w:rsid w:val="431E7600"/>
    <w:rsid w:val="435671EA"/>
    <w:rsid w:val="440809E9"/>
    <w:rsid w:val="442407A6"/>
    <w:rsid w:val="444F55DD"/>
    <w:rsid w:val="44805EA1"/>
    <w:rsid w:val="45710696"/>
    <w:rsid w:val="45846F00"/>
    <w:rsid w:val="45E22BAD"/>
    <w:rsid w:val="46142B1B"/>
    <w:rsid w:val="47490A0A"/>
    <w:rsid w:val="47C06F1E"/>
    <w:rsid w:val="47E60DD0"/>
    <w:rsid w:val="48735039"/>
    <w:rsid w:val="49160ED8"/>
    <w:rsid w:val="492C684B"/>
    <w:rsid w:val="49500594"/>
    <w:rsid w:val="49E7604E"/>
    <w:rsid w:val="4BBF129A"/>
    <w:rsid w:val="4BF67CDD"/>
    <w:rsid w:val="4D173441"/>
    <w:rsid w:val="4D603DD6"/>
    <w:rsid w:val="4D720456"/>
    <w:rsid w:val="4D76695F"/>
    <w:rsid w:val="4EBF010F"/>
    <w:rsid w:val="4F471EB0"/>
    <w:rsid w:val="4FB74EC4"/>
    <w:rsid w:val="50974594"/>
    <w:rsid w:val="51331326"/>
    <w:rsid w:val="51740A7F"/>
    <w:rsid w:val="519D406A"/>
    <w:rsid w:val="51A5541E"/>
    <w:rsid w:val="51C96242"/>
    <w:rsid w:val="53787030"/>
    <w:rsid w:val="53906AE1"/>
    <w:rsid w:val="54F46F60"/>
    <w:rsid w:val="55A37BEA"/>
    <w:rsid w:val="56362CD2"/>
    <w:rsid w:val="567F61F6"/>
    <w:rsid w:val="56C80241"/>
    <w:rsid w:val="570D7BAA"/>
    <w:rsid w:val="571F7CE7"/>
    <w:rsid w:val="5784687B"/>
    <w:rsid w:val="57846959"/>
    <w:rsid w:val="578E6A87"/>
    <w:rsid w:val="57EE5F7B"/>
    <w:rsid w:val="58555460"/>
    <w:rsid w:val="59F04051"/>
    <w:rsid w:val="5AC2203A"/>
    <w:rsid w:val="5AC928BB"/>
    <w:rsid w:val="5B756EAF"/>
    <w:rsid w:val="5CBB3334"/>
    <w:rsid w:val="5D115FAF"/>
    <w:rsid w:val="5EE44E48"/>
    <w:rsid w:val="5F8966A3"/>
    <w:rsid w:val="600F05EB"/>
    <w:rsid w:val="606C0827"/>
    <w:rsid w:val="61E90079"/>
    <w:rsid w:val="61EF4230"/>
    <w:rsid w:val="621517BC"/>
    <w:rsid w:val="62811722"/>
    <w:rsid w:val="62E75A72"/>
    <w:rsid w:val="63AD09FF"/>
    <w:rsid w:val="64571880"/>
    <w:rsid w:val="649125B6"/>
    <w:rsid w:val="652F4C1A"/>
    <w:rsid w:val="65A43583"/>
    <w:rsid w:val="666D37F1"/>
    <w:rsid w:val="67087D8F"/>
    <w:rsid w:val="671F687E"/>
    <w:rsid w:val="67F415F8"/>
    <w:rsid w:val="681675FD"/>
    <w:rsid w:val="682640D1"/>
    <w:rsid w:val="684B73E5"/>
    <w:rsid w:val="69A27DD9"/>
    <w:rsid w:val="6A047A2A"/>
    <w:rsid w:val="6ABD0E2A"/>
    <w:rsid w:val="6EFB7548"/>
    <w:rsid w:val="6F3831C3"/>
    <w:rsid w:val="6F8B71C1"/>
    <w:rsid w:val="70753482"/>
    <w:rsid w:val="707B522A"/>
    <w:rsid w:val="70957BEC"/>
    <w:rsid w:val="70FD474B"/>
    <w:rsid w:val="73194D05"/>
    <w:rsid w:val="73A83B0E"/>
    <w:rsid w:val="73C054F7"/>
    <w:rsid w:val="73D70FC8"/>
    <w:rsid w:val="744D3EF9"/>
    <w:rsid w:val="74794411"/>
    <w:rsid w:val="75867C40"/>
    <w:rsid w:val="75A32C7C"/>
    <w:rsid w:val="75B10B26"/>
    <w:rsid w:val="76432199"/>
    <w:rsid w:val="76BD18B6"/>
    <w:rsid w:val="76F44829"/>
    <w:rsid w:val="77A267C0"/>
    <w:rsid w:val="78882278"/>
    <w:rsid w:val="78B118A6"/>
    <w:rsid w:val="79135044"/>
    <w:rsid w:val="793A1DDD"/>
    <w:rsid w:val="79813602"/>
    <w:rsid w:val="7A7D0F99"/>
    <w:rsid w:val="7AE13F20"/>
    <w:rsid w:val="7D3A7290"/>
    <w:rsid w:val="7DBB6276"/>
    <w:rsid w:val="7E4A0E7C"/>
    <w:rsid w:val="7EEDA856"/>
    <w:rsid w:val="7EFD449D"/>
    <w:rsid w:val="7FF97CC4"/>
    <w:rsid w:val="7FFB3C1A"/>
    <w:rsid w:val="AEFE4D9D"/>
    <w:rsid w:val="B5FF4BD7"/>
    <w:rsid w:val="BBD7CF50"/>
    <w:rsid w:val="BFFEE870"/>
    <w:rsid w:val="C5FF6583"/>
    <w:rsid w:val="CB3EFAD2"/>
    <w:rsid w:val="DB7D4D5B"/>
    <w:rsid w:val="DF7E135B"/>
    <w:rsid w:val="DFDB3A5A"/>
    <w:rsid w:val="E37EFE73"/>
    <w:rsid w:val="EBFC4101"/>
    <w:rsid w:val="EFFF0904"/>
    <w:rsid w:val="F3EFADE5"/>
    <w:rsid w:val="F6ED7818"/>
    <w:rsid w:val="FB962BC3"/>
    <w:rsid w:val="FEFAC6AB"/>
    <w:rsid w:val="FFFC5775"/>
    <w:rsid w:val="FFFD45FB"/>
    <w:rsid w:val="FFFDB270"/>
    <w:rsid w:val="FFFF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1818</Words>
  <Characters>10364</Characters>
  <Lines>86</Lines>
  <Paragraphs>24</Paragraphs>
  <TotalTime>52</TotalTime>
  <ScaleCrop>false</ScaleCrop>
  <LinksUpToDate>false</LinksUpToDate>
  <CharactersWithSpaces>12158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huanghe</cp:lastModifiedBy>
  <cp:lastPrinted>2023-02-19T02:18:00Z</cp:lastPrinted>
  <dcterms:modified xsi:type="dcterms:W3CDTF">2023-05-22T09:02:47Z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52FD9D752D4548188E4FB55F01624606</vt:lpwstr>
  </property>
</Properties>
</file>