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许昌市数字化城市管理中心单位决算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许昌市数字化城市管理中心概况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许昌市数字化城市管理中心概况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1、负责组织建立许昌市数字化城市管理系统，拟定数字化城市管理指挥与绩效评价办法，并组织实施；</w:t>
      </w:r>
    </w:p>
    <w:p>
      <w:pPr>
        <w:widowControl/>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2、负责市区城市管理中出现各种问题的现场信息和处置结果信息的采集、分类、处理和报送，巡查列入管理范围的城市部件、事件问题；</w:t>
      </w:r>
    </w:p>
    <w:p>
      <w:pPr>
        <w:widowControl/>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3、负责城市管理各类信息的整理、分析，对城市管理状况以及相关县（区）、市直有关部门（单位）履行城市管理职责的情况进行收集、评价和反馈；负责对城市部件、事件问题进行审核备案，并派遣到各专业处理部门或责任单位；负责对城市部件、事件问题处置情况进行跟踪、指导、督促；</w:t>
      </w:r>
    </w:p>
    <w:p>
      <w:pPr>
        <w:widowControl/>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4、负责数字化城市管理信息系统的日常维护与管理，建立城市管理工作电子档案，实施信息管理；负责信息采集工作的绩效考核。</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许昌市数字化城市管理中心内设机构</w:t>
      </w: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个，包括：办公室、信息采集管理科、指挥派遣科、绩效评价科、网络技术科、夜景亮化管理办公室、公共自行车运营管理办公室。</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从决算单位构成看，许昌市数字化城市管理中心单位决算包括：本级决算（1个）。 </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1.许昌市数字化城市管理中心</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w:t>
            </w:r>
            <w:r>
              <w:rPr>
                <w:rFonts w:ascii="宋体" w:hAnsi="宋体" w:cs="宋体"/>
                <w:color w:val="000000"/>
                <w:kern w:val="0"/>
                <w:sz w:val="20"/>
                <w:szCs w:val="20"/>
              </w:rPr>
              <w:t>预算财政拨款</w:t>
            </w:r>
            <w:r>
              <w:rPr>
                <w:rFonts w:hint="eastAsia" w:ascii="宋体" w:hAnsi="宋体" w:cs="宋体"/>
                <w:color w:val="000000"/>
                <w:kern w:val="0"/>
                <w:sz w:val="20"/>
                <w:szCs w:val="20"/>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三、国有资本</w:t>
            </w:r>
            <w:r>
              <w:rPr>
                <w:rFonts w:ascii="宋体" w:hAnsi="宋体" w:cs="宋体"/>
                <w:color w:val="000000"/>
                <w:kern w:val="0"/>
                <w:sz w:val="20"/>
                <w:szCs w:val="20"/>
              </w:rPr>
              <w:t>经营预算财政拨款</w:t>
            </w:r>
            <w:r>
              <w:rPr>
                <w:rFonts w:hint="eastAsia" w:ascii="宋体" w:hAnsi="宋体" w:cs="宋体"/>
                <w:color w:val="000000"/>
                <w:kern w:val="0"/>
                <w:sz w:val="20"/>
                <w:szCs w:val="20"/>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21</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2</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23</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w:t>
            </w:r>
            <w:r>
              <w:rPr>
                <w:rFonts w:ascii="宋体" w:hAnsi="宋体" w:cs="宋体"/>
                <w:color w:val="000000"/>
                <w:sz w:val="20"/>
                <w:szCs w:val="2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w:t>
            </w:r>
            <w:r>
              <w:rPr>
                <w:rFonts w:ascii="宋体" w:hAnsi="宋体" w:cs="宋体"/>
                <w:color w:val="000000"/>
                <w:sz w:val="20"/>
                <w:szCs w:val="20"/>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7</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601.43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8</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
                <w:color w:val="000000"/>
                <w:sz w:val="20"/>
                <w:szCs w:val="20"/>
              </w:rPr>
              <w:t>1</w:t>
            </w:r>
            <w:r>
              <w:rPr>
                <w:rFonts w:ascii="宋体" w:hAnsi="宋体" w:cs="宋体"/>
                <w:b/>
                <w:color w:val="000000"/>
                <w:sz w:val="20"/>
                <w:szCs w:val="20"/>
              </w:rPr>
              <w:t>649.72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使用非</w:t>
            </w:r>
            <w:r>
              <w:rPr>
                <w:rFonts w:ascii="宋体" w:hAnsi="宋体" w:cs="宋体"/>
                <w:color w:val="000000"/>
                <w:kern w:val="0"/>
                <w:sz w:val="20"/>
                <w:szCs w:val="20"/>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9</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06.33</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30</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31</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6</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32</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rFonts w:ascii="宋体" w:hAnsi="宋体" w:cs="宋体"/>
                <w:b/>
                <w:color w:val="000000"/>
                <w:sz w:val="20"/>
                <w:szCs w:val="20"/>
              </w:rPr>
            </w:pPr>
            <w:r>
              <w:rPr>
                <w:rFonts w:hint="eastAsia" w:ascii="宋体" w:hAnsi="宋体" w:cs="宋体"/>
                <w:b/>
                <w:color w:val="000000"/>
                <w:sz w:val="20"/>
                <w:szCs w:val="20"/>
              </w:rPr>
              <w:t>1</w:t>
            </w:r>
            <w:r>
              <w:rPr>
                <w:rFonts w:ascii="宋体" w:hAnsi="宋体" w:cs="宋体"/>
                <w:b/>
                <w:color w:val="000000"/>
                <w:sz w:val="20"/>
                <w:szCs w:val="20"/>
              </w:rPr>
              <w:t>649.72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注：本表反映单位本年度的总收支和年末结转结余情况。本表金额转换为万元时，因四舍五入可能存在尾差。</w:t>
            </w:r>
          </w:p>
        </w:tc>
      </w:tr>
    </w:tbl>
    <w:p>
      <w:pPr>
        <w:rPr>
          <w:rFonts w:ascii="仿宋_GB2312" w:hAnsi="仿宋_GB2312" w:eastAsia="仿宋_GB2312" w:cs="仿宋_GB2312"/>
          <w:sz w:val="2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2048"/>
        <w:gridCol w:w="776"/>
        <w:gridCol w:w="641"/>
        <w:gridCol w:w="912"/>
        <w:gridCol w:w="789"/>
        <w:gridCol w:w="764"/>
        <w:gridCol w:w="796"/>
        <w:gridCol w:w="757"/>
        <w:gridCol w:w="660"/>
        <w:gridCol w:w="893"/>
        <w:gridCol w:w="440"/>
        <w:gridCol w:w="1113"/>
        <w:gridCol w:w="772"/>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048"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77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134"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33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88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398"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8"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3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8"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134"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98"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134"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sz w:val="20"/>
                <w:szCs w:val="20"/>
              </w:rPr>
              <w:t>201</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群众团体事务</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2012906</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工会事务</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w:t>
            </w:r>
          </w:p>
        </w:tc>
        <w:tc>
          <w:tcPr>
            <w:tcW w:w="2048" w:type="dxa"/>
            <w:tcBorders>
              <w:top w:val="nil"/>
              <w:left w:val="nil"/>
              <w:bottom w:val="single" w:color="auto"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1417"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28.37</w:t>
            </w:r>
          </w:p>
        </w:tc>
        <w:tc>
          <w:tcPr>
            <w:tcW w:w="1701"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28.37</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w:t>
            </w:r>
          </w:p>
        </w:tc>
        <w:tc>
          <w:tcPr>
            <w:tcW w:w="2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行政事业单位养老支出</w:t>
            </w:r>
          </w:p>
        </w:tc>
        <w:tc>
          <w:tcPr>
            <w:tcW w:w="141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28.37</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28.37</w:t>
            </w:r>
          </w:p>
        </w:tc>
        <w:tc>
          <w:tcPr>
            <w:tcW w:w="156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2080502</w:t>
            </w:r>
          </w:p>
        </w:tc>
        <w:tc>
          <w:tcPr>
            <w:tcW w:w="2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事业单位离退休</w:t>
            </w:r>
          </w:p>
        </w:tc>
        <w:tc>
          <w:tcPr>
            <w:tcW w:w="141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3.15</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3.15</w:t>
            </w:r>
          </w:p>
        </w:tc>
        <w:tc>
          <w:tcPr>
            <w:tcW w:w="1560"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2080505</w:t>
            </w:r>
          </w:p>
        </w:tc>
        <w:tc>
          <w:tcPr>
            <w:tcW w:w="2048"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1417"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25.22</w:t>
            </w:r>
          </w:p>
        </w:tc>
        <w:tc>
          <w:tcPr>
            <w:tcW w:w="1701"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25.22</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w:t>
            </w:r>
          </w:p>
        </w:tc>
        <w:tc>
          <w:tcPr>
            <w:tcW w:w="2048" w:type="dxa"/>
            <w:tcBorders>
              <w:top w:val="nil"/>
              <w:left w:val="nil"/>
              <w:bottom w:val="single" w:color="auto"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1417"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701"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56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w:t>
            </w:r>
          </w:p>
        </w:tc>
        <w:tc>
          <w:tcPr>
            <w:tcW w:w="2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141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2101102</w:t>
            </w:r>
          </w:p>
        </w:tc>
        <w:tc>
          <w:tcPr>
            <w:tcW w:w="2048"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1417"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701"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8.40</w:t>
            </w:r>
          </w:p>
        </w:tc>
        <w:tc>
          <w:tcPr>
            <w:tcW w:w="156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城乡社区管理事务</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2120104</w:t>
            </w:r>
          </w:p>
        </w:tc>
        <w:tc>
          <w:tcPr>
            <w:tcW w:w="2048"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城管执法</w:t>
            </w:r>
          </w:p>
        </w:tc>
        <w:tc>
          <w:tcPr>
            <w:tcW w:w="141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1,504.56</w:t>
            </w:r>
          </w:p>
        </w:tc>
        <w:tc>
          <w:tcPr>
            <w:tcW w:w="156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41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33"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88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9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注：本表反映单位本年度取得的各项收入情况。本表金额转换为万元时，因四舍五入可能存在尾差。</w:t>
            </w:r>
          </w:p>
        </w:tc>
      </w:tr>
    </w:tbl>
    <w:p>
      <w:pPr>
        <w:rPr>
          <w:rFonts w:ascii="仿宋_GB2312" w:hAnsi="仿宋_GB2312" w:eastAsia="仿宋_GB2312" w:cs="仿宋_GB2312"/>
          <w:sz w:val="2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2207"/>
        <w:gridCol w:w="916"/>
        <w:gridCol w:w="785"/>
        <w:gridCol w:w="1017"/>
        <w:gridCol w:w="684"/>
        <w:gridCol w:w="1117"/>
        <w:gridCol w:w="1010"/>
        <w:gridCol w:w="792"/>
        <w:gridCol w:w="909"/>
        <w:gridCol w:w="892"/>
        <w:gridCol w:w="413"/>
        <w:gridCol w:w="2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20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1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1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212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30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2036"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23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12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3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3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12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36"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17"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2036"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17"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w:t>
            </w:r>
            <w:r>
              <w:rPr>
                <w:rFonts w:ascii="宋体" w:hAnsi="宋体" w:cs="宋体"/>
                <w:color w:val="000000"/>
                <w:sz w:val="20"/>
                <w:szCs w:val="20"/>
              </w:rPr>
              <w:t>92.44</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057.28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sz w:val="20"/>
                <w:szCs w:val="20"/>
              </w:rPr>
              <w:t>201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群众团体事务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2012906</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工会事务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w:t>
            </w:r>
          </w:p>
        </w:tc>
        <w:tc>
          <w:tcPr>
            <w:tcW w:w="2234" w:type="dxa"/>
            <w:gridSpan w:val="2"/>
            <w:tcBorders>
              <w:top w:val="nil"/>
              <w:left w:val="nil"/>
              <w:bottom w:val="single" w:color="auto"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行政事业单位养老支出</w:t>
            </w:r>
          </w:p>
        </w:tc>
        <w:tc>
          <w:tcPr>
            <w:tcW w:w="1701"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1701"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2127" w:type="dxa"/>
            <w:gridSpan w:val="2"/>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2080502</w:t>
            </w:r>
          </w:p>
        </w:tc>
        <w:tc>
          <w:tcPr>
            <w:tcW w:w="223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事业单位离退休</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3.46</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3.46</w:t>
            </w:r>
          </w:p>
        </w:tc>
        <w:tc>
          <w:tcPr>
            <w:tcW w:w="212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2080505</w:t>
            </w:r>
          </w:p>
        </w:tc>
        <w:tc>
          <w:tcPr>
            <w:tcW w:w="223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29.68</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29.68</w:t>
            </w:r>
          </w:p>
        </w:tc>
        <w:tc>
          <w:tcPr>
            <w:tcW w:w="212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w:t>
            </w:r>
          </w:p>
        </w:tc>
        <w:tc>
          <w:tcPr>
            <w:tcW w:w="2234"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1701"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1701"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2127"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w:t>
            </w:r>
          </w:p>
        </w:tc>
        <w:tc>
          <w:tcPr>
            <w:tcW w:w="223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170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212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2101102</w:t>
            </w:r>
          </w:p>
        </w:tc>
        <w:tc>
          <w:tcPr>
            <w:tcW w:w="2234"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1701"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1701"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2127" w:type="dxa"/>
            <w:gridSpan w:val="2"/>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城乡社区管理事务</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2120104</w:t>
            </w:r>
          </w:p>
        </w:tc>
        <w:tc>
          <w:tcPr>
            <w:tcW w:w="2234" w:type="dxa"/>
            <w:gridSpan w:val="2"/>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城管执法</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1701"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2127"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c>
          <w:tcPr>
            <w:tcW w:w="170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30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2036"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850"/>
        <w:gridCol w:w="1276"/>
        <w:gridCol w:w="333"/>
        <w:gridCol w:w="107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047"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财政拨款收入支出决算总表</w:t>
            </w:r>
          </w:p>
        </w:tc>
        <w:tc>
          <w:tcPr>
            <w:tcW w:w="1065" w:type="dxa"/>
            <w:tcBorders>
              <w:top w:val="nil"/>
              <w:left w:val="nil"/>
              <w:bottom w:val="nil"/>
              <w:right w:val="nil"/>
            </w:tcBorders>
            <w:vAlign w:val="top"/>
          </w:tcPr>
          <w:p>
            <w:pPr>
              <w:widowControl/>
              <w:jc w:val="center"/>
              <w:textAlignment w:val="center"/>
              <w:rPr>
                <w:rFonts w:ascii="华文中宋" w:hAnsi="华文中宋" w:eastAsia="华文中宋" w:cs="华文中宋"/>
                <w:color w:val="000000"/>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8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09"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t xml:space="preserve">       </w:t>
            </w:r>
          </w:p>
        </w:tc>
        <w:tc>
          <w:tcPr>
            <w:tcW w:w="214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850" w:type="dxa"/>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609" w:type="dxa"/>
            <w:gridSpan w:val="2"/>
            <w:tcBorders>
              <w:top w:val="nil"/>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214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8188"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c>
          <w:tcPr>
            <w:tcW w:w="1065"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8"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065"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18</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.07</w:t>
            </w: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.07</w:t>
            </w: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19</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sz w:val="20"/>
                <w:szCs w:val="20"/>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20</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21</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22</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23</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24</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5</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3.14</w:t>
            </w: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w:t>
            </w:r>
            <w:r>
              <w:rPr>
                <w:rFonts w:ascii="宋体" w:hAnsi="宋体" w:cs="宋体"/>
                <w:color w:val="000000"/>
                <w:sz w:val="20"/>
                <w:szCs w:val="20"/>
              </w:rPr>
              <w:t>3.14</w:t>
            </w: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3.08</w:t>
            </w: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3.08</w:t>
            </w: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7</w:t>
            </w:r>
          </w:p>
        </w:tc>
        <w:tc>
          <w:tcPr>
            <w:tcW w:w="8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8" w:space="0"/>
            </w:tcBorders>
            <w:vAlign w:val="top"/>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8</w:t>
            </w:r>
          </w:p>
        </w:tc>
        <w:tc>
          <w:tcPr>
            <w:tcW w:w="85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601.43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ascii="宋体" w:hAnsi="宋体" w:cs="宋体"/>
                <w:color w:val="000000"/>
                <w:sz w:val="20"/>
                <w:szCs w:val="20"/>
              </w:rPr>
              <w:t>1601.43</w:t>
            </w:r>
          </w:p>
        </w:tc>
        <w:tc>
          <w:tcPr>
            <w:tcW w:w="1408"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c>
          <w:tcPr>
            <w:tcW w:w="1065" w:type="dxa"/>
            <w:tcBorders>
              <w:top w:val="single" w:color="000000" w:sz="4" w:space="0"/>
              <w:left w:val="nil"/>
              <w:bottom w:val="single" w:color="000000" w:sz="4" w:space="0"/>
              <w:right w:val="single" w:color="000000" w:sz="8" w:space="0"/>
            </w:tcBorders>
            <w:vAlign w:val="top"/>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543.40</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9</w:t>
            </w:r>
          </w:p>
        </w:tc>
        <w:tc>
          <w:tcPr>
            <w:tcW w:w="85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1408"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b/>
                <w:color w:val="000000"/>
                <w:sz w:val="20"/>
                <w:szCs w:val="20"/>
              </w:rPr>
            </w:pPr>
          </w:p>
        </w:tc>
        <w:tc>
          <w:tcPr>
            <w:tcW w:w="1065" w:type="dxa"/>
            <w:tcBorders>
              <w:top w:val="single" w:color="000000" w:sz="4" w:space="0"/>
              <w:left w:val="nil"/>
              <w:bottom w:val="single" w:color="000000" w:sz="4" w:space="0"/>
              <w:right w:val="single" w:color="000000" w:sz="8" w:space="0"/>
            </w:tcBorders>
            <w:vAlign w:val="top"/>
          </w:tcPr>
          <w:p>
            <w:pPr>
              <w:rPr>
                <w:rFonts w:ascii="宋体"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06.33</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30</w:t>
            </w:r>
          </w:p>
        </w:tc>
        <w:tc>
          <w:tcPr>
            <w:tcW w:w="85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065" w:type="dxa"/>
            <w:tcBorders>
              <w:top w:val="single" w:color="000000" w:sz="4" w:space="0"/>
              <w:left w:val="nil"/>
              <w:bottom w:val="single" w:color="000000" w:sz="4" w:space="0"/>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06.33</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31</w:t>
            </w:r>
          </w:p>
        </w:tc>
        <w:tc>
          <w:tcPr>
            <w:tcW w:w="85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065" w:type="dxa"/>
            <w:tcBorders>
              <w:top w:val="single" w:color="000000" w:sz="4" w:space="0"/>
              <w:left w:val="nil"/>
              <w:bottom w:val="single" w:color="000000" w:sz="4" w:space="0"/>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政府性基金预算财政拨款</w:t>
            </w:r>
          </w:p>
        </w:tc>
        <w:tc>
          <w:tcPr>
            <w:tcW w:w="129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15</w:t>
            </w:r>
          </w:p>
        </w:tc>
        <w:tc>
          <w:tcPr>
            <w:tcW w:w="12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32</w:t>
            </w:r>
          </w:p>
        </w:tc>
        <w:tc>
          <w:tcPr>
            <w:tcW w:w="850"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c>
          <w:tcPr>
            <w:tcW w:w="1065" w:type="dxa"/>
            <w:tcBorders>
              <w:top w:val="single" w:color="000000" w:sz="4" w:space="0"/>
              <w:left w:val="nil"/>
              <w:bottom w:val="single" w:color="auto" w:sz="4" w:space="0"/>
              <w:right w:val="single" w:color="000000" w:sz="8"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 xml:space="preserve">       国有资本经营预算财政拨款</w:t>
            </w:r>
          </w:p>
        </w:tc>
        <w:tc>
          <w:tcPr>
            <w:tcW w:w="12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6</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33</w:t>
            </w:r>
          </w:p>
        </w:tc>
        <w:tc>
          <w:tcPr>
            <w:tcW w:w="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p>
        </w:tc>
        <w:tc>
          <w:tcPr>
            <w:tcW w:w="1408"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宋体"/>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129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17</w:t>
            </w:r>
          </w:p>
        </w:tc>
        <w:tc>
          <w:tcPr>
            <w:tcW w:w="1210"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2596" w:type="dxa"/>
            <w:tcBorders>
              <w:top w:val="single" w:color="auto"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993"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34</w:t>
            </w:r>
          </w:p>
        </w:tc>
        <w:tc>
          <w:tcPr>
            <w:tcW w:w="850" w:type="dxa"/>
            <w:tcBorders>
              <w:top w:val="single" w:color="auto" w:sz="4" w:space="0"/>
              <w:left w:val="nil"/>
              <w:bottom w:val="nil"/>
              <w:right w:val="nil"/>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1276" w:type="dxa"/>
            <w:tcBorders>
              <w:top w:val="single" w:color="auto"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1408" w:type="dxa"/>
            <w:gridSpan w:val="2"/>
            <w:tcBorders>
              <w:top w:val="single" w:color="auto" w:sz="4" w:space="0"/>
              <w:left w:val="nil"/>
              <w:bottom w:val="single" w:color="000000" w:sz="8" w:space="0"/>
              <w:right w:val="single" w:color="000000" w:sz="8" w:space="0"/>
            </w:tcBorders>
            <w:tcMar>
              <w:top w:w="15" w:type="dxa"/>
              <w:left w:w="15" w:type="dxa"/>
              <w:right w:w="15" w:type="dxa"/>
            </w:tcMar>
            <w:vAlign w:val="center"/>
          </w:tcPr>
          <w:p>
            <w:pPr>
              <w:rPr>
                <w:rFonts w:ascii="宋体" w:hAnsi="宋体" w:cs="宋体"/>
                <w:b/>
                <w:color w:val="000000"/>
                <w:sz w:val="20"/>
                <w:szCs w:val="20"/>
              </w:rPr>
            </w:pPr>
          </w:p>
        </w:tc>
        <w:tc>
          <w:tcPr>
            <w:tcW w:w="1065" w:type="dxa"/>
            <w:tcBorders>
              <w:top w:val="single" w:color="auto" w:sz="4" w:space="0"/>
              <w:left w:val="nil"/>
              <w:bottom w:val="single" w:color="000000" w:sz="8" w:space="0"/>
              <w:right w:val="single" w:color="000000" w:sz="8" w:space="0"/>
            </w:tcBorders>
            <w:vAlign w:val="top"/>
          </w:tcPr>
          <w:p>
            <w:pPr>
              <w:rPr>
                <w:rFonts w:ascii="宋体" w:hAnsi="宋体"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047"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注：本表反映单位本年度一般公共预算财政拨款、政府性基金预算财政拨款和国有资本经营预算财政拨款的总收支和年末结转结余情况。本表金额转换为万元时，因四舍五入可能存在尾差。</w:t>
            </w:r>
          </w:p>
        </w:tc>
        <w:tc>
          <w:tcPr>
            <w:tcW w:w="1065" w:type="dxa"/>
            <w:tcBorders>
              <w:top w:val="single" w:color="000000" w:sz="8" w:space="0"/>
              <w:left w:val="nil"/>
              <w:bottom w:val="nil"/>
              <w:right w:val="nil"/>
            </w:tcBorders>
            <w:vAlign w:val="top"/>
          </w:tcPr>
          <w:p>
            <w:pPr>
              <w:widowControl/>
              <w:jc w:val="left"/>
              <w:textAlignment w:val="center"/>
              <w:rPr>
                <w:rFonts w:ascii="宋体" w:hAnsi="宋体" w:cs="宋体"/>
                <w:color w:val="000000"/>
                <w:kern w:val="0"/>
                <w:sz w:val="20"/>
                <w:szCs w:val="20"/>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14"/>
                <w:rFonts w:hint="default"/>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5"/>
                <w:rFonts w:hint="default"/>
                <w:sz w:val="20"/>
                <w:szCs w:val="20"/>
              </w:rPr>
              <w:t xml:space="preserve">   </w:t>
            </w:r>
            <w:r>
              <w:rPr>
                <w:rStyle w:val="13"/>
                <w:rFonts w:hint="default"/>
                <w:sz w:val="20"/>
                <w:szCs w:val="20"/>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649.72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w:t>
            </w:r>
            <w:r>
              <w:rPr>
                <w:rFonts w:ascii="宋体" w:hAnsi="宋体" w:cs="宋体"/>
                <w:color w:val="000000"/>
                <w:sz w:val="20"/>
                <w:szCs w:val="20"/>
              </w:rPr>
              <w:t>92.44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057.28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hAnsi="宋体" w:cs="Arial"/>
                <w:color w:val="000000"/>
                <w:kern w:val="0"/>
                <w:sz w:val="20"/>
                <w:szCs w:val="20"/>
              </w:rPr>
            </w:pPr>
            <w:r>
              <w:rPr>
                <w:rFonts w:hint="eastAsia" w:ascii="宋体" w:hAnsi="宋体" w:cs="Arial"/>
                <w:color w:val="000000"/>
                <w:sz w:val="20"/>
                <w:szCs w:val="20"/>
              </w:rPr>
              <w:t>201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群众团体事务</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2012906</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工会事务</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2.07</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auto"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w:t>
            </w:r>
          </w:p>
        </w:tc>
        <w:tc>
          <w:tcPr>
            <w:tcW w:w="2225" w:type="dxa"/>
            <w:tcBorders>
              <w:top w:val="nil"/>
              <w:left w:val="nil"/>
              <w:bottom w:val="single" w:color="auto"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3449"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3449"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3451"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行政事业单位养老支出</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33.14</w:t>
            </w:r>
          </w:p>
        </w:tc>
        <w:tc>
          <w:tcPr>
            <w:tcW w:w="3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2080502</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事业单位离退休</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3.46</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3.46</w:t>
            </w:r>
          </w:p>
        </w:tc>
        <w:tc>
          <w:tcPr>
            <w:tcW w:w="3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2080505</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29.68</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29.68</w:t>
            </w:r>
          </w:p>
        </w:tc>
        <w:tc>
          <w:tcPr>
            <w:tcW w:w="3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344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49"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51"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w:t>
            </w:r>
          </w:p>
        </w:tc>
        <w:tc>
          <w:tcPr>
            <w:tcW w:w="22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2101102</w:t>
            </w:r>
          </w:p>
        </w:tc>
        <w:tc>
          <w:tcPr>
            <w:tcW w:w="2225"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344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49"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13.08</w:t>
            </w:r>
          </w:p>
        </w:tc>
        <w:tc>
          <w:tcPr>
            <w:tcW w:w="3451"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城乡社区管理事务</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Arial"/>
                <w:color w:val="000000"/>
                <w:sz w:val="20"/>
                <w:szCs w:val="20"/>
              </w:rPr>
            </w:pPr>
            <w:r>
              <w:rPr>
                <w:rFonts w:hint="eastAsia" w:ascii="宋体" w:hAnsi="宋体" w:cs="Arial"/>
                <w:color w:val="000000"/>
                <w:sz w:val="20"/>
                <w:szCs w:val="20"/>
              </w:rPr>
              <w:t>2120104</w:t>
            </w:r>
          </w:p>
        </w:tc>
        <w:tc>
          <w:tcPr>
            <w:tcW w:w="2225" w:type="dxa"/>
            <w:tcBorders>
              <w:top w:val="nil"/>
              <w:left w:val="nil"/>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城管执法</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1,601.43</w:t>
            </w:r>
          </w:p>
        </w:tc>
        <w:tc>
          <w:tcPr>
            <w:tcW w:w="3449"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544.15</w:t>
            </w:r>
          </w:p>
        </w:tc>
        <w:tc>
          <w:tcPr>
            <w:tcW w:w="345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Arial"/>
                <w:color w:val="000000"/>
                <w:sz w:val="20"/>
                <w:szCs w:val="20"/>
              </w:rPr>
            </w:pPr>
            <w:r>
              <w:rPr>
                <w:rFonts w:hint="eastAsia" w:ascii="宋体" w:hAnsi="宋体" w:cs="Arial"/>
                <w:color w:val="000000"/>
                <w:sz w:val="20"/>
                <w:szCs w:val="20"/>
              </w:rPr>
              <w:t>1,057.28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3118"/>
        <w:gridCol w:w="1061"/>
        <w:gridCol w:w="945"/>
        <w:gridCol w:w="1821"/>
        <w:gridCol w:w="993"/>
        <w:gridCol w:w="996"/>
        <w:gridCol w:w="310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06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4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2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3"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4046"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26" w:type="dxa"/>
            <w:gridSpan w:val="2"/>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061"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945"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1821"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993"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996" w:type="dxa"/>
            <w:tcBorders>
              <w:top w:val="nil"/>
              <w:left w:val="nil"/>
              <w:bottom w:val="nil"/>
              <w:right w:val="nil"/>
            </w:tcBorders>
            <w:tcMar>
              <w:top w:w="15" w:type="dxa"/>
              <w:left w:w="15" w:type="dxa"/>
              <w:right w:w="15" w:type="dxa"/>
            </w:tcMar>
            <w:vAlign w:val="center"/>
          </w:tcPr>
          <w:p>
            <w:pPr>
              <w:rPr>
                <w:rFonts w:ascii="宋体" w:hAnsi="宋体" w:cs="宋体"/>
                <w:color w:val="000000"/>
                <w:sz w:val="20"/>
                <w:szCs w:val="20"/>
              </w:rPr>
            </w:pPr>
          </w:p>
        </w:tc>
        <w:tc>
          <w:tcPr>
            <w:tcW w:w="4046"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06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945"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1821"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9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996"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0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rPr>
                <w:rFonts w:ascii="宋体" w:hAnsi="宋体" w:cs="宋体"/>
                <w:color w:val="000000"/>
                <w:kern w:val="0"/>
                <w:sz w:val="20"/>
                <w:szCs w:val="20"/>
              </w:rPr>
            </w:pPr>
            <w:r>
              <w:rPr>
                <w:rFonts w:hint="eastAsia" w:ascii="宋体" w:hAnsi="宋体" w:cs="宋体"/>
                <w:color w:val="000000"/>
                <w:sz w:val="20"/>
                <w:szCs w:val="20"/>
              </w:rPr>
              <w:t>478.46</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rPr>
                <w:rFonts w:ascii="宋体" w:hAnsi="宋体" w:cs="宋体"/>
                <w:color w:val="000000"/>
                <w:kern w:val="0"/>
                <w:sz w:val="20"/>
                <w:szCs w:val="20"/>
              </w:rPr>
            </w:pPr>
            <w:r>
              <w:rPr>
                <w:rFonts w:hint="eastAsia" w:ascii="宋体" w:hAnsi="宋体" w:cs="宋体"/>
                <w:color w:val="000000"/>
                <w:sz w:val="20"/>
                <w:szCs w:val="20"/>
              </w:rPr>
              <w:t>106.71</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120.55</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5.28</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169.61</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50.79</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66.41</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机关事业单位基本养老保险费</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29.68</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08" w:type="dxa"/>
            <w:tcBorders>
              <w:top w:val="single" w:color="000000" w:sz="4" w:space="0"/>
              <w:left w:val="single" w:color="000000" w:sz="8"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1061"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182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93"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w:t>
            </w:r>
          </w:p>
        </w:tc>
        <w:tc>
          <w:tcPr>
            <w:tcW w:w="9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1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auto"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13.08</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5.12</w:t>
            </w:r>
          </w:p>
        </w:tc>
        <w:tc>
          <w:tcPr>
            <w:tcW w:w="9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2.67</w:t>
            </w:r>
          </w:p>
        </w:tc>
        <w:tc>
          <w:tcPr>
            <w:tcW w:w="9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auto"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1061"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26.66</w:t>
            </w:r>
          </w:p>
        </w:tc>
        <w:tc>
          <w:tcPr>
            <w:tcW w:w="9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182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9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1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auto"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0.83</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59.29</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7.04</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1061"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1061"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3.69</w:t>
            </w:r>
          </w:p>
        </w:tc>
        <w:tc>
          <w:tcPr>
            <w:tcW w:w="9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182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公务招待费</w:t>
            </w:r>
          </w:p>
        </w:tc>
        <w:tc>
          <w:tcPr>
            <w:tcW w:w="993" w:type="dxa"/>
            <w:tcBorders>
              <w:top w:val="nil"/>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0.26</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1061"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4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182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93"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31201</w:t>
            </w:r>
          </w:p>
        </w:tc>
        <w:tc>
          <w:tcPr>
            <w:tcW w:w="31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3.34</w:t>
            </w: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31203</w:t>
            </w:r>
          </w:p>
        </w:tc>
        <w:tc>
          <w:tcPr>
            <w:tcW w:w="3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政府投资基金股权投资</w:t>
            </w:r>
          </w:p>
        </w:tc>
        <w:tc>
          <w:tcPr>
            <w:tcW w:w="938"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10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18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31204</w:t>
            </w:r>
          </w:p>
        </w:tc>
        <w:tc>
          <w:tcPr>
            <w:tcW w:w="31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费用补贴</w:t>
            </w:r>
          </w:p>
        </w:tc>
        <w:tc>
          <w:tcPr>
            <w:tcW w:w="938" w:type="dxa"/>
            <w:tcBorders>
              <w:top w:val="single" w:color="000000" w:sz="4" w:space="0"/>
              <w:left w:val="single" w:color="auto"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106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182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93" w:type="dxa"/>
            <w:tcBorders>
              <w:top w:val="single" w:color="auto" w:sz="4" w:space="0"/>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99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31205</w:t>
            </w:r>
          </w:p>
        </w:tc>
        <w:tc>
          <w:tcPr>
            <w:tcW w:w="310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2.07</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31299</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1.39</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7.00</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31302</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对其他个人和家庭的补助支出</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15.70</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31303</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9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0.11</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30703</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国内债务发行费用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412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30704</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国外债务发行费用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3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412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106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485.50</w:t>
            </w:r>
          </w:p>
        </w:tc>
        <w:tc>
          <w:tcPr>
            <w:tcW w:w="7863"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460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4604"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w:t>
            </w:r>
            <w:r>
              <w:rPr>
                <w:rFonts w:ascii="宋体" w:hAnsi="宋体" w:cs="宋体"/>
                <w:color w:val="000000"/>
                <w:sz w:val="20"/>
                <w:szCs w:val="20"/>
              </w:rPr>
              <w:t>.74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w:t>
            </w:r>
            <w:r>
              <w:rPr>
                <w:rFonts w:ascii="宋体" w:hAnsi="宋体" w:cs="宋体"/>
                <w:color w:val="000000"/>
                <w:sz w:val="20"/>
                <w:szCs w:val="20"/>
              </w:rPr>
              <w:t>.74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w:t>
            </w:r>
            <w:r>
              <w:rPr>
                <w:rFonts w:ascii="宋体" w:hAnsi="宋体" w:cs="宋体"/>
                <w:color w:val="000000"/>
                <w:sz w:val="20"/>
                <w:szCs w:val="20"/>
              </w:rPr>
              <w:t>.26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w:t>
            </w:r>
            <w:r>
              <w:rPr>
                <w:rFonts w:ascii="宋体" w:hAnsi="宋体" w:cs="宋体"/>
                <w:color w:val="000000"/>
                <w:sz w:val="20"/>
                <w:szCs w:val="20"/>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9"/>
        <w:gridCol w:w="524"/>
        <w:gridCol w:w="1250"/>
        <w:gridCol w:w="1890"/>
        <w:gridCol w:w="37"/>
        <w:gridCol w:w="1853"/>
        <w:gridCol w:w="37"/>
        <w:gridCol w:w="1853"/>
        <w:gridCol w:w="37"/>
        <w:gridCol w:w="1854"/>
        <w:gridCol w:w="37"/>
        <w:gridCol w:w="1853"/>
        <w:gridCol w:w="37"/>
        <w:gridCol w:w="1877"/>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1373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sz w:val="30"/>
                <w:szCs w:val="30"/>
              </w:rPr>
            </w:pPr>
            <w:r>
              <w:rPr>
                <w:rFonts w:hint="eastAsia" w:ascii="宋体" w:hAnsi="宋体" w:cs="华文中宋"/>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599"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2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5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9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14"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300" w:type="dxa"/>
            <w:gridSpan w:val="5"/>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单位：许昌市数字化城市管理中心</w:t>
            </w:r>
          </w:p>
        </w:tc>
        <w:tc>
          <w:tcPr>
            <w:tcW w:w="1890"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897"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2373"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890"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890"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671"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14"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312" w:hRule="atLeast"/>
        </w:trPr>
        <w:tc>
          <w:tcPr>
            <w:tcW w:w="1123"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89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891"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890"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14"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312" w:hRule="atLeast"/>
        </w:trPr>
        <w:tc>
          <w:tcPr>
            <w:tcW w:w="1123"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14"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312" w:hRule="atLeast"/>
        </w:trPr>
        <w:tc>
          <w:tcPr>
            <w:tcW w:w="1123"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14"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2373"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89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14"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2373"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14"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112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14"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112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890"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14"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90" w:hRule="atLeast"/>
        </w:trPr>
        <w:tc>
          <w:tcPr>
            <w:tcW w:w="1373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jc w:val="left"/>
        <w:textAlignment w:val="center"/>
        <w:rPr>
          <w:rFonts w:ascii="宋体" w:hAnsi="宋体" w:cs="宋体"/>
          <w:color w:val="000000"/>
          <w:kern w:val="0"/>
          <w:sz w:val="22"/>
        </w:rPr>
      </w:pPr>
      <w:r>
        <w:rPr>
          <w:rFonts w:hint="eastAsia" w:ascii="宋体" w:hAnsi="宋体" w:cs="宋体"/>
          <w:color w:val="000000"/>
          <w:kern w:val="0"/>
          <w:sz w:val="20"/>
          <w:szCs w:val="20"/>
        </w:rPr>
        <w:t>注：本表反映单位本年度政府性基金预算财政拨款收入、支出及结转和结余情况。本表金额转换为万元时，因四舍五入可能存在尾差。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32"/>
          <w:szCs w:val="32"/>
        </w:rPr>
      </w:pPr>
      <w:r>
        <w:rPr>
          <w:rFonts w:hint="eastAsia" w:ascii="宋体" w:hAnsi="宋体" w:cs="宋体"/>
          <w:color w:val="000000"/>
          <w:sz w:val="32"/>
          <w:szCs w:val="32"/>
        </w:rPr>
        <w:t>说明：我单位没有政府性基金收入，也没有使用政府性基金安排的支出，故本表无数据。</w:t>
      </w: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万元。与上年度相比，收、支总计各减少5</w:t>
      </w:r>
      <w:r>
        <w:rPr>
          <w:rFonts w:ascii="仿宋_GB2312" w:hAnsi="仿宋_GB2312" w:eastAsia="仿宋_GB2312" w:cs="仿宋_GB2312"/>
          <w:sz w:val="32"/>
          <w:szCs w:val="32"/>
        </w:rPr>
        <w:t>34.03</w:t>
      </w:r>
      <w:r>
        <w:rPr>
          <w:rFonts w:hint="eastAsia" w:ascii="仿宋_GB2312" w:hAnsi="仿宋_GB2312" w:eastAsia="仿宋_GB2312" w:cs="仿宋_GB2312"/>
          <w:sz w:val="32"/>
          <w:szCs w:val="32"/>
        </w:rPr>
        <w:t>万元，下降2</w:t>
      </w:r>
      <w:r>
        <w:rPr>
          <w:rFonts w:ascii="仿宋_GB2312" w:hAnsi="仿宋_GB2312" w:eastAsia="仿宋_GB2312" w:cs="仿宋_GB2312"/>
          <w:sz w:val="32"/>
          <w:szCs w:val="32"/>
        </w:rPr>
        <w:t>4.45</w:t>
      </w:r>
      <w:r>
        <w:rPr>
          <w:rFonts w:hint="eastAsia" w:ascii="仿宋_GB2312" w:hAnsi="仿宋_GB2312" w:eastAsia="仿宋_GB2312" w:cs="仿宋_GB2312"/>
          <w:sz w:val="32"/>
          <w:szCs w:val="32"/>
        </w:rPr>
        <w:t>%。主要原因是项目支出整体比去年减少。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w:t>
      </w:r>
      <w:r>
        <w:rPr>
          <w:rFonts w:ascii="仿宋_GB2312" w:hAnsi="仿宋_GB2312" w:eastAsia="仿宋_GB2312" w:cs="仿宋_GB2312"/>
          <w:sz w:val="32"/>
          <w:szCs w:val="32"/>
        </w:rPr>
        <w:t>543.40</w:t>
      </w:r>
      <w:r>
        <w:rPr>
          <w:rFonts w:hint="eastAsia" w:ascii="仿宋_GB2312" w:hAnsi="仿宋_GB2312" w:eastAsia="仿宋_GB2312" w:cs="仿宋_GB2312"/>
          <w:sz w:val="32"/>
          <w:szCs w:val="32"/>
        </w:rPr>
        <w:t>万元，其中：财政拨款收入1</w:t>
      </w:r>
      <w:r>
        <w:rPr>
          <w:rFonts w:ascii="仿宋_GB2312" w:hAnsi="仿宋_GB2312" w:eastAsia="仿宋_GB2312" w:cs="仿宋_GB2312"/>
          <w:sz w:val="32"/>
          <w:szCs w:val="32"/>
        </w:rPr>
        <w:t>543.40</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%；事业收入0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万元，其中：基本支出5</w:t>
      </w:r>
      <w:r>
        <w:rPr>
          <w:rFonts w:ascii="仿宋_GB2312" w:hAnsi="仿宋_GB2312" w:eastAsia="仿宋_GB2312" w:cs="仿宋_GB2312"/>
          <w:sz w:val="32"/>
          <w:szCs w:val="32"/>
        </w:rPr>
        <w:t>92.44</w:t>
      </w:r>
      <w:r>
        <w:rPr>
          <w:rFonts w:hint="eastAsia" w:ascii="仿宋_GB2312" w:hAnsi="仿宋_GB2312" w:eastAsia="仿宋_GB2312" w:cs="仿宋_GB2312"/>
          <w:sz w:val="32"/>
          <w:szCs w:val="32"/>
        </w:rPr>
        <w:t>万元，占3</w:t>
      </w:r>
      <w:r>
        <w:rPr>
          <w:rFonts w:ascii="仿宋_GB2312" w:hAnsi="仿宋_GB2312" w:eastAsia="仿宋_GB2312" w:cs="仿宋_GB2312"/>
          <w:sz w:val="32"/>
          <w:szCs w:val="32"/>
        </w:rPr>
        <w:t>5.91</w:t>
      </w:r>
      <w:r>
        <w:rPr>
          <w:rFonts w:hint="eastAsia" w:ascii="仿宋_GB2312" w:hAnsi="仿宋_GB2312" w:eastAsia="仿宋_GB2312" w:cs="仿宋_GB2312"/>
          <w:sz w:val="32"/>
          <w:szCs w:val="32"/>
        </w:rPr>
        <w:t>%；项目支出1</w:t>
      </w:r>
      <w:r>
        <w:rPr>
          <w:rFonts w:ascii="仿宋_GB2312" w:hAnsi="仿宋_GB2312" w:eastAsia="仿宋_GB2312" w:cs="仿宋_GB2312"/>
          <w:sz w:val="32"/>
          <w:szCs w:val="32"/>
        </w:rPr>
        <w:t>057.28</w:t>
      </w:r>
      <w:r>
        <w:rPr>
          <w:rFonts w:hint="eastAsia" w:ascii="仿宋_GB2312" w:hAnsi="仿宋_GB2312" w:eastAsia="仿宋_GB2312" w:cs="仿宋_GB2312"/>
          <w:sz w:val="32"/>
          <w:szCs w:val="32"/>
        </w:rPr>
        <w:t>万元，占6</w:t>
      </w:r>
      <w:r>
        <w:rPr>
          <w:rFonts w:ascii="仿宋_GB2312" w:hAnsi="仿宋_GB2312" w:eastAsia="仿宋_GB2312" w:cs="仿宋_GB2312"/>
          <w:sz w:val="32"/>
          <w:szCs w:val="32"/>
        </w:rPr>
        <w:t>4.09</w:t>
      </w:r>
      <w:r>
        <w:rPr>
          <w:rFonts w:hint="eastAsia" w:ascii="仿宋_GB2312" w:hAnsi="仿宋_GB2312" w:eastAsia="仿宋_GB2312" w:cs="仿宋_GB2312"/>
          <w:sz w:val="32"/>
          <w:szCs w:val="32"/>
        </w:rPr>
        <w:t>%；上缴上级支出0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万元。与上年度相比，财政拨款收、支总计各减少5</w:t>
      </w:r>
      <w:r>
        <w:rPr>
          <w:rFonts w:ascii="仿宋_GB2312" w:hAnsi="仿宋_GB2312" w:eastAsia="仿宋_GB2312" w:cs="仿宋_GB2312"/>
          <w:sz w:val="32"/>
          <w:szCs w:val="32"/>
        </w:rPr>
        <w:t>34.03</w:t>
      </w:r>
      <w:r>
        <w:rPr>
          <w:rFonts w:hint="eastAsia" w:ascii="仿宋_GB2312" w:hAnsi="仿宋_GB2312" w:eastAsia="仿宋_GB2312" w:cs="仿宋_GB2312"/>
          <w:sz w:val="32"/>
          <w:szCs w:val="32"/>
        </w:rPr>
        <w:t>万元，下降2</w:t>
      </w:r>
      <w:r>
        <w:rPr>
          <w:rFonts w:ascii="仿宋_GB2312" w:hAnsi="仿宋_GB2312" w:eastAsia="仿宋_GB2312" w:cs="仿宋_GB2312"/>
          <w:sz w:val="32"/>
          <w:szCs w:val="32"/>
        </w:rPr>
        <w:t>4.45</w:t>
      </w:r>
      <w:r>
        <w:rPr>
          <w:rFonts w:hint="eastAsia" w:ascii="仿宋_GB2312" w:hAnsi="仿宋_GB2312" w:eastAsia="仿宋_GB2312" w:cs="仿宋_GB2312"/>
          <w:sz w:val="32"/>
          <w:szCs w:val="32"/>
        </w:rPr>
        <w:t>%。主要原因是项目支出整体比去年减少。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楷体_GB2312" w:hAnsi="楷体_GB2312" w:eastAsia="楷体_GB2312" w:cs="楷体_GB2312"/>
          <w:b/>
          <w:bCs/>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万元，占支出合计的1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%。与上年度相比，一般公共预算财政拨款支出减少4</w:t>
      </w:r>
      <w:r>
        <w:rPr>
          <w:rFonts w:ascii="仿宋_GB2312" w:hAnsi="仿宋_GB2312" w:eastAsia="仿宋_GB2312" w:cs="仿宋_GB2312"/>
          <w:sz w:val="32"/>
          <w:szCs w:val="32"/>
        </w:rPr>
        <w:t>15.92</w:t>
      </w:r>
      <w:r>
        <w:rPr>
          <w:rFonts w:hint="eastAsia" w:ascii="仿宋_GB2312" w:hAnsi="仿宋_GB2312" w:eastAsia="仿宋_GB2312" w:cs="仿宋_GB2312"/>
          <w:sz w:val="32"/>
          <w:szCs w:val="32"/>
        </w:rPr>
        <w:t>万元，下降2</w:t>
      </w:r>
      <w:r>
        <w:rPr>
          <w:rFonts w:ascii="仿宋_GB2312" w:hAnsi="仿宋_GB2312" w:eastAsia="仿宋_GB2312" w:cs="仿宋_GB2312"/>
          <w:sz w:val="32"/>
          <w:szCs w:val="32"/>
        </w:rPr>
        <w:t>0.14</w:t>
      </w:r>
      <w:r>
        <w:rPr>
          <w:rFonts w:hint="eastAsia" w:ascii="仿宋_GB2312" w:hAnsi="仿宋_GB2312" w:eastAsia="仿宋_GB2312" w:cs="仿宋_GB2312"/>
          <w:sz w:val="32"/>
          <w:szCs w:val="32"/>
        </w:rPr>
        <w:t>%。主要原因是项目支出整体比去年减少。</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万元，主要用于以下方面：一般公共服务（类）支出2</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%；社会保障和就业（类）支出</w:t>
      </w:r>
      <w:r>
        <w:rPr>
          <w:rFonts w:ascii="仿宋_GB2312" w:hAnsi="仿宋_GB2312" w:eastAsia="仿宋_GB2312" w:cs="仿宋_GB2312"/>
          <w:sz w:val="32"/>
          <w:szCs w:val="32"/>
        </w:rPr>
        <w:t>33.14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2.01</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13.08</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.79</w:t>
      </w:r>
      <w:r>
        <w:rPr>
          <w:rFonts w:hint="eastAsia" w:ascii="仿宋_GB2312" w:hAnsi="仿宋_GB2312" w:eastAsia="仿宋_GB2312" w:cs="仿宋_GB2312"/>
          <w:sz w:val="32"/>
          <w:szCs w:val="32"/>
        </w:rPr>
        <w:t>%；城乡社区（类）支出</w:t>
      </w:r>
      <w:r>
        <w:rPr>
          <w:rFonts w:ascii="仿宋_GB2312" w:hAnsi="仿宋_GB2312" w:eastAsia="仿宋_GB2312" w:cs="仿宋_GB2312"/>
          <w:sz w:val="32"/>
          <w:szCs w:val="32"/>
        </w:rPr>
        <w:t>1601.43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97.07</w:t>
      </w:r>
      <w:r>
        <w:rPr>
          <w:rFonts w:hint="eastAsia" w:ascii="仿宋_GB2312" w:hAnsi="仿宋_GB2312" w:eastAsia="仿宋_GB2312" w:cs="仿宋_GB2312"/>
          <w:sz w:val="32"/>
          <w:szCs w:val="32"/>
        </w:rPr>
        <w:t>%。</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年度一般公共预算财政拨款支出年初预算为5</w:t>
      </w:r>
      <w:r>
        <w:rPr>
          <w:rFonts w:ascii="仿宋_GB2312" w:hAnsi="仿宋_GB2312" w:eastAsia="仿宋_GB2312" w:cs="仿宋_GB2312"/>
          <w:sz w:val="32"/>
          <w:szCs w:val="32"/>
        </w:rPr>
        <w:t>20.90</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649.72</w:t>
      </w:r>
      <w:r>
        <w:rPr>
          <w:rFonts w:hint="eastAsia" w:ascii="仿宋_GB2312" w:hAnsi="仿宋_GB2312" w:eastAsia="仿宋_GB2312" w:cs="仿宋_GB2312"/>
          <w:sz w:val="32"/>
          <w:szCs w:val="32"/>
        </w:rPr>
        <w:t>万元，完成年初预算的3</w:t>
      </w:r>
      <w:r>
        <w:rPr>
          <w:rFonts w:ascii="仿宋_GB2312" w:hAnsi="仿宋_GB2312" w:eastAsia="仿宋_GB2312" w:cs="仿宋_GB2312"/>
          <w:sz w:val="32"/>
          <w:szCs w:val="32"/>
        </w:rPr>
        <w:t>16.71</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年初预算为2</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万元，支出决算为2</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2．社会保障和就业（类）行政事业单位养老支出（款）事业单位离退休（项）。</w:t>
      </w:r>
      <w:r>
        <w:rPr>
          <w:rFonts w:hint="eastAsia" w:ascii="仿宋_GB2312" w:hAnsi="仿宋_GB2312" w:eastAsia="仿宋_GB2312" w:cs="仿宋_GB2312"/>
          <w:sz w:val="32"/>
          <w:szCs w:val="32"/>
        </w:rPr>
        <w:t>年初预算为3</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万元，支出决算为3</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万元，完成年初预算的9</w:t>
      </w:r>
      <w:r>
        <w:rPr>
          <w:rFonts w:ascii="仿宋_GB2312" w:hAnsi="仿宋_GB2312" w:eastAsia="仿宋_GB2312" w:cs="仿宋_GB2312"/>
          <w:sz w:val="32"/>
          <w:szCs w:val="32"/>
        </w:rPr>
        <w:t>2.51</w:t>
      </w:r>
      <w:r>
        <w:rPr>
          <w:rFonts w:hint="eastAsia" w:ascii="仿宋_GB2312" w:hAnsi="仿宋_GB2312" w:eastAsia="仿宋_GB2312" w:cs="仿宋_GB2312"/>
          <w:sz w:val="32"/>
          <w:szCs w:val="32"/>
        </w:rPr>
        <w:t>%。决算数与年初预算数存在差异的主要原因是退休人员补贴等四舍五入略有差异。</w:t>
      </w:r>
    </w:p>
    <w:p>
      <w:pPr>
        <w:widowControl/>
        <w:spacing w:line="590" w:lineRule="exact"/>
        <w:ind w:firstLine="642"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3．社会保障和就业（类）行政事业单位养老支出（款）机关事业单位基本养老保险缴费支出（项）。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26.35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29.68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112.64</w:t>
      </w:r>
      <w:r>
        <w:rPr>
          <w:rFonts w:hint="eastAsia" w:ascii="仿宋_GB2312" w:hAnsi="仿宋_GB2312" w:eastAsia="仿宋_GB2312" w:cs="仿宋_GB2312"/>
          <w:sz w:val="32"/>
          <w:szCs w:val="32"/>
        </w:rPr>
        <w:t>%。决算数与年初预算数存在差异的主要原因是在职人员增加，养老基数调整，缴费增加。</w:t>
      </w:r>
    </w:p>
    <w:p>
      <w:pPr>
        <w:widowControl/>
        <w:spacing w:line="590" w:lineRule="exact"/>
        <w:ind w:firstLine="642"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4．卫生健康（类）行政事业单位医疗（款）事业单位医疗（项）。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12.68</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13.08</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103.15</w:t>
      </w:r>
      <w:r>
        <w:rPr>
          <w:rFonts w:hint="eastAsia" w:ascii="仿宋_GB2312" w:hAnsi="仿宋_GB2312" w:eastAsia="仿宋_GB2312" w:cs="仿宋_GB2312"/>
          <w:sz w:val="32"/>
          <w:szCs w:val="32"/>
        </w:rPr>
        <w:t>%。决算数与年初预算数存在差异的主要原因是在职人员增加，医保基数调整，缴费增加。</w:t>
      </w:r>
    </w:p>
    <w:p>
      <w:pPr>
        <w:widowControl/>
        <w:spacing w:line="590" w:lineRule="exact"/>
        <w:ind w:firstLine="642"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城乡社区（类）城乡社区管理事务（款）城管执法（项）。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417.16</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1601.43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383.89</w:t>
      </w:r>
      <w:r>
        <w:rPr>
          <w:rFonts w:hint="eastAsia" w:ascii="仿宋_GB2312" w:hAnsi="仿宋_GB2312" w:eastAsia="仿宋_GB2312" w:cs="仿宋_GB2312"/>
          <w:sz w:val="32"/>
          <w:szCs w:val="32"/>
        </w:rPr>
        <w:t>%。决算数与年初预算数存在差异的主要原因是项目经费未列入年初预算。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年度一般公共预算财政拨款基本支出5</w:t>
      </w:r>
      <w:r>
        <w:rPr>
          <w:rFonts w:ascii="仿宋_GB2312" w:hAnsi="仿宋_GB2312" w:eastAsia="仿宋_GB2312" w:cs="仿宋_GB2312"/>
          <w:sz w:val="32"/>
          <w:szCs w:val="32"/>
        </w:rPr>
        <w:t>92.44</w:t>
      </w:r>
      <w:r>
        <w:rPr>
          <w:rFonts w:hint="eastAsia" w:ascii="仿宋_GB2312" w:hAnsi="仿宋_GB2312" w:eastAsia="仿宋_GB2312" w:cs="仿宋_GB2312"/>
          <w:sz w:val="32"/>
          <w:szCs w:val="32"/>
        </w:rPr>
        <w:t>万元。其中：人员经费4</w:t>
      </w:r>
      <w:r>
        <w:rPr>
          <w:rFonts w:ascii="仿宋_GB2312" w:hAnsi="仿宋_GB2312" w:eastAsia="仿宋_GB2312" w:cs="仿宋_GB2312"/>
          <w:sz w:val="32"/>
          <w:szCs w:val="32"/>
        </w:rPr>
        <w:t>85.50</w:t>
      </w:r>
      <w:r>
        <w:rPr>
          <w:rFonts w:hint="eastAsia" w:ascii="仿宋_GB2312" w:hAnsi="仿宋_GB2312" w:eastAsia="仿宋_GB2312" w:cs="仿宋_GB2312"/>
          <w:sz w:val="32"/>
          <w:szCs w:val="32"/>
        </w:rPr>
        <w:t>万元，主要包括：基本工资、津贴补贴、奖金、绩效工资、机关事业单位基本养老保险缴费、职工基本医疗缴费缴费、其他社会保障缴费、退休费、生活补助、住房公积金；公用经费1</w:t>
      </w:r>
      <w:r>
        <w:rPr>
          <w:rFonts w:ascii="仿宋_GB2312" w:hAnsi="仿宋_GB2312" w:eastAsia="仿宋_GB2312" w:cs="仿宋_GB2312"/>
          <w:sz w:val="32"/>
          <w:szCs w:val="32"/>
        </w:rPr>
        <w:t>06.94</w:t>
      </w:r>
      <w:r>
        <w:rPr>
          <w:rFonts w:hint="eastAsia" w:ascii="仿宋_GB2312" w:hAnsi="仿宋_GB2312" w:eastAsia="仿宋_GB2312" w:cs="仿宋_GB2312"/>
          <w:sz w:val="32"/>
          <w:szCs w:val="32"/>
        </w:rPr>
        <w:t>万元，主要包括：办公费、邮电费、物业管理费、差旅费、维修（护）费、租赁费、公务接待费、委托业务费、工会经费、福利费、公务用车运行维护费、其他交通费用、其他商品和服务支出、办公设备购置。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年度“三公”经费财政拨款支出预算为7</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万元，支出决算为7</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万元，完成预算的9</w:t>
      </w:r>
      <w:r>
        <w:rPr>
          <w:rFonts w:ascii="仿宋_GB2312" w:hAnsi="仿宋_GB2312" w:eastAsia="仿宋_GB2312" w:cs="仿宋_GB2312"/>
          <w:sz w:val="32"/>
          <w:szCs w:val="32"/>
        </w:rPr>
        <w:t>3.78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年度“三公”经费支出决算数与预算数存在差异的主要原因是厉行节约，严格控制三公经费支出。</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万元；公务用车购置及运行费支出决算7</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万元，完成预算的1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%，占9</w:t>
      </w:r>
      <w:r>
        <w:rPr>
          <w:rFonts w:ascii="仿宋_GB2312" w:hAnsi="仿宋_GB2312" w:eastAsia="仿宋_GB2312" w:cs="仿宋_GB2312"/>
          <w:sz w:val="32"/>
          <w:szCs w:val="32"/>
        </w:rPr>
        <w:t>6.42</w:t>
      </w:r>
      <w:r>
        <w:rPr>
          <w:rFonts w:hint="eastAsia" w:ascii="仿宋_GB2312" w:hAnsi="仿宋_GB2312" w:eastAsia="仿宋_GB2312" w:cs="仿宋_GB2312"/>
          <w:sz w:val="32"/>
          <w:szCs w:val="32"/>
        </w:rPr>
        <w:t>%；公务接待费支出决算0</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35.14</w:t>
      </w:r>
      <w:r>
        <w:rPr>
          <w:rFonts w:hint="eastAsia" w:ascii="仿宋_GB2312" w:hAnsi="仿宋_GB2312" w:eastAsia="仿宋_GB2312" w:cs="仿宋_GB2312"/>
          <w:sz w:val="32"/>
          <w:szCs w:val="32"/>
        </w:rPr>
        <w:t>%，占3</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预算为7</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万元，支出决算为7</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万元，完成预算的1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万元。主要用于公务用车燃油费、维修保养费、过路费、保险费等支出。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年期末，单位开支财政拨款的公务用车保有量为7辆。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万元，完成预算的3</w:t>
      </w:r>
      <w:r>
        <w:rPr>
          <w:rFonts w:ascii="仿宋_GB2312" w:hAnsi="仿宋_GB2312" w:eastAsia="仿宋_GB2312" w:cs="仿宋_GB2312"/>
          <w:sz w:val="32"/>
          <w:szCs w:val="32"/>
        </w:rPr>
        <w:t>5.14</w:t>
      </w:r>
      <w:r>
        <w:rPr>
          <w:rFonts w:hint="eastAsia" w:ascii="仿宋_GB2312" w:hAnsi="仿宋_GB2312" w:eastAsia="仿宋_GB2312" w:cs="仿宋_GB2312"/>
          <w:sz w:val="32"/>
          <w:szCs w:val="32"/>
        </w:rPr>
        <w:t>%。决算数与预算数存在差异的主要原因是厉行节约，减少不必要的公务活动。其中：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万元。主要用于外地市城市管理部门学习、考察等。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年共接待国内来访团组4个、来宾2</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万元。不存在项目年末结转和结余资金数额较大，情况说明：</w:t>
      </w:r>
      <w:r>
        <w:rPr>
          <w:rFonts w:ascii="仿宋_GB2312" w:hAnsi="仿宋_GB2312" w:eastAsia="仿宋_GB2312" w:cs="仿宋_GB2312"/>
          <w:sz w:val="32"/>
          <w:szCs w:val="32"/>
        </w:rPr>
        <w:t>我</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年度政府采购支出总额7</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万元，其中：政府采购货物支出0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万元、政府采购服务支出7</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万元。授予中小企业合同金额7</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万元，占政府采购支出总额的1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%，其中：授予小微企业合同金额7</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万元，占政府采购支出总额的1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7辆，其中：省级领导干部用车0辆、主要领导干部用车0辆、机要通信用车1辆、应急保障车0辆、执法执勤用车0辆、特种专业技术用车6辆、离退休干部用车0辆、其他用车0辆；单位价值50万元以上通用设备7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许昌市人民政府关于全面实施预算绩效管理的实施意见》（许发〔2021〕13号）文件要求，对本单位整体支出和项目支出开展全过程预算绩效管理。为进一步加强</w:t>
      </w:r>
      <w:r>
        <w:rPr>
          <w:rFonts w:hint="eastAsia" w:ascii="仿宋_GB2312" w:hAnsi="仿宋_GB2312" w:eastAsia="仿宋_GB2312" w:cs="仿宋_GB2312"/>
          <w:sz w:val="32"/>
          <w:szCs w:val="32"/>
          <w:lang w:eastAsia="zh-CN"/>
        </w:rPr>
        <w:t>单位</w:t>
      </w:r>
      <w:bookmarkStart w:id="0" w:name="_GoBack"/>
      <w:bookmarkEnd w:id="0"/>
      <w:r>
        <w:rPr>
          <w:rFonts w:hint="eastAsia" w:ascii="仿宋_GB2312" w:hAnsi="仿宋_GB2312" w:eastAsia="仿宋_GB2312" w:cs="仿宋_GB2312"/>
          <w:sz w:val="32"/>
          <w:szCs w:val="32"/>
        </w:rPr>
        <w:t>责任意识，强化预算支出绩效理念，规范资金管理，提高资金使用绩效，我中心安排专人做好项目经费绩效评价工作，召集相关业务科室人员认真学习文件及项目支出绩效目标样表，结合以往工作经验，认真开展自评，确保工作能够保质保量完成。强化事前准备，提升评价质量。在推进自身评价工作开展时，结合评价工作实际和项目实施过程中规范化、严格化实际，有效推进，确保绩效评价结果公正、客观、精准，真实反映绩效，如实反映问题，切实提高评价质量。</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w:t>
      </w:r>
      <w:r>
        <w:rPr>
          <w:rFonts w:ascii="仿宋_GB2312" w:hAnsi="仿宋_GB2312" w:eastAsia="仿宋_GB2312" w:cs="仿宋_GB2312"/>
          <w:sz w:val="32"/>
          <w:szCs w:val="32"/>
        </w:rPr>
        <w:t>我</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认真做好年度财政资金的预算编制与预算绩效目标编制工作，做到应编尽编。在资金使用和管理方面，进一步强化支出管理，明确开支范围，细化资金用途，做到“预算编制有目标、预算执行有监控”</w:t>
      </w:r>
      <w:r>
        <w:rPr>
          <w:rFonts w:hint="eastAsia" w:ascii="仿宋_GB2312" w:hAnsi="仿宋_GB2312" w:eastAsia="仿宋_GB2312" w:cs="仿宋_GB2312"/>
          <w:sz w:val="32"/>
          <w:szCs w:val="32"/>
        </w:rPr>
        <w:t>。持续增强指挥调度能力，深化智慧城管应用，提升为民服务水平，年初设定的各项工作目标完成情况较好。二是项目绩效自评情况，项目预算执行、产出指标、经济指标、服务对象满意度等方面均达到了预期的绩效目标，保证了数字城管系统正常运行，保障了信息采集工作和指挥派遣工作的顺利开展，提高了系统运行效率，绩效目标均完成良好。我单位共有3个项目批复了绩效目标，项目金额1</w:t>
      </w:r>
      <w:r>
        <w:rPr>
          <w:rFonts w:ascii="仿宋_GB2312" w:hAnsi="仿宋_GB2312" w:eastAsia="仿宋_GB2312" w:cs="仿宋_GB2312"/>
          <w:sz w:val="32"/>
          <w:szCs w:val="32"/>
        </w:rPr>
        <w:t>057.28</w:t>
      </w:r>
      <w:r>
        <w:rPr>
          <w:rFonts w:hint="eastAsia" w:ascii="仿宋_GB2312" w:hAnsi="仿宋_GB2312" w:eastAsia="仿宋_GB2312" w:cs="仿宋_GB2312"/>
          <w:sz w:val="32"/>
          <w:szCs w:val="32"/>
        </w:rPr>
        <w:t>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w:t>
      </w:r>
      <w:r>
        <w:rPr>
          <w:rFonts w:ascii="仿宋_GB2312" w:hAnsi="仿宋_GB2312" w:eastAsia="仿宋_GB2312" w:cs="仿宋_GB2312"/>
          <w:sz w:val="32"/>
          <w:szCs w:val="32"/>
        </w:rPr>
        <w:t>9.30</w:t>
      </w:r>
      <w:r>
        <w:rPr>
          <w:rFonts w:hint="eastAsia" w:ascii="仿宋_GB2312" w:hAnsi="仿宋_GB2312" w:eastAsia="仿宋_GB2312" w:cs="仿宋_GB2312"/>
          <w:sz w:val="32"/>
          <w:szCs w:val="32"/>
        </w:rPr>
        <w:t>分。其中：3个项目评价等级为“优”、0个项目评价等级为“良”、0个项目评价等级为“中”、0个项目评价等级为“差”。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2049" o:spt="1" style="position:absolute;left:0pt;margin-top:0pt;height:10.35pt;width:19.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2050" o:spt="1" style="position:absolute;left:0pt;margin-top:0pt;height:12.05pt;width:9.05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2051" o:spt="1" style="position:absolute;left:0pt;margin-top:0pt;height:10.35pt;width:15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F07D66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28"/>
      <w:szCs w:val="20"/>
    </w:rPr>
  </w:style>
  <w:style w:type="paragraph" w:styleId="3">
    <w:name w:val="Balloon Text"/>
    <w:basedOn w:val="1"/>
    <w:link w:val="16"/>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qFormat/>
    <w:uiPriority w:val="99"/>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页脚 字符"/>
    <w:link w:val="4"/>
    <w:qFormat/>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11"/>
    <w:qFormat/>
    <w:uiPriority w:val="0"/>
    <w:rPr>
      <w:rFonts w:hint="eastAsia" w:ascii="宋体" w:hAnsi="宋体" w:eastAsia="宋体" w:cs="宋体"/>
      <w:color w:val="000000"/>
      <w:sz w:val="20"/>
      <w:szCs w:val="20"/>
      <w:u w:val="none"/>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批注框文本 字符"/>
    <w:link w:val="3"/>
    <w:qFormat/>
    <w:uiPriority w:val="99"/>
    <w:rPr>
      <w:kern w:val="2"/>
      <w:sz w:val="18"/>
      <w:szCs w:val="18"/>
    </w:rPr>
  </w:style>
  <w:style w:type="character" w:customStyle="1" w:styleId="17">
    <w:name w:val="页眉 字符"/>
    <w:link w:val="5"/>
    <w:qFormat/>
    <w:uiPriority w:val="99"/>
    <w:rPr>
      <w:kern w:val="2"/>
      <w:sz w:val="18"/>
      <w:szCs w:val="18"/>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32</Pages>
  <Words>1739</Words>
  <Characters>9918</Characters>
  <Lines>82</Lines>
  <Paragraphs>23</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2023-05-09T23:45:00Z</dcterms:created>
  <dc:creator>管理者</dc:creator>
  <cp:lastModifiedBy>huanghe</cp:lastModifiedBy>
  <cp:lastPrinted>2018-07-26T02:50:00Z</cp:lastPrinted>
  <dcterms:modified xsi:type="dcterms:W3CDTF">2023-05-17T10:01:25Z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087CEB43325643AB982E6446A1A037FB</vt:lpwstr>
  </property>
</Properties>
</file>