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eastAsia="zh-CN"/>
        </w:rPr>
        <w:t>许昌市政府投资项目代建制工作中心</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eastAsia="zh-CN"/>
        </w:rPr>
        <w:t>许昌市政府投资项目代建制工作中心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default" w:ascii="宋体" w:hAnsi="宋体" w:cs="宋体"/>
          <w:sz w:val="32"/>
          <w:szCs w:val="32"/>
          <w:highlight w:val="none"/>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许昌市政府投资项目代建制工作中心</w:t>
      </w:r>
      <w:r>
        <w:rPr>
          <w:rFonts w:hint="eastAsia" w:ascii="黑体" w:hAnsi="黑体" w:eastAsia="黑体" w:cs="黑体"/>
          <w:sz w:val="48"/>
          <w:szCs w:val="48"/>
          <w:highlight w:val="none"/>
        </w:rPr>
        <w:t>概况</w:t>
      </w:r>
    </w:p>
    <w:p>
      <w:pPr>
        <w:widowControl/>
        <w:ind w:firstLine="640" w:firstLineChars="200"/>
        <w:jc w:val="center"/>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b/>
          <w:bCs/>
          <w:sz w:val="32"/>
          <w:szCs w:val="32"/>
        </w:rPr>
      </w:pPr>
      <w:r>
        <w:rPr>
          <w:rFonts w:hint="eastAsia" w:ascii="黑体" w:hAnsi="黑体" w:eastAsia="黑体" w:cs="黑体"/>
          <w:kern w:val="0"/>
          <w:sz w:val="32"/>
          <w:szCs w:val="32"/>
          <w:highlight w:val="none"/>
        </w:rPr>
        <w:t>一、</w:t>
      </w:r>
      <w:r>
        <w:rPr>
          <w:rFonts w:hint="default" w:ascii="黑体" w:hAnsi="黑体" w:eastAsia="黑体" w:cs="黑体"/>
          <w:kern w:val="0"/>
          <w:sz w:val="32"/>
          <w:szCs w:val="32"/>
          <w:highlight w:val="none"/>
        </w:rPr>
        <w:t>单位</w:t>
      </w:r>
      <w:r>
        <w:rPr>
          <w:rFonts w:hint="eastAsia" w:ascii="黑体" w:hAnsi="黑体" w:eastAsia="黑体" w:cs="黑体"/>
          <w:bCs/>
          <w:sz w:val="32"/>
          <w:szCs w:val="32"/>
          <w:highlight w:val="none"/>
        </w:rPr>
        <w:t>职责</w:t>
      </w:r>
    </w:p>
    <w:p>
      <w:pPr>
        <w:adjustRightInd w:val="0"/>
        <w:snapToGrid w:val="0"/>
        <w:spacing w:line="620" w:lineRule="exact"/>
        <w:rPr>
          <w:rFonts w:hint="eastAsia" w:ascii="仿宋_GB2312" w:hAnsi="仿宋_GB2312" w:eastAsia="仿宋_GB2312" w:cs="仿宋_GB2312"/>
          <w:b w:val="0"/>
          <w:bCs w:val="0"/>
          <w:sz w:val="32"/>
          <w:szCs w:val="32"/>
          <w:lang w:eastAsia="zh-CN"/>
        </w:rPr>
      </w:pPr>
      <w:r>
        <w:rPr>
          <w:rFonts w:hint="eastAsia" w:ascii="黑体" w:hAnsi="黑体" w:eastAsia="黑体" w:cs="黑体"/>
          <w:b/>
          <w:bCs/>
          <w:sz w:val="32"/>
          <w:szCs w:val="32"/>
        </w:rPr>
        <w:t xml:space="preserve">   </w:t>
      </w:r>
      <w:r>
        <w:rPr>
          <w:rFonts w:hint="eastAsia" w:ascii="黑体" w:hAnsi="黑体" w:eastAsia="黑体" w:cs="黑体"/>
          <w:b w:val="0"/>
          <w:bCs w:val="0"/>
          <w:sz w:val="32"/>
          <w:szCs w:val="32"/>
          <w:lang w:val="en-US" w:eastAsia="zh-CN"/>
        </w:rPr>
        <w:t xml:space="preserve"> </w:t>
      </w:r>
      <w:r>
        <w:rPr>
          <w:rFonts w:hint="eastAsia" w:ascii="楷体_GB2312" w:hAnsi="楷体_GB2312" w:eastAsia="楷体_GB2312" w:cs="楷体_GB2312"/>
          <w:b w:val="0"/>
          <w:bCs w:val="0"/>
          <w:sz w:val="32"/>
          <w:szCs w:val="32"/>
        </w:rPr>
        <w:t>（一）</w:t>
      </w:r>
      <w:r>
        <w:rPr>
          <w:rFonts w:hint="eastAsia" w:ascii="仿宋_GB2312" w:hAnsi="仿宋_GB2312" w:eastAsia="仿宋_GB2312" w:cs="仿宋_GB2312"/>
          <w:b w:val="0"/>
          <w:bCs w:val="0"/>
          <w:sz w:val="32"/>
          <w:szCs w:val="32"/>
          <w:lang w:eastAsia="zh-CN"/>
        </w:rPr>
        <w:t>为市政府投资项目监管提供协调服务。</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楷体_GB2312" w:hAnsi="楷体_GB2312" w:eastAsia="楷体_GB2312" w:cs="楷体_GB2312"/>
          <w:b w:val="0"/>
          <w:bCs w:val="0"/>
          <w:sz w:val="32"/>
          <w:szCs w:val="32"/>
        </w:rPr>
        <w:t>（二）</w:t>
      </w:r>
      <w:r>
        <w:rPr>
          <w:rFonts w:hint="eastAsia" w:ascii="仿宋_GB2312" w:hAnsi="仿宋_GB2312" w:eastAsia="仿宋_GB2312" w:cs="仿宋_GB2312"/>
          <w:b w:val="0"/>
          <w:bCs w:val="0"/>
          <w:sz w:val="32"/>
          <w:szCs w:val="32"/>
          <w:lang w:eastAsia="zh-CN"/>
        </w:rPr>
        <w:t>政府投资项目监督管理保障</w:t>
      </w:r>
      <w:r>
        <w:rPr>
          <w:rFonts w:hint="eastAsia" w:ascii="仿宋_GB2312" w:hAnsi="仿宋_GB2312" w:eastAsia="仿宋_GB2312" w:cs="仿宋_GB2312"/>
          <w:b w:val="0"/>
          <w:bCs w:val="0"/>
          <w:sz w:val="32"/>
          <w:szCs w:val="32"/>
          <w:lang w:val="en-US" w:eastAsia="zh-CN"/>
        </w:rPr>
        <w:t xml:space="preserve"> 政</w:t>
      </w:r>
      <w:r>
        <w:rPr>
          <w:rFonts w:hint="eastAsia" w:ascii="仿宋_GB2312" w:hAnsi="仿宋_GB2312" w:eastAsia="仿宋_GB2312" w:cs="仿宋_GB2312"/>
          <w:sz w:val="32"/>
          <w:szCs w:val="32"/>
          <w:lang w:val="en-US" w:eastAsia="zh-CN"/>
        </w:rPr>
        <w:t>府委托</w:t>
      </w:r>
      <w:r>
        <w:rPr>
          <w:rFonts w:hint="eastAsia" w:ascii="仿宋_GB2312" w:hAnsi="仿宋_GB2312" w:eastAsia="仿宋_GB2312" w:cs="仿宋_GB2312"/>
          <w:sz w:val="32"/>
          <w:szCs w:val="32"/>
          <w:lang w:eastAsia="zh-CN"/>
        </w:rPr>
        <w:t>投资项目监督检查</w:t>
      </w:r>
      <w:r>
        <w:rPr>
          <w:rFonts w:hint="eastAsia" w:ascii="仿宋_GB2312" w:hAnsi="仿宋_GB2312" w:eastAsia="仿宋_GB2312" w:cs="仿宋_GB2312"/>
          <w:sz w:val="32"/>
          <w:szCs w:val="32"/>
          <w:lang w:val="en-US" w:eastAsia="zh-CN"/>
        </w:rPr>
        <w:t xml:space="preserve">  全市政府投资项目代建制组织实施。</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许昌市政府投资项目代建制</w:t>
      </w:r>
      <w:r>
        <w:rPr>
          <w:rFonts w:hint="eastAsia" w:ascii="仿宋_GB2312" w:hAnsi="仿宋" w:eastAsia="仿宋_GB2312"/>
          <w:sz w:val="32"/>
          <w:szCs w:val="32"/>
          <w:lang w:val="en-US" w:eastAsia="zh-CN"/>
        </w:rPr>
        <w:t>工作中心</w:t>
      </w:r>
      <w:r>
        <w:rPr>
          <w:rFonts w:hint="eastAsia" w:ascii="仿宋_GB2312" w:hAnsi="仿宋_GB2312" w:eastAsia="仿宋_GB2312" w:cs="仿宋_GB2312"/>
          <w:color w:val="auto"/>
          <w:sz w:val="32"/>
          <w:szCs w:val="32"/>
          <w:highlight w:val="none"/>
          <w:lang w:val="en-US" w:eastAsia="zh-CN"/>
        </w:rPr>
        <w:t>内设机构</w:t>
      </w: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个，包括：</w:t>
      </w:r>
      <w:r>
        <w:rPr>
          <w:rFonts w:hint="eastAsia" w:ascii="仿宋_GB2312" w:hAnsi="仿宋_GB2312" w:eastAsia="仿宋_GB2312" w:cs="仿宋_GB2312"/>
          <w:sz w:val="32"/>
          <w:szCs w:val="32"/>
          <w:lang w:eastAsia="zh-CN"/>
        </w:rPr>
        <w:t>工程科、管理科、综合科。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sz w:val="32"/>
          <w:szCs w:val="32"/>
          <w:lang w:eastAsia="zh-CN"/>
        </w:rPr>
        <w:t>许昌市政府投资项目代建制</w:t>
      </w:r>
      <w:r>
        <w:rPr>
          <w:rFonts w:hint="eastAsia" w:ascii="仿宋_GB2312" w:hAnsi="仿宋" w:eastAsia="仿宋_GB2312"/>
          <w:sz w:val="32"/>
          <w:szCs w:val="32"/>
          <w:lang w:val="en-US" w:eastAsia="zh-CN"/>
        </w:rPr>
        <w:t>工作中心</w:t>
      </w:r>
      <w:r>
        <w:rPr>
          <w:rFonts w:hint="default" w:ascii="仿宋_GB2312" w:hAnsi="仿宋" w:eastAsia="仿宋_GB2312"/>
          <w:sz w:val="32"/>
          <w:szCs w:val="32"/>
          <w:lang w:eastAsia="zh-CN"/>
        </w:rPr>
        <w:t>单位</w:t>
      </w:r>
      <w:r>
        <w:rPr>
          <w:rFonts w:hint="eastAsia" w:ascii="仿宋_GB2312" w:hAnsi="仿宋_GB2312" w:eastAsia="仿宋_GB2312" w:cs="仿宋_GB2312"/>
          <w:color w:val="auto"/>
          <w:kern w:val="0"/>
          <w:sz w:val="32"/>
          <w:szCs w:val="32"/>
          <w:highlight w:val="none"/>
          <w:lang w:val="en-US" w:eastAsia="zh-CN"/>
        </w:rPr>
        <w:t>决算包括：本级决算</w:t>
      </w:r>
      <w:r>
        <w:rPr>
          <w:rFonts w:hint="default" w:ascii="仿宋_GB2312" w:hAnsi="仿宋_GB2312" w:eastAsia="仿宋_GB2312" w:cs="仿宋_GB2312"/>
          <w:color w:val="auto"/>
          <w:kern w:val="0"/>
          <w:sz w:val="32"/>
          <w:szCs w:val="32"/>
          <w:highlight w:val="none"/>
          <w:lang w:eastAsia="zh-CN"/>
        </w:rPr>
        <w:t>（1个）</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2021年度</w:t>
      </w:r>
      <w:r>
        <w:rPr>
          <w:rFonts w:hint="default"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lang w:val="en-US" w:eastAsia="zh-CN"/>
        </w:rPr>
        <w:t>决算编制范围的单位共1个，具体是：</w:t>
      </w:r>
    </w:p>
    <w:p>
      <w:pPr>
        <w:widowControl/>
        <w:ind w:firstLine="640" w:firstLineChars="200"/>
        <w:jc w:val="lef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许昌市政府投资项目代建制</w:t>
      </w:r>
      <w:r>
        <w:rPr>
          <w:rFonts w:hint="eastAsia" w:ascii="仿宋_GB2312" w:hAnsi="仿宋" w:eastAsia="仿宋_GB2312"/>
          <w:sz w:val="32"/>
          <w:szCs w:val="32"/>
          <w:lang w:val="en-US" w:eastAsia="zh-CN"/>
        </w:rPr>
        <w:t>工作中心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tbl>
      <w:tblPr>
        <w:tblStyle w:val="5"/>
        <w:tblpPr w:leftFromText="180" w:rightFromText="180" w:vertAnchor="text" w:horzAnchor="page" w:tblpX="1651" w:tblpY="201"/>
        <w:tblOverlap w:val="never"/>
        <w:tblW w:w="13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2"/>
        <w:gridCol w:w="770"/>
        <w:gridCol w:w="1448"/>
        <w:gridCol w:w="3705"/>
        <w:gridCol w:w="770"/>
        <w:gridCol w:w="2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6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12"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7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0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5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12"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7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4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0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5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93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30"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7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119.56</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119.56</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4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0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1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70"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4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370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5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860"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default" w:ascii="宋体" w:hAnsi="宋体" w:cs="宋体"/>
                <w:i w:val="0"/>
                <w:iCs w:val="0"/>
                <w:color w:val="000000"/>
                <w:kern w:val="0"/>
                <w:sz w:val="22"/>
                <w:szCs w:val="22"/>
                <w:u w:val="none"/>
                <w:lang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3956"/>
        <w:gridCol w:w="1290"/>
        <w:gridCol w:w="1260"/>
        <w:gridCol w:w="1301"/>
        <w:gridCol w:w="1301"/>
        <w:gridCol w:w="1301"/>
        <w:gridCol w:w="1301"/>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676"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6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39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 w:hRule="atLeast"/>
        </w:trPr>
        <w:tc>
          <w:tcPr>
            <w:tcW w:w="139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39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119.56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default" w:ascii="宋体" w:hAnsi="宋体" w:cs="宋体"/>
                <w:i w:val="0"/>
                <w:iCs w:val="0"/>
                <w:color w:val="000000"/>
                <w:kern w:val="0"/>
                <w:sz w:val="22"/>
                <w:szCs w:val="22"/>
                <w:u w:val="none"/>
                <w:lang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6404"/>
        <w:gridCol w:w="1337"/>
        <w:gridCol w:w="1368"/>
        <w:gridCol w:w="989"/>
        <w:gridCol w:w="935"/>
        <w:gridCol w:w="957"/>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3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40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394"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1129" w:type="dxa"/>
            <w:tcBorders>
              <w:top w:val="nil"/>
              <w:left w:val="nil"/>
              <w:bottom w:val="nil"/>
              <w:right w:val="nil"/>
            </w:tcBorders>
            <w:noWrap/>
            <w:vAlign w:val="bottom"/>
          </w:tcPr>
          <w:p>
            <w:pPr>
              <w:jc w:val="left"/>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9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8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1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7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7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0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0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40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8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9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39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125.78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4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1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5407"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default" w:ascii="宋体" w:hAnsi="宋体" w:cs="宋体"/>
                <w:i w:val="0"/>
                <w:iCs w:val="0"/>
                <w:color w:val="000000"/>
                <w:kern w:val="0"/>
                <w:sz w:val="22"/>
                <w:szCs w:val="22"/>
                <w:u w:val="none"/>
                <w:lang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6"/>
        <w:gridCol w:w="718"/>
        <w:gridCol w:w="1210"/>
        <w:gridCol w:w="3485"/>
        <w:gridCol w:w="720"/>
        <w:gridCol w:w="945"/>
        <w:gridCol w:w="1110"/>
        <w:gridCol w:w="111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2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3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7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4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3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718"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48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72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10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6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8360"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6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1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4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94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6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1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4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18"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119.56</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119.56</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34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18"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4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63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8"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348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125.78</w:t>
            </w: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9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392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default" w:ascii="宋体" w:hAnsi="宋体" w:cs="宋体"/>
                <w:i w:val="0"/>
                <w:iCs w:val="0"/>
                <w:color w:val="000000"/>
                <w:kern w:val="0"/>
                <w:sz w:val="22"/>
                <w:szCs w:val="22"/>
                <w:u w:val="none"/>
                <w:lang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535"/>
        <w:gridCol w:w="4196"/>
        <w:gridCol w:w="2479"/>
        <w:gridCol w:w="2970"/>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9"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327"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3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1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85"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2479"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6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8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52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9"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1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7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0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118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189"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47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0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85"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125.78</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125.78</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城乡社区管理事务</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419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47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297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w:t>
            </w:r>
          </w:p>
        </w:tc>
        <w:tc>
          <w:tcPr>
            <w:tcW w:w="30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189" w:type="dxa"/>
            <w:gridSpan w:val="3"/>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4196"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2479"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970"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075"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909"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default" w:ascii="宋体" w:hAnsi="宋体" w:cs="宋体"/>
                <w:i w:val="0"/>
                <w:iCs w:val="0"/>
                <w:color w:val="000000"/>
                <w:kern w:val="0"/>
                <w:sz w:val="22"/>
                <w:szCs w:val="22"/>
                <w:u w:val="none"/>
                <w:lang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406"/>
        <w:gridCol w:w="974"/>
        <w:gridCol w:w="766"/>
        <w:gridCol w:w="2416"/>
        <w:gridCol w:w="861"/>
        <w:gridCol w:w="766"/>
        <w:gridCol w:w="2919"/>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07"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5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05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861"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7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6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91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7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86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9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919" w:type="dxa"/>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13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113.67</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13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07"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default" w:ascii="宋体" w:hAnsi="宋体" w:cs="宋体"/>
                <w:i w:val="0"/>
                <w:iCs w:val="0"/>
                <w:color w:val="000000"/>
                <w:kern w:val="0"/>
                <w:sz w:val="22"/>
                <w:szCs w:val="22"/>
                <w:u w:val="none"/>
                <w:lang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0"/>
                <w:szCs w:val="30"/>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18"/>
                <w:szCs w:val="18"/>
                <w:highlight w:val="none"/>
              </w:rPr>
            </w:pPr>
            <w:r>
              <w:rPr>
                <w:rFonts w:hint="default" w:ascii="宋体" w:hAnsi="宋体" w:cs="宋体"/>
                <w:color w:val="000000"/>
                <w:kern w:val="0"/>
                <w:sz w:val="18"/>
                <w:szCs w:val="18"/>
                <w:highlight w:val="none"/>
                <w:lang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许昌市政府投资项目代建制工作中心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cs="宋体"/>
                <w:color w:val="000000"/>
                <w:kern w:val="0"/>
                <w:sz w:val="22"/>
                <w:szCs w:val="22"/>
                <w:highlight w:val="none"/>
                <w:lang w:bidi="ar"/>
              </w:rPr>
              <w:t>公务用车</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14"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530"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0.73</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0.73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0.73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0.73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0.73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0.73</w:t>
            </w: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w:t>
            </w:r>
            <w:r>
              <w:rPr>
                <w:rFonts w:hint="eastAsia" w:ascii="宋体" w:hAnsi="宋体" w:eastAsia="宋体" w:cs="宋体"/>
                <w:sz w:val="22"/>
                <w:szCs w:val="22"/>
                <w:highlight w:val="none"/>
                <w:lang w:val="en-US" w:eastAsia="zh-CN"/>
              </w:rPr>
              <w:t>注：本表反映</w:t>
            </w:r>
            <w:r>
              <w:rPr>
                <w:rFonts w:hint="default" w:ascii="宋体" w:hAnsi="宋体" w:cs="宋体"/>
                <w:sz w:val="22"/>
                <w:szCs w:val="22"/>
                <w:highlight w:val="none"/>
                <w:lang w:eastAsia="zh-CN"/>
              </w:rPr>
              <w:t>单位</w:t>
            </w:r>
            <w:r>
              <w:rPr>
                <w:rFonts w:hint="eastAsia" w:ascii="宋体" w:hAnsi="宋体" w:eastAsia="宋体" w:cs="宋体"/>
                <w:sz w:val="22"/>
                <w:szCs w:val="22"/>
                <w:highlight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16"/>
        <w:gridCol w:w="222"/>
        <w:gridCol w:w="222"/>
        <w:gridCol w:w="1096"/>
        <w:gridCol w:w="1611"/>
        <w:gridCol w:w="1410"/>
        <w:gridCol w:w="1155"/>
        <w:gridCol w:w="1275"/>
        <w:gridCol w:w="136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52"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16"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09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1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default" w:ascii="宋体" w:hAnsi="宋体" w:cs="宋体"/>
                <w:i w:val="0"/>
                <w:iCs w:val="0"/>
                <w:color w:val="000000"/>
                <w:kern w:val="0"/>
                <w:sz w:val="18"/>
                <w:szCs w:val="18"/>
                <w:u w:val="none"/>
                <w:lang w:eastAsia="zh-CN" w:bidi="ar"/>
              </w:rPr>
              <w:t>单位</w:t>
            </w:r>
            <w:r>
              <w:rPr>
                <w:rFonts w:hint="eastAsia" w:ascii="宋体" w:hAnsi="宋体" w:eastAsia="宋体" w:cs="宋体"/>
                <w:i w:val="0"/>
                <w:iCs w:val="0"/>
                <w:color w:val="000000"/>
                <w:kern w:val="0"/>
                <w:sz w:val="18"/>
                <w:szCs w:val="18"/>
                <w:u w:val="none"/>
                <w:lang w:val="en-US" w:eastAsia="zh-CN" w:bidi="ar"/>
              </w:rPr>
              <w:t>：许昌市政府投资项目代建制工作中心</w:t>
            </w:r>
          </w:p>
        </w:tc>
        <w:tc>
          <w:tcPr>
            <w:tcW w:w="222" w:type="dxa"/>
            <w:tcBorders>
              <w:top w:val="nil"/>
              <w:left w:val="nil"/>
              <w:bottom w:val="nil"/>
              <w:right w:val="nil"/>
            </w:tcBorders>
            <w:noWrap/>
            <w:vAlign w:val="bottom"/>
          </w:tcPr>
          <w:p>
            <w:pPr>
              <w:jc w:val="left"/>
              <w:rPr>
                <w:rFonts w:hint="default" w:ascii="Arial" w:hAnsi="Arial" w:cs="Arial"/>
                <w:i w:val="0"/>
                <w:iCs w:val="0"/>
                <w:color w:val="000000"/>
                <w:sz w:val="18"/>
                <w:szCs w:val="18"/>
                <w:u w:val="none"/>
              </w:rPr>
            </w:pPr>
          </w:p>
        </w:tc>
        <w:tc>
          <w:tcPr>
            <w:tcW w:w="222" w:type="dxa"/>
            <w:tcBorders>
              <w:top w:val="nil"/>
              <w:left w:val="nil"/>
              <w:bottom w:val="nil"/>
              <w:right w:val="nil"/>
            </w:tcBorders>
            <w:noWrap/>
            <w:vAlign w:val="bottom"/>
          </w:tcPr>
          <w:p>
            <w:pPr>
              <w:jc w:val="left"/>
              <w:rPr>
                <w:rFonts w:hint="default" w:ascii="Arial" w:hAnsi="Arial" w:cs="Arial"/>
                <w:i w:val="0"/>
                <w:iCs w:val="0"/>
                <w:color w:val="000000"/>
                <w:sz w:val="18"/>
                <w:szCs w:val="18"/>
                <w:u w:val="none"/>
              </w:rPr>
            </w:pPr>
          </w:p>
        </w:tc>
        <w:tc>
          <w:tcPr>
            <w:tcW w:w="1096" w:type="dxa"/>
            <w:tcBorders>
              <w:top w:val="nil"/>
              <w:left w:val="nil"/>
              <w:bottom w:val="nil"/>
              <w:right w:val="nil"/>
            </w:tcBorders>
            <w:noWrap/>
            <w:vAlign w:val="bottom"/>
          </w:tcPr>
          <w:p>
            <w:pPr>
              <w:jc w:val="left"/>
              <w:rPr>
                <w:rFonts w:hint="default" w:ascii="Arial" w:hAnsi="Arial" w:cs="Arial"/>
                <w:i w:val="0"/>
                <w:iCs w:val="0"/>
                <w:color w:val="000000"/>
                <w:sz w:val="18"/>
                <w:szCs w:val="18"/>
                <w:u w:val="none"/>
              </w:rPr>
            </w:pPr>
          </w:p>
        </w:tc>
        <w:tc>
          <w:tcPr>
            <w:tcW w:w="1611"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4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5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04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5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1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4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79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1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1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5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4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161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7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052" w:type="dxa"/>
            <w:gridSpan w:val="10"/>
            <w:tcBorders>
              <w:top w:val="nil"/>
              <w:left w:val="nil"/>
              <w:bottom w:val="nil"/>
              <w:right w:val="nil"/>
            </w:tcBorders>
            <w:noWrap/>
            <w:vAlign w:val="center"/>
          </w:tcPr>
          <w:p>
            <w:pPr>
              <w:widowControl/>
              <w:spacing w:line="590" w:lineRule="exact"/>
              <w:rPr>
                <w:rFonts w:hint="eastAsia" w:ascii="仿宋_GB2312" w:hAnsi="仿宋_GB2312" w:eastAsia="仿宋_GB2312" w:cs="仿宋_GB2312"/>
                <w:sz w:val="32"/>
                <w:szCs w:val="32"/>
                <w:highlight w:val="none"/>
                <w:lang w:val="en-US" w:eastAsia="zh-CN"/>
              </w:rPr>
            </w:pPr>
            <w:r>
              <w:rPr>
                <w:rFonts w:hint="eastAsia" w:ascii="宋体" w:hAnsi="宋体" w:eastAsia="宋体" w:cs="宋体"/>
                <w:sz w:val="22"/>
                <w:szCs w:val="22"/>
                <w:highlight w:val="none"/>
                <w:lang w:val="en-US" w:eastAsia="zh-CN"/>
              </w:rPr>
              <w:t>注：本表反映</w:t>
            </w:r>
            <w:r>
              <w:rPr>
                <w:rFonts w:hint="default" w:ascii="宋体" w:hAnsi="宋体" w:cs="宋体"/>
                <w:sz w:val="22"/>
                <w:szCs w:val="22"/>
                <w:highlight w:val="none"/>
                <w:lang w:eastAsia="zh-CN"/>
              </w:rPr>
              <w:t>单位</w:t>
            </w:r>
            <w:r>
              <w:rPr>
                <w:rFonts w:hint="eastAsia" w:ascii="宋体" w:hAnsi="宋体" w:eastAsia="宋体" w:cs="宋体"/>
                <w:sz w:val="22"/>
                <w:szCs w:val="22"/>
                <w:highlight w:val="none"/>
                <w:lang w:val="en-US" w:eastAsia="zh-CN"/>
              </w:rPr>
              <w:t>本年度政府性基金预算财政拨款收入、支出及结转和结余情况。本表金额转换为万元时，因四舍五入可能存在尾差。</w:t>
            </w:r>
          </w:p>
        </w:tc>
      </w:tr>
    </w:tbl>
    <w:p>
      <w:pPr>
        <w:widowControl/>
        <w:spacing w:line="590" w:lineRule="exac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lang w:val="en-US" w:eastAsia="zh-CN"/>
        </w:rPr>
        <w:t>说明：我</w:t>
      </w:r>
      <w:r>
        <w:rPr>
          <w:rFonts w:hint="default"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21.84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14.79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项目专项资金收、支减少。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119.56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119.56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21.84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14.79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项目专项资金收、支减少。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13.46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9.67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项目资金支出减少。</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0.53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社会保障和就业（类）支出6.97万元，占5.54%；卫生健康（类）支出6.76万元，占5.38%；城乡社区（类）支出111.52万元，占88.66%。</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118.94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105.75</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1．一般公共服务支出（类）群众团体事务（款）工会经费（项）。</w:t>
      </w:r>
      <w:r>
        <w:rPr>
          <w:rFonts w:hint="eastAsia" w:ascii="仿宋_GB2312" w:hAnsi="仿宋_GB2312" w:eastAsia="仿宋_GB2312" w:cs="仿宋_GB2312"/>
          <w:color w:val="auto"/>
          <w:sz w:val="32"/>
          <w:szCs w:val="32"/>
          <w:highlight w:val="none"/>
          <w:lang w:val="en-US" w:eastAsia="zh-CN"/>
        </w:rPr>
        <w:t>年初预算为0.53万元，支出决算为0.53万元，完成年初预算的100.00%。决算数与年初预算数不存在差异。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年初预算为6.97万元，支出决算为6.97万元，完成年初预算的100.00%。决算数与年初预算数不存在差异。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年初预算为3.50万元，支出决算为3.46万元，完成年初预算的98.86%。决算数与年初预算数存在差异的主要原因是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事业单位医疗</w:t>
      </w:r>
      <w:r>
        <w:rPr>
          <w:rFonts w:hint="eastAsia" w:ascii="仿宋_GB2312" w:hAnsi="仿宋_GB2312" w:eastAsia="仿宋_GB2312" w:cs="仿宋_GB2312"/>
          <w:color w:val="auto"/>
          <w:sz w:val="32"/>
          <w:szCs w:val="32"/>
          <w:highlight w:val="none"/>
          <w:lang w:val="en-US" w:eastAsia="zh-CN"/>
        </w:rPr>
        <w:t>预算取数基数与支出决算缴纳基数存在缴纳尾差。</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年初预算为3.33万元，支出决算为3.30万元，完成年初预算的99.10%。决算数与年初预算数存在差异的主要原因是</w:t>
      </w:r>
      <w:r>
        <w:rPr>
          <w:rFonts w:hint="eastAsia" w:ascii="仿宋_GB2312" w:hAnsi="仿宋_GB2312" w:eastAsia="仿宋_GB2312" w:cs="仿宋_GB2312"/>
          <w:b w:val="0"/>
          <w:bCs w:val="0"/>
          <w:color w:val="auto"/>
          <w:sz w:val="32"/>
          <w:szCs w:val="32"/>
          <w:highlight w:val="none"/>
          <w:lang w:val="en-US" w:eastAsia="zh-CN"/>
        </w:rPr>
        <w:t>公务员医疗补助</w:t>
      </w:r>
      <w:r>
        <w:rPr>
          <w:rFonts w:hint="eastAsia" w:ascii="仿宋_GB2312" w:hAnsi="仿宋_GB2312" w:eastAsia="仿宋_GB2312" w:cs="仿宋_GB2312"/>
          <w:color w:val="auto"/>
          <w:sz w:val="32"/>
          <w:szCs w:val="32"/>
          <w:highlight w:val="none"/>
          <w:lang w:val="en-US" w:eastAsia="zh-CN"/>
        </w:rPr>
        <w:t>缴费预算基数与支出决算缴纳基数存在缴纳尾差。</w:t>
      </w:r>
    </w:p>
    <w:p>
      <w:pPr>
        <w:widowControl/>
        <w:spacing w:line="590" w:lineRule="exact"/>
        <w:ind w:firstLine="642"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5．城乡社区支出（类）城乡社区管理事务（款）行政运行（项）</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年初预算为104.61万元，支出决算为111.52万元，完成年初预算的106.61%。决算数与年初预算数存在差异的主要原因是年初预算不含2021年晋级晋档工资；不含调整追加人员经费支出。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125.78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其</w:t>
      </w:r>
      <w:r>
        <w:rPr>
          <w:rFonts w:hint="eastAsia" w:ascii="仿宋_GB2312" w:hAnsi="仿宋_GB2312" w:eastAsia="仿宋_GB2312" w:cs="仿宋_GB2312"/>
          <w:sz w:val="32"/>
          <w:szCs w:val="32"/>
          <w:highlight w:val="none"/>
        </w:rPr>
        <w:t>中：人员经费</w:t>
      </w:r>
      <w:r>
        <w:rPr>
          <w:rFonts w:hint="eastAsia" w:ascii="仿宋_GB2312" w:hAnsi="仿宋_GB2312" w:eastAsia="仿宋_GB2312" w:cs="仿宋_GB2312"/>
          <w:sz w:val="32"/>
          <w:szCs w:val="32"/>
          <w:highlight w:val="none"/>
          <w:lang w:val="en-US" w:eastAsia="zh-CN"/>
        </w:rPr>
        <w:t>113.67</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其他工资福利支出</w:t>
      </w:r>
      <w:r>
        <w:rPr>
          <w:rFonts w:hint="eastAsia" w:ascii="仿宋_GB2312" w:hAnsi="仿宋_GB2312" w:eastAsia="仿宋_GB2312" w:cs="仿宋_GB2312"/>
          <w:sz w:val="32"/>
          <w:szCs w:val="32"/>
          <w:highlight w:val="none"/>
        </w:rPr>
        <w:t>；公用经费</w:t>
      </w:r>
      <w:r>
        <w:rPr>
          <w:rFonts w:hint="eastAsia" w:ascii="仿宋_GB2312" w:hAnsi="仿宋_GB2312" w:eastAsia="仿宋_GB2312" w:cs="仿宋_GB2312"/>
          <w:sz w:val="32"/>
          <w:szCs w:val="32"/>
          <w:highlight w:val="none"/>
          <w:lang w:val="en-US" w:eastAsia="zh-CN"/>
        </w:rPr>
        <w:t>12.11</w:t>
      </w:r>
      <w:r>
        <w:rPr>
          <w:rFonts w:hint="eastAsia" w:ascii="仿宋_GB2312" w:hAnsi="仿宋_GB2312" w:eastAsia="仿宋_GB2312" w:cs="仿宋_GB2312"/>
          <w:sz w:val="32"/>
          <w:szCs w:val="32"/>
          <w:highlight w:val="none"/>
        </w:rPr>
        <w:t>万元，主要包括：办公费、邮电费、差旅费、维修（护）费、劳务费、委托业务费、工会经费、福利费、公务用车运行维护费。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numPr>
          <w:numId w:val="0"/>
        </w:numPr>
        <w:spacing w:line="590" w:lineRule="exact"/>
        <w:ind w:firstLine="642"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bookmarkStart w:id="0" w:name="_GoBack"/>
      <w:bookmarkEnd w:id="0"/>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决算数与预算数不存在差异。全年因公出国（境）团组数0个，累计0人次。</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0.73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车辆保险、维修、燃料费等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决算数与预算数不存在差异</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color w:val="auto"/>
          <w:sz w:val="32"/>
          <w:szCs w:val="32"/>
          <w:highlight w:val="none"/>
          <w:lang w:val="en-US" w:eastAsia="zh-CN"/>
        </w:rPr>
        <w:t>我</w:t>
      </w:r>
      <w:r>
        <w:rPr>
          <w:rFonts w:hint="default"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在实际工作中，我单位高度重视，积极开展预算绩效管理工作，将绩效目标作为日常开展工作的重要参考，严格执行相关预算绩效管理文件之规定，进一步促进2021年绩效管理工作圆满完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情况如下：2021年度单位预算资金全部拨付到位，资金支付方面严格按照预算批复用途使用，资金方面基本按照预期要求完成支付，总体效果良好，指标完成率较好。二是项目绩效自评情况。我单位共有0个项目批复了绩效目标，项目金额0.00万元</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ind w:firstLine="960" w:firstLineChars="300"/>
        <w:jc w:val="left"/>
        <w:rPr>
          <w:rFonts w:hint="eastAsia" w:ascii="黑体" w:hAnsi="宋体" w:eastAsia="黑体" w:cs="宋体"/>
          <w:kern w:val="0"/>
          <w:sz w:val="28"/>
          <w:szCs w:val="28"/>
          <w:highlight w:val="none"/>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ascii="仿宋_GB2312" w:hAnsi="仿宋_GB2312" w:eastAsia="仿宋_GB2312" w:cs="仿宋_GB2312"/>
          <w:sz w:val="32"/>
          <w:szCs w:val="32"/>
        </w:rPr>
        <w:t>我单位</w:t>
      </w:r>
      <w:r>
        <w:rPr>
          <w:rFonts w:hint="eastAsia" w:ascii="仿宋_GB2312" w:hAnsi="仿宋_GB2312" w:eastAsia="仿宋_GB2312" w:cs="仿宋_GB2312"/>
          <w:sz w:val="32"/>
          <w:szCs w:val="32"/>
        </w:rPr>
        <w:t>没有开展</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绩效评价</w:t>
      </w:r>
      <w:r>
        <w:rPr>
          <w:rFonts w:hint="eastAsia" w:ascii="仿宋_GB2312" w:hAnsi="仿宋_GB2312" w:eastAsia="仿宋_GB2312" w:cs="仿宋_GB2312"/>
          <w:sz w:val="32"/>
          <w:szCs w:val="32"/>
          <w:lang w:eastAsia="zh-CN"/>
        </w:rPr>
        <w:t>的项目</w:t>
      </w:r>
      <w:r>
        <w:rPr>
          <w:rFonts w:hint="eastAsia" w:ascii="仿宋_GB2312" w:hAnsi="仿宋_GB2312" w:eastAsia="仿宋_GB2312" w:cs="仿宋_GB2312"/>
          <w:sz w:val="32"/>
          <w:szCs w:val="32"/>
        </w:rPr>
        <w:t>。</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altName w:val="方正书宋_GBK"/>
    <w:panose1 w:val="02010600040101010101"/>
    <w:charset w:val="00"/>
    <w:family w:val="auto"/>
    <w:pitch w:val="default"/>
    <w:sig w:usb0="00000000" w:usb1="00000000" w:usb2="00000010" w:usb3="00000000" w:csb0="0004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wHWr6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ihRmPNEAAACUAQAACwAAAAAA&#10;AAABACAAAABNAwAAX3JlbHMvLnJlbHNQSwECFAAUAAAACACHTuJAfublIPcAAADhAQAAEwAAAAAA&#10;AAABACAAAABHBAAAW0NvbnRlbnRfVHlwZXNdLnhtbFBLAQIUAAoAAAAAAIdO4kAAAAAAAAAAAAAA&#10;AAAGAAAAAAAAAAAAEAAAACkDAABfcmVscy9QSwECFAAUAAAACACHTuJAAHvdz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ODU4ZTZkNzFmZTVlZmUzOWZjODM3NmVjMTVkNmYifQ=="/>
    <w:docVar w:name="KSO_WPS_MARK_KEY" w:val="fa06336b-b9f5-493b-8e17-ca6352c4ecdb"/>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BA630B"/>
    <w:rsid w:val="06BF6017"/>
    <w:rsid w:val="074D2701"/>
    <w:rsid w:val="0799329C"/>
    <w:rsid w:val="08397436"/>
    <w:rsid w:val="086F16A7"/>
    <w:rsid w:val="087E2503"/>
    <w:rsid w:val="0A0F7225"/>
    <w:rsid w:val="0A2B7D82"/>
    <w:rsid w:val="0ADC40E9"/>
    <w:rsid w:val="0AE43131"/>
    <w:rsid w:val="0AE607F4"/>
    <w:rsid w:val="0B386127"/>
    <w:rsid w:val="0B451598"/>
    <w:rsid w:val="0BCB7E4E"/>
    <w:rsid w:val="0BEC73F4"/>
    <w:rsid w:val="0C392698"/>
    <w:rsid w:val="10BD36F6"/>
    <w:rsid w:val="110A439F"/>
    <w:rsid w:val="11226E54"/>
    <w:rsid w:val="11BF0649"/>
    <w:rsid w:val="123E3E08"/>
    <w:rsid w:val="133212F4"/>
    <w:rsid w:val="13702B73"/>
    <w:rsid w:val="13D22E22"/>
    <w:rsid w:val="161C2DFF"/>
    <w:rsid w:val="16373578"/>
    <w:rsid w:val="16D3336B"/>
    <w:rsid w:val="17200028"/>
    <w:rsid w:val="17806C36"/>
    <w:rsid w:val="178302E1"/>
    <w:rsid w:val="17A74F62"/>
    <w:rsid w:val="18A47774"/>
    <w:rsid w:val="19A27FF2"/>
    <w:rsid w:val="19FB0CBC"/>
    <w:rsid w:val="1A8D28EB"/>
    <w:rsid w:val="1A9F2D78"/>
    <w:rsid w:val="1B027E29"/>
    <w:rsid w:val="1B2E6FD8"/>
    <w:rsid w:val="1B877D21"/>
    <w:rsid w:val="1BFFBDC5"/>
    <w:rsid w:val="1C4319A9"/>
    <w:rsid w:val="1C477653"/>
    <w:rsid w:val="1C697E99"/>
    <w:rsid w:val="1E443B4B"/>
    <w:rsid w:val="1E994F4A"/>
    <w:rsid w:val="1EAF0224"/>
    <w:rsid w:val="1F2230A4"/>
    <w:rsid w:val="20210932"/>
    <w:rsid w:val="202448E0"/>
    <w:rsid w:val="20866E0D"/>
    <w:rsid w:val="20E00C0C"/>
    <w:rsid w:val="20F614FE"/>
    <w:rsid w:val="2118287F"/>
    <w:rsid w:val="21302EEA"/>
    <w:rsid w:val="22376FB5"/>
    <w:rsid w:val="23E152D7"/>
    <w:rsid w:val="23EE2489"/>
    <w:rsid w:val="249D4C70"/>
    <w:rsid w:val="255D43C8"/>
    <w:rsid w:val="25D30D3F"/>
    <w:rsid w:val="26714EF8"/>
    <w:rsid w:val="26876BDD"/>
    <w:rsid w:val="2714632A"/>
    <w:rsid w:val="27541E73"/>
    <w:rsid w:val="277403DF"/>
    <w:rsid w:val="27B0539E"/>
    <w:rsid w:val="29365CF8"/>
    <w:rsid w:val="299469B3"/>
    <w:rsid w:val="2A805789"/>
    <w:rsid w:val="2ADC0D75"/>
    <w:rsid w:val="2B4A0E52"/>
    <w:rsid w:val="2C975890"/>
    <w:rsid w:val="2D38487A"/>
    <w:rsid w:val="2DEF21BB"/>
    <w:rsid w:val="2E4A2F05"/>
    <w:rsid w:val="2E8454D8"/>
    <w:rsid w:val="2ECC1061"/>
    <w:rsid w:val="2FA476AD"/>
    <w:rsid w:val="303F7540"/>
    <w:rsid w:val="31146B5D"/>
    <w:rsid w:val="31DD00BF"/>
    <w:rsid w:val="32344F22"/>
    <w:rsid w:val="3293174C"/>
    <w:rsid w:val="32BB38D4"/>
    <w:rsid w:val="32C9376D"/>
    <w:rsid w:val="33535613"/>
    <w:rsid w:val="33780472"/>
    <w:rsid w:val="33AF0905"/>
    <w:rsid w:val="34033A51"/>
    <w:rsid w:val="341F167F"/>
    <w:rsid w:val="355932F4"/>
    <w:rsid w:val="35611882"/>
    <w:rsid w:val="36746FC3"/>
    <w:rsid w:val="368763AE"/>
    <w:rsid w:val="3888344D"/>
    <w:rsid w:val="391066D4"/>
    <w:rsid w:val="395D59E7"/>
    <w:rsid w:val="39A93932"/>
    <w:rsid w:val="3A915562"/>
    <w:rsid w:val="3AE02AEE"/>
    <w:rsid w:val="3B2744B0"/>
    <w:rsid w:val="3B8D4765"/>
    <w:rsid w:val="3BA63C87"/>
    <w:rsid w:val="3C000DBA"/>
    <w:rsid w:val="3CC7264F"/>
    <w:rsid w:val="3DC045D3"/>
    <w:rsid w:val="3E504FFB"/>
    <w:rsid w:val="3E615CD0"/>
    <w:rsid w:val="3E786FC3"/>
    <w:rsid w:val="3E9C47F6"/>
    <w:rsid w:val="3F8B0112"/>
    <w:rsid w:val="3FAB3095"/>
    <w:rsid w:val="3FE45947"/>
    <w:rsid w:val="41242965"/>
    <w:rsid w:val="41275DCB"/>
    <w:rsid w:val="420E33D3"/>
    <w:rsid w:val="435671EA"/>
    <w:rsid w:val="440809E9"/>
    <w:rsid w:val="442407A6"/>
    <w:rsid w:val="44805EA1"/>
    <w:rsid w:val="45674AF4"/>
    <w:rsid w:val="45710696"/>
    <w:rsid w:val="46142B1B"/>
    <w:rsid w:val="47E60DD0"/>
    <w:rsid w:val="4845504F"/>
    <w:rsid w:val="48535936"/>
    <w:rsid w:val="48735039"/>
    <w:rsid w:val="49217DFE"/>
    <w:rsid w:val="492C684B"/>
    <w:rsid w:val="49500594"/>
    <w:rsid w:val="49E7604E"/>
    <w:rsid w:val="4B447E66"/>
    <w:rsid w:val="4B816E76"/>
    <w:rsid w:val="4B885FA4"/>
    <w:rsid w:val="4BF67CDD"/>
    <w:rsid w:val="4CE7142F"/>
    <w:rsid w:val="4D173441"/>
    <w:rsid w:val="4D603DD6"/>
    <w:rsid w:val="4D92310A"/>
    <w:rsid w:val="4E4156F7"/>
    <w:rsid w:val="4EBF010F"/>
    <w:rsid w:val="4ED8326A"/>
    <w:rsid w:val="4F471EB0"/>
    <w:rsid w:val="4FF37764"/>
    <w:rsid w:val="51331326"/>
    <w:rsid w:val="51740A7F"/>
    <w:rsid w:val="51A5541E"/>
    <w:rsid w:val="51C96242"/>
    <w:rsid w:val="52AE57EA"/>
    <w:rsid w:val="52F12050"/>
    <w:rsid w:val="53906AE1"/>
    <w:rsid w:val="54F46F60"/>
    <w:rsid w:val="55A37BEA"/>
    <w:rsid w:val="55BB5703"/>
    <w:rsid w:val="56362CD2"/>
    <w:rsid w:val="5784687B"/>
    <w:rsid w:val="57846959"/>
    <w:rsid w:val="578E6A87"/>
    <w:rsid w:val="59B60C65"/>
    <w:rsid w:val="59F93ACE"/>
    <w:rsid w:val="5AC2203A"/>
    <w:rsid w:val="5BF42562"/>
    <w:rsid w:val="5CBB3334"/>
    <w:rsid w:val="5D115FAF"/>
    <w:rsid w:val="5E875E09"/>
    <w:rsid w:val="5EE8195A"/>
    <w:rsid w:val="5FF961B8"/>
    <w:rsid w:val="602F356E"/>
    <w:rsid w:val="603D191C"/>
    <w:rsid w:val="61447261"/>
    <w:rsid w:val="62811722"/>
    <w:rsid w:val="62D26F6E"/>
    <w:rsid w:val="62E75A72"/>
    <w:rsid w:val="632C6FFB"/>
    <w:rsid w:val="64571880"/>
    <w:rsid w:val="649125B6"/>
    <w:rsid w:val="652F4C1A"/>
    <w:rsid w:val="666D37F1"/>
    <w:rsid w:val="67087D8F"/>
    <w:rsid w:val="671F687E"/>
    <w:rsid w:val="67F415F8"/>
    <w:rsid w:val="682640D1"/>
    <w:rsid w:val="684B73E5"/>
    <w:rsid w:val="699B220E"/>
    <w:rsid w:val="6A047A2A"/>
    <w:rsid w:val="6EBE24AE"/>
    <w:rsid w:val="6EFB7548"/>
    <w:rsid w:val="6F3831C3"/>
    <w:rsid w:val="6F8B71C1"/>
    <w:rsid w:val="6FD93E38"/>
    <w:rsid w:val="70753482"/>
    <w:rsid w:val="707B522A"/>
    <w:rsid w:val="71C702F4"/>
    <w:rsid w:val="73194D05"/>
    <w:rsid w:val="73A83B0E"/>
    <w:rsid w:val="73D04190"/>
    <w:rsid w:val="73EFFCD0"/>
    <w:rsid w:val="744D3EF9"/>
    <w:rsid w:val="74794411"/>
    <w:rsid w:val="75867C40"/>
    <w:rsid w:val="75B10B26"/>
    <w:rsid w:val="76094094"/>
    <w:rsid w:val="76432199"/>
    <w:rsid w:val="76F44829"/>
    <w:rsid w:val="7770651B"/>
    <w:rsid w:val="77A267C0"/>
    <w:rsid w:val="77C350D3"/>
    <w:rsid w:val="78882278"/>
    <w:rsid w:val="78B118A6"/>
    <w:rsid w:val="79135044"/>
    <w:rsid w:val="7A7D0F99"/>
    <w:rsid w:val="7E4A0E7C"/>
    <w:rsid w:val="7EFD449D"/>
    <w:rsid w:val="7F2D5F40"/>
    <w:rsid w:val="7FDF22F1"/>
    <w:rsid w:val="7FEE350C"/>
    <w:rsid w:val="7FEEEA49"/>
    <w:rsid w:val="7FF731A0"/>
    <w:rsid w:val="AF7DEDC1"/>
    <w:rsid w:val="B7BBC11D"/>
    <w:rsid w:val="BBEE6A46"/>
    <w:rsid w:val="D9D933C2"/>
    <w:rsid w:val="F6FDCE33"/>
    <w:rsid w:val="F7F33513"/>
    <w:rsid w:val="F86D769A"/>
    <w:rsid w:val="FBFBD4E6"/>
    <w:rsid w:val="FFDDDE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7437</Words>
  <Characters>9002</Characters>
  <Lines>60</Lines>
  <Paragraphs>16</Paragraphs>
  <TotalTime>0</TotalTime>
  <ScaleCrop>false</ScaleCrop>
  <LinksUpToDate>false</LinksUpToDate>
  <CharactersWithSpaces>9196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李阳</cp:lastModifiedBy>
  <cp:lastPrinted>2023-05-09T00:58:00Z</cp:lastPrinted>
  <dcterms:modified xsi:type="dcterms:W3CDTF">2023-05-23T09:17:36Z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55F8B09599A34E25BC37BD520FDBE5F7_13</vt:lpwstr>
  </property>
</Properties>
</file>