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许昌市房屋征收管理中心单位决算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许昌市房屋征收管理中心概况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许昌市房屋征收管理中心</w:t>
      </w:r>
    </w:p>
    <w:p>
      <w:pPr>
        <w:widowControl/>
        <w:outlineLvl w:val="0"/>
        <w:rPr>
          <w:rFonts w:ascii="黑体" w:hAnsi="宋体" w:eastAsia="黑体" w:cs="宋体"/>
          <w:kern w:val="0"/>
          <w:sz w:val="48"/>
          <w:szCs w:val="48"/>
        </w:rPr>
      </w:pPr>
      <w:r>
        <w:rPr>
          <w:rFonts w:hint="eastAsia" w:ascii="黑体" w:hAnsi="黑体" w:eastAsia="黑体" w:cs="黑体"/>
          <w:sz w:val="48"/>
          <w:szCs w:val="48"/>
        </w:rPr>
        <w:t xml:space="preserve">                   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widowControl/>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受委托负责对市财政投资的重点工程、大型建设项目的房屋征收与补偿，负责跨区建设的大型建设项目的房屋征收与补偿，指导县（市、区）房屋征收工作。督促指导全市棚户区改造工作的开展，拟定棚户区改造相关配套政策，负责对各县（市、区）棚户区改造工作进行督查、考核等。</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许昌市房屋征收管理中心内设机构2个，包括：综合科、法规科。</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从决算单位构成看，许昌市房屋征收管理中心单位决算包括</w:t>
      </w:r>
      <w:r>
        <w:rPr>
          <w:rFonts w:hint="default"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本级决算（1个）。</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纳入本单位2021年度单位决算编制范围的单位共1个，具体是：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1.许昌市房屋征收管理中心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290"/>
        <w:gridCol w:w="766"/>
        <w:gridCol w:w="1747"/>
        <w:gridCol w:w="4535"/>
        <w:gridCol w:w="1107"/>
        <w:gridCol w:w="1636"/>
      </w:tblGrid>
      <w:tr>
        <w:tblPrEx>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290" w:type="dxa"/>
            <w:tcBorders>
              <w:top w:val="nil"/>
              <w:left w:val="nil"/>
              <w:bottom w:val="nil"/>
              <w:right w:val="nil"/>
            </w:tcBorders>
            <w:noWrap/>
            <w:vAlign w:val="bottom"/>
          </w:tcPr>
          <w:p>
            <w:pPr>
              <w:rPr>
                <w:rFonts w:ascii="Arial" w:hAnsi="Arial" w:cs="Arial"/>
                <w:color w:val="000000"/>
                <w:sz w:val="20"/>
                <w:szCs w:val="20"/>
              </w:rPr>
            </w:pP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1134" w:type="dxa"/>
            <w:tcBorders>
              <w:top w:val="nil"/>
              <w:left w:val="nil"/>
              <w:bottom w:val="nil"/>
              <w:right w:val="nil"/>
            </w:tcBorders>
            <w:noWrap/>
            <w:vAlign w:val="bottom"/>
          </w:tcPr>
          <w:p>
            <w:pPr>
              <w:rPr>
                <w:rFonts w:ascii="Arial" w:hAnsi="Arial" w:cs="Arial"/>
                <w:color w:val="000000"/>
                <w:sz w:val="20"/>
                <w:szCs w:val="20"/>
              </w:rPr>
            </w:pPr>
          </w:p>
        </w:tc>
        <w:tc>
          <w:tcPr>
            <w:tcW w:w="4535" w:type="dxa"/>
            <w:tcBorders>
              <w:top w:val="nil"/>
              <w:left w:val="nil"/>
              <w:bottom w:val="nil"/>
              <w:right w:val="nil"/>
            </w:tcBorders>
            <w:noWrap/>
            <w:vAlign w:val="bottom"/>
          </w:tcPr>
          <w:p>
            <w:pPr>
              <w:rPr>
                <w:rFonts w:ascii="Arial" w:hAnsi="Arial" w:cs="Arial"/>
                <w:color w:val="000000"/>
                <w:sz w:val="20"/>
                <w:szCs w:val="20"/>
              </w:rPr>
            </w:pPr>
          </w:p>
        </w:tc>
        <w:tc>
          <w:tcPr>
            <w:tcW w:w="27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公开01表</w:t>
            </w:r>
          </w:p>
        </w:tc>
      </w:tr>
      <w:tr>
        <w:tblPrEx>
          <w:tblCellMar>
            <w:top w:w="0" w:type="dxa"/>
            <w:left w:w="108" w:type="dxa"/>
            <w:bottom w:w="0" w:type="dxa"/>
            <w:right w:w="108" w:type="dxa"/>
          </w:tblCellMar>
        </w:tblPrEx>
        <w:trPr>
          <w:trHeight w:val="255" w:hRule="atLeast"/>
        </w:trPr>
        <w:tc>
          <w:tcPr>
            <w:tcW w:w="4290"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766" w:type="dxa"/>
            <w:tcBorders>
              <w:top w:val="nil"/>
              <w:left w:val="nil"/>
              <w:bottom w:val="nil"/>
              <w:right w:val="nil"/>
            </w:tcBorders>
            <w:noWrap/>
            <w:vAlign w:val="bottom"/>
          </w:tcPr>
          <w:p>
            <w:pPr>
              <w:rPr>
                <w:rFonts w:ascii="Arial" w:hAnsi="Arial" w:cs="Arial"/>
                <w:color w:val="000000"/>
                <w:sz w:val="20"/>
                <w:szCs w:val="20"/>
              </w:rPr>
            </w:pPr>
          </w:p>
        </w:tc>
        <w:tc>
          <w:tcPr>
            <w:tcW w:w="1134" w:type="dxa"/>
            <w:tcBorders>
              <w:top w:val="nil"/>
              <w:left w:val="nil"/>
              <w:bottom w:val="nil"/>
              <w:right w:val="nil"/>
            </w:tcBorders>
            <w:noWrap/>
            <w:vAlign w:val="bottom"/>
          </w:tcPr>
          <w:p>
            <w:pPr>
              <w:rPr>
                <w:rFonts w:ascii="Arial" w:hAnsi="Arial" w:cs="Arial"/>
                <w:color w:val="000000"/>
                <w:sz w:val="20"/>
                <w:szCs w:val="20"/>
              </w:rPr>
            </w:pPr>
          </w:p>
        </w:tc>
        <w:tc>
          <w:tcPr>
            <w:tcW w:w="4535" w:type="dxa"/>
            <w:tcBorders>
              <w:top w:val="nil"/>
              <w:left w:val="nil"/>
              <w:bottom w:val="nil"/>
              <w:right w:val="nil"/>
            </w:tcBorders>
            <w:noWrap/>
            <w:vAlign w:val="bottom"/>
          </w:tcPr>
          <w:p>
            <w:pPr>
              <w:rPr>
                <w:rFonts w:ascii="Arial" w:hAnsi="Arial" w:cs="Arial"/>
                <w:color w:val="000000"/>
                <w:sz w:val="20"/>
                <w:szCs w:val="20"/>
              </w:rPr>
            </w:pPr>
          </w:p>
        </w:tc>
        <w:tc>
          <w:tcPr>
            <w:tcW w:w="27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45" w:hRule="atLeast"/>
        </w:trPr>
        <w:tc>
          <w:tcPr>
            <w:tcW w:w="680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收入</w:t>
            </w:r>
          </w:p>
        </w:tc>
        <w:tc>
          <w:tcPr>
            <w:tcW w:w="7278"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支出</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134"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472"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134"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472"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141.36</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一、一般公共服务支出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0.69</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二、政府性基金预算财政拨款收入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二、外交支出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三、国有资本经营预算财政拨款收入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三、国防支出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四、上级补助收入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四、公共安全支出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五、事业收入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五、教育支出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六、经营收入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六、科学技术支出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七、附属单位上缴收入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七、文化旅游体育与传媒支出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八、其他收入</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八、社会保障和就业支出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九、卫生健康支出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0.52</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十、节能环保支出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41</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十一、城乡社区支出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151.03</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十二、农林水支出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十三、交通运输支出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十四、资源勘探工业信息等支出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十五、商业服务业等支出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十六、金融支出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十七、援助其他地区支出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十八、自然资源海洋气象等支出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十九、住房保障支出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二十、粮油物资储备支出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51</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二十一、国有资本经营预算支出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22</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二十二、灾害防治及应急管理支出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53</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23</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二十三、其他支出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54</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24</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二十四、债务还本支出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55</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25</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二十五、债务付息支出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56</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26</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二十六、抗疫特别国债安排的支出</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57</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本年收入合计</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27</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141.36</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本年支出合计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58</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153.66</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使用非财政拨款结余</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28</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结余分配</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59</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年初结转和结余</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29</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12.30</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年末结转和结余</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60</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30</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35"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61</w:t>
            </w:r>
          </w:p>
        </w:tc>
        <w:tc>
          <w:tcPr>
            <w:tcW w:w="1472"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345" w:hRule="atLeast"/>
        </w:trPr>
        <w:tc>
          <w:tcPr>
            <w:tcW w:w="429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总计</w:t>
            </w:r>
          </w:p>
        </w:tc>
        <w:tc>
          <w:tcPr>
            <w:tcW w:w="766" w:type="dxa"/>
            <w:tcBorders>
              <w:top w:val="nil"/>
              <w:left w:val="nil"/>
              <w:bottom w:val="single" w:color="000000" w:sz="8"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31</w:t>
            </w:r>
          </w:p>
        </w:tc>
        <w:tc>
          <w:tcPr>
            <w:tcW w:w="1134"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153.66</w:t>
            </w:r>
          </w:p>
        </w:tc>
        <w:tc>
          <w:tcPr>
            <w:tcW w:w="453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总计</w:t>
            </w:r>
          </w:p>
        </w:tc>
        <w:tc>
          <w:tcPr>
            <w:tcW w:w="110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62</w:t>
            </w:r>
          </w:p>
        </w:tc>
        <w:tc>
          <w:tcPr>
            <w:tcW w:w="1472"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153.66</w:t>
            </w:r>
          </w:p>
        </w:tc>
      </w:tr>
      <w:tr>
        <w:tblPrEx>
          <w:tblCellMar>
            <w:top w:w="0" w:type="dxa"/>
            <w:left w:w="108" w:type="dxa"/>
            <w:bottom w:w="0" w:type="dxa"/>
            <w:right w:w="108" w:type="dxa"/>
          </w:tblCellMar>
        </w:tblPrEx>
        <w:trPr>
          <w:trHeight w:val="345" w:hRule="atLeast"/>
        </w:trPr>
        <w:tc>
          <w:tcPr>
            <w:tcW w:w="14081" w:type="dxa"/>
            <w:gridSpan w:val="6"/>
            <w:tcBorders>
              <w:top w:val="nil"/>
              <w:left w:val="nil"/>
              <w:bottom w:val="nil"/>
              <w:right w:val="nil"/>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Layout w:type="fixed"/>
        <w:tblCellMar>
          <w:top w:w="0" w:type="dxa"/>
          <w:left w:w="108" w:type="dxa"/>
          <w:bottom w:w="0" w:type="dxa"/>
          <w:right w:w="108" w:type="dxa"/>
        </w:tblCellMar>
      </w:tblPr>
      <w:tblGrid>
        <w:gridCol w:w="1149"/>
        <w:gridCol w:w="3435"/>
        <w:gridCol w:w="1415"/>
        <w:gridCol w:w="1415"/>
        <w:gridCol w:w="1165"/>
        <w:gridCol w:w="1175"/>
        <w:gridCol w:w="1113"/>
        <w:gridCol w:w="1257"/>
        <w:gridCol w:w="1845"/>
      </w:tblGrid>
      <w:tr>
        <w:tblPrEx>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4584" w:type="dxa"/>
            <w:gridSpan w:val="2"/>
            <w:tcBorders>
              <w:top w:val="nil"/>
              <w:left w:val="nil"/>
              <w:bottom w:val="nil"/>
              <w:right w:val="nil"/>
            </w:tcBorders>
            <w:noWrap/>
            <w:vAlign w:val="bottom"/>
          </w:tcPr>
          <w:p>
            <w:pPr>
              <w:rPr>
                <w:rFonts w:ascii="Arial" w:hAnsi="Arial" w:cs="Arial"/>
                <w:color w:val="000000"/>
                <w:sz w:val="18"/>
                <w:szCs w:val="18"/>
              </w:rPr>
            </w:pPr>
          </w:p>
        </w:tc>
        <w:tc>
          <w:tcPr>
            <w:tcW w:w="1415" w:type="dxa"/>
            <w:tcBorders>
              <w:top w:val="nil"/>
              <w:left w:val="nil"/>
              <w:bottom w:val="nil"/>
              <w:right w:val="nil"/>
            </w:tcBorders>
            <w:noWrap/>
            <w:vAlign w:val="bottom"/>
          </w:tcPr>
          <w:p>
            <w:pPr>
              <w:rPr>
                <w:rFonts w:ascii="Arial" w:hAnsi="Arial" w:cs="Arial"/>
                <w:color w:val="000000"/>
                <w:sz w:val="18"/>
                <w:szCs w:val="18"/>
              </w:rPr>
            </w:pPr>
          </w:p>
        </w:tc>
        <w:tc>
          <w:tcPr>
            <w:tcW w:w="1415" w:type="dxa"/>
            <w:tcBorders>
              <w:top w:val="nil"/>
              <w:left w:val="nil"/>
              <w:bottom w:val="nil"/>
              <w:right w:val="nil"/>
            </w:tcBorders>
            <w:noWrap/>
            <w:vAlign w:val="bottom"/>
          </w:tcPr>
          <w:p>
            <w:pPr>
              <w:rPr>
                <w:rFonts w:ascii="Arial" w:hAnsi="Arial" w:cs="Arial"/>
                <w:color w:val="000000"/>
                <w:sz w:val="18"/>
                <w:szCs w:val="18"/>
              </w:rPr>
            </w:pPr>
          </w:p>
        </w:tc>
        <w:tc>
          <w:tcPr>
            <w:tcW w:w="1165" w:type="dxa"/>
            <w:tcBorders>
              <w:top w:val="nil"/>
              <w:left w:val="nil"/>
              <w:bottom w:val="nil"/>
              <w:right w:val="nil"/>
            </w:tcBorders>
            <w:noWrap/>
            <w:vAlign w:val="bottom"/>
          </w:tcPr>
          <w:p>
            <w:pPr>
              <w:rPr>
                <w:rFonts w:ascii="Arial" w:hAnsi="Arial" w:cs="Arial"/>
                <w:color w:val="000000"/>
                <w:sz w:val="18"/>
                <w:szCs w:val="18"/>
              </w:rPr>
            </w:pPr>
          </w:p>
        </w:tc>
        <w:tc>
          <w:tcPr>
            <w:tcW w:w="1175" w:type="dxa"/>
            <w:tcBorders>
              <w:top w:val="nil"/>
              <w:left w:val="nil"/>
              <w:bottom w:val="nil"/>
              <w:right w:val="nil"/>
            </w:tcBorders>
            <w:noWrap/>
            <w:vAlign w:val="bottom"/>
          </w:tcPr>
          <w:p>
            <w:pPr>
              <w:rPr>
                <w:rFonts w:ascii="Arial" w:hAnsi="Arial" w:cs="Arial"/>
                <w:color w:val="000000"/>
                <w:sz w:val="18"/>
                <w:szCs w:val="18"/>
              </w:rPr>
            </w:pPr>
          </w:p>
        </w:tc>
        <w:tc>
          <w:tcPr>
            <w:tcW w:w="1113" w:type="dxa"/>
            <w:tcBorders>
              <w:top w:val="nil"/>
              <w:left w:val="nil"/>
              <w:bottom w:val="nil"/>
              <w:right w:val="nil"/>
            </w:tcBorders>
            <w:noWrap/>
            <w:vAlign w:val="bottom"/>
          </w:tcPr>
          <w:p>
            <w:pPr>
              <w:rPr>
                <w:rFonts w:ascii="Arial" w:hAnsi="Arial" w:cs="Arial"/>
                <w:color w:val="000000"/>
                <w:sz w:val="18"/>
                <w:szCs w:val="18"/>
              </w:rPr>
            </w:pPr>
          </w:p>
        </w:tc>
        <w:tc>
          <w:tcPr>
            <w:tcW w:w="3102"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公开02表</w:t>
            </w:r>
          </w:p>
        </w:tc>
      </w:tr>
      <w:tr>
        <w:tblPrEx>
          <w:tblCellMar>
            <w:top w:w="0" w:type="dxa"/>
            <w:left w:w="108" w:type="dxa"/>
            <w:bottom w:w="0" w:type="dxa"/>
            <w:right w:w="108" w:type="dxa"/>
          </w:tblCellMar>
        </w:tblPrEx>
        <w:trPr>
          <w:trHeight w:val="255" w:hRule="atLeast"/>
        </w:trPr>
        <w:tc>
          <w:tcPr>
            <w:tcW w:w="4584"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1415" w:type="dxa"/>
            <w:tcBorders>
              <w:top w:val="nil"/>
              <w:left w:val="nil"/>
              <w:bottom w:val="nil"/>
              <w:right w:val="nil"/>
            </w:tcBorders>
            <w:noWrap/>
            <w:vAlign w:val="bottom"/>
          </w:tcPr>
          <w:p>
            <w:pPr>
              <w:rPr>
                <w:rFonts w:ascii="Arial" w:hAnsi="Arial" w:cs="Arial"/>
                <w:color w:val="000000"/>
                <w:sz w:val="18"/>
                <w:szCs w:val="18"/>
              </w:rPr>
            </w:pPr>
          </w:p>
        </w:tc>
        <w:tc>
          <w:tcPr>
            <w:tcW w:w="1415" w:type="dxa"/>
            <w:tcBorders>
              <w:top w:val="nil"/>
              <w:left w:val="nil"/>
              <w:bottom w:val="nil"/>
              <w:right w:val="nil"/>
            </w:tcBorders>
            <w:noWrap/>
            <w:vAlign w:val="bottom"/>
          </w:tcPr>
          <w:p>
            <w:pPr>
              <w:rPr>
                <w:rFonts w:ascii="Arial" w:hAnsi="Arial" w:cs="Arial"/>
                <w:color w:val="000000"/>
                <w:sz w:val="18"/>
                <w:szCs w:val="18"/>
              </w:rPr>
            </w:pPr>
          </w:p>
        </w:tc>
        <w:tc>
          <w:tcPr>
            <w:tcW w:w="1165" w:type="dxa"/>
            <w:tcBorders>
              <w:top w:val="nil"/>
              <w:left w:val="nil"/>
              <w:bottom w:val="nil"/>
              <w:right w:val="nil"/>
            </w:tcBorders>
            <w:noWrap/>
            <w:vAlign w:val="bottom"/>
          </w:tcPr>
          <w:p>
            <w:pPr>
              <w:rPr>
                <w:rFonts w:ascii="Arial" w:hAnsi="Arial" w:cs="Arial"/>
                <w:color w:val="000000"/>
                <w:sz w:val="18"/>
                <w:szCs w:val="18"/>
              </w:rPr>
            </w:pPr>
          </w:p>
        </w:tc>
        <w:tc>
          <w:tcPr>
            <w:tcW w:w="1175" w:type="dxa"/>
            <w:tcBorders>
              <w:top w:val="nil"/>
              <w:left w:val="nil"/>
              <w:bottom w:val="nil"/>
              <w:right w:val="nil"/>
            </w:tcBorders>
            <w:noWrap/>
            <w:vAlign w:val="bottom"/>
          </w:tcPr>
          <w:p>
            <w:pPr>
              <w:rPr>
                <w:rFonts w:ascii="Arial" w:hAnsi="Arial" w:cs="Arial"/>
                <w:color w:val="000000"/>
                <w:sz w:val="18"/>
                <w:szCs w:val="18"/>
              </w:rPr>
            </w:pPr>
          </w:p>
        </w:tc>
        <w:tc>
          <w:tcPr>
            <w:tcW w:w="1113" w:type="dxa"/>
            <w:tcBorders>
              <w:top w:val="nil"/>
              <w:left w:val="nil"/>
              <w:bottom w:val="nil"/>
              <w:right w:val="nil"/>
            </w:tcBorders>
            <w:noWrap/>
            <w:vAlign w:val="bottom"/>
          </w:tcPr>
          <w:p>
            <w:pPr>
              <w:rPr>
                <w:rFonts w:ascii="Arial" w:hAnsi="Arial" w:cs="Arial"/>
                <w:color w:val="000000"/>
                <w:sz w:val="18"/>
                <w:szCs w:val="18"/>
              </w:rPr>
            </w:pPr>
          </w:p>
        </w:tc>
        <w:tc>
          <w:tcPr>
            <w:tcW w:w="3102"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26" w:hRule="atLeast"/>
        </w:trPr>
        <w:tc>
          <w:tcPr>
            <w:tcW w:w="458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项目</w:t>
            </w:r>
          </w:p>
        </w:tc>
        <w:tc>
          <w:tcPr>
            <w:tcW w:w="141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本年收入</w:t>
            </w:r>
          </w:p>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141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财政拨款</w:t>
            </w:r>
          </w:p>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收入</w:t>
            </w:r>
          </w:p>
        </w:tc>
        <w:tc>
          <w:tcPr>
            <w:tcW w:w="116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上级补助收入</w:t>
            </w:r>
          </w:p>
        </w:tc>
        <w:tc>
          <w:tcPr>
            <w:tcW w:w="11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事业收入</w:t>
            </w:r>
          </w:p>
        </w:tc>
        <w:tc>
          <w:tcPr>
            <w:tcW w:w="111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经营收入</w:t>
            </w:r>
          </w:p>
        </w:tc>
        <w:tc>
          <w:tcPr>
            <w:tcW w:w="125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附属单位上缴收入</w:t>
            </w:r>
          </w:p>
        </w:tc>
        <w:tc>
          <w:tcPr>
            <w:tcW w:w="184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其他收入</w:t>
            </w:r>
          </w:p>
        </w:tc>
      </w:tr>
      <w:tr>
        <w:tblPrEx>
          <w:tblCellMar>
            <w:top w:w="0" w:type="dxa"/>
            <w:left w:w="108" w:type="dxa"/>
            <w:bottom w:w="0" w:type="dxa"/>
            <w:right w:w="108" w:type="dxa"/>
          </w:tblCellMar>
        </w:tblPrEx>
        <w:trPr>
          <w:trHeight w:val="312"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功能分类科目编码</w:t>
            </w:r>
          </w:p>
        </w:tc>
        <w:tc>
          <w:tcPr>
            <w:tcW w:w="34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科目名称</w:t>
            </w: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3435"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3435"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41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6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1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57"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84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08" w:hRule="atLeast"/>
        </w:trPr>
        <w:tc>
          <w:tcPr>
            <w:tcW w:w="458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栏次</w:t>
            </w:r>
          </w:p>
        </w:tc>
        <w:tc>
          <w:tcPr>
            <w:tcW w:w="141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w:t>
            </w:r>
          </w:p>
        </w:tc>
        <w:tc>
          <w:tcPr>
            <w:tcW w:w="141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w:t>
            </w:r>
          </w:p>
        </w:tc>
        <w:tc>
          <w:tcPr>
            <w:tcW w:w="116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3</w:t>
            </w:r>
          </w:p>
        </w:tc>
        <w:tc>
          <w:tcPr>
            <w:tcW w:w="117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4</w:t>
            </w:r>
          </w:p>
        </w:tc>
        <w:tc>
          <w:tcPr>
            <w:tcW w:w="111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5</w:t>
            </w:r>
          </w:p>
        </w:tc>
        <w:tc>
          <w:tcPr>
            <w:tcW w:w="1257"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6</w:t>
            </w:r>
          </w:p>
        </w:tc>
        <w:tc>
          <w:tcPr>
            <w:tcW w:w="184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7</w:t>
            </w:r>
          </w:p>
        </w:tc>
      </w:tr>
      <w:tr>
        <w:tblPrEx>
          <w:tblCellMar>
            <w:top w:w="0" w:type="dxa"/>
            <w:left w:w="108" w:type="dxa"/>
            <w:bottom w:w="0" w:type="dxa"/>
            <w:right w:w="108" w:type="dxa"/>
          </w:tblCellMar>
        </w:tblPrEx>
        <w:trPr>
          <w:trHeight w:val="308" w:hRule="atLeast"/>
        </w:trPr>
        <w:tc>
          <w:tcPr>
            <w:tcW w:w="458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141.36</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141.36</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一般公共服务支出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群众团体事务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2012906</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工会事务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城乡社区管理事务</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2120199</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其他城乡社区管理事务支出</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140.67</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08"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3435"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41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6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1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57"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84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412" w:hRule="atLeast"/>
        </w:trPr>
        <w:tc>
          <w:tcPr>
            <w:tcW w:w="13969" w:type="dxa"/>
            <w:gridSpan w:val="9"/>
            <w:tcBorders>
              <w:top w:val="nil"/>
              <w:left w:val="nil"/>
              <w:bottom w:val="nil"/>
              <w:right w:val="nil"/>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4" w:type="dxa"/>
        <w:tblInd w:w="93" w:type="dxa"/>
        <w:tblLayout w:type="autofit"/>
        <w:tblCellMar>
          <w:top w:w="0" w:type="dxa"/>
          <w:left w:w="108" w:type="dxa"/>
          <w:bottom w:w="0" w:type="dxa"/>
          <w:right w:w="108" w:type="dxa"/>
        </w:tblCellMar>
      </w:tblPr>
      <w:tblGrid>
        <w:gridCol w:w="1149"/>
        <w:gridCol w:w="4458"/>
        <w:gridCol w:w="1321"/>
        <w:gridCol w:w="1321"/>
        <w:gridCol w:w="1191"/>
        <w:gridCol w:w="1061"/>
        <w:gridCol w:w="1061"/>
        <w:gridCol w:w="2422"/>
      </w:tblGrid>
      <w:tr>
        <w:tblPrEx>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5607" w:type="dxa"/>
            <w:gridSpan w:val="2"/>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2422"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公开03表</w:t>
            </w:r>
          </w:p>
        </w:tc>
      </w:tr>
      <w:tr>
        <w:tblPrEx>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2422"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本年支出</w:t>
            </w:r>
          </w:p>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19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06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06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经营</w:t>
            </w:r>
          </w:p>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c>
          <w:tcPr>
            <w:tcW w:w="2422"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45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45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45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22"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栏次</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w:t>
            </w:r>
          </w:p>
        </w:tc>
        <w:tc>
          <w:tcPr>
            <w:tcW w:w="119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3</w:t>
            </w:r>
          </w:p>
        </w:tc>
        <w:tc>
          <w:tcPr>
            <w:tcW w:w="106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61"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42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153.66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152.86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0.69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1.42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其他城乡社区管理事务支出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151.03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150.24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0.80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42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3984" w:type="dxa"/>
            <w:gridSpan w:val="8"/>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9" w:type="dxa"/>
        <w:tblInd w:w="93" w:type="dxa"/>
        <w:tblLayout w:type="fixed"/>
        <w:tblCellMar>
          <w:top w:w="0" w:type="dxa"/>
          <w:left w:w="108" w:type="dxa"/>
          <w:bottom w:w="0" w:type="dxa"/>
          <w:right w:w="108" w:type="dxa"/>
        </w:tblCellMar>
      </w:tblPr>
      <w:tblGrid>
        <w:gridCol w:w="3028"/>
        <w:gridCol w:w="106"/>
        <w:gridCol w:w="726"/>
        <w:gridCol w:w="1178"/>
        <w:gridCol w:w="3787"/>
        <w:gridCol w:w="580"/>
        <w:gridCol w:w="876"/>
        <w:gridCol w:w="1128"/>
        <w:gridCol w:w="1114"/>
        <w:gridCol w:w="1446"/>
      </w:tblGrid>
      <w:tr>
        <w:tblPrEx>
          <w:tblCellMar>
            <w:top w:w="0" w:type="dxa"/>
            <w:left w:w="108" w:type="dxa"/>
            <w:bottom w:w="0" w:type="dxa"/>
            <w:right w:w="108" w:type="dxa"/>
          </w:tblCellMar>
        </w:tblPrEx>
        <w:trPr>
          <w:trHeight w:val="390" w:hRule="atLeast"/>
        </w:trPr>
        <w:tc>
          <w:tcPr>
            <w:tcW w:w="13969"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028" w:type="dxa"/>
            <w:tcBorders>
              <w:top w:val="nil"/>
              <w:left w:val="nil"/>
              <w:bottom w:val="nil"/>
              <w:right w:val="nil"/>
            </w:tcBorders>
            <w:noWrap/>
            <w:vAlign w:val="bottom"/>
          </w:tcPr>
          <w:p>
            <w:pPr>
              <w:rPr>
                <w:rFonts w:ascii="Arial" w:hAnsi="Arial" w:cs="Arial"/>
                <w:color w:val="000000"/>
                <w:sz w:val="18"/>
                <w:szCs w:val="18"/>
              </w:rPr>
            </w:pPr>
          </w:p>
        </w:tc>
        <w:tc>
          <w:tcPr>
            <w:tcW w:w="832" w:type="dxa"/>
            <w:gridSpan w:val="2"/>
            <w:tcBorders>
              <w:top w:val="nil"/>
              <w:left w:val="nil"/>
              <w:bottom w:val="nil"/>
              <w:right w:val="nil"/>
            </w:tcBorders>
            <w:noWrap/>
            <w:vAlign w:val="bottom"/>
          </w:tcPr>
          <w:p>
            <w:pPr>
              <w:rPr>
                <w:rFonts w:ascii="Arial" w:hAnsi="Arial" w:cs="Arial"/>
                <w:color w:val="000000"/>
                <w:sz w:val="18"/>
                <w:szCs w:val="18"/>
              </w:rPr>
            </w:pPr>
          </w:p>
        </w:tc>
        <w:tc>
          <w:tcPr>
            <w:tcW w:w="1178" w:type="dxa"/>
            <w:tcBorders>
              <w:top w:val="nil"/>
              <w:left w:val="nil"/>
              <w:bottom w:val="nil"/>
              <w:right w:val="nil"/>
            </w:tcBorders>
            <w:noWrap/>
            <w:vAlign w:val="bottom"/>
          </w:tcPr>
          <w:p>
            <w:pPr>
              <w:rPr>
                <w:rFonts w:ascii="Arial" w:hAnsi="Arial" w:cs="Arial"/>
                <w:color w:val="000000"/>
                <w:sz w:val="18"/>
                <w:szCs w:val="18"/>
              </w:rPr>
            </w:pPr>
          </w:p>
        </w:tc>
        <w:tc>
          <w:tcPr>
            <w:tcW w:w="3787" w:type="dxa"/>
            <w:tcBorders>
              <w:top w:val="nil"/>
              <w:left w:val="nil"/>
              <w:bottom w:val="nil"/>
              <w:right w:val="nil"/>
            </w:tcBorders>
            <w:noWrap/>
            <w:vAlign w:val="bottom"/>
          </w:tcPr>
          <w:p>
            <w:pPr>
              <w:rPr>
                <w:rFonts w:ascii="Arial" w:hAnsi="Arial" w:cs="Arial"/>
                <w:color w:val="000000"/>
                <w:sz w:val="18"/>
                <w:szCs w:val="18"/>
              </w:rPr>
            </w:pPr>
          </w:p>
        </w:tc>
        <w:tc>
          <w:tcPr>
            <w:tcW w:w="580" w:type="dxa"/>
            <w:tcBorders>
              <w:top w:val="nil"/>
              <w:left w:val="nil"/>
              <w:bottom w:val="nil"/>
              <w:right w:val="nil"/>
            </w:tcBorders>
            <w:noWrap/>
            <w:vAlign w:val="bottom"/>
          </w:tcPr>
          <w:p>
            <w:pPr>
              <w:rPr>
                <w:rFonts w:ascii="Arial" w:hAnsi="Arial" w:cs="Arial"/>
                <w:color w:val="000000"/>
                <w:sz w:val="18"/>
                <w:szCs w:val="18"/>
              </w:rPr>
            </w:pPr>
          </w:p>
        </w:tc>
        <w:tc>
          <w:tcPr>
            <w:tcW w:w="876" w:type="dxa"/>
            <w:tcBorders>
              <w:top w:val="nil"/>
              <w:left w:val="nil"/>
              <w:bottom w:val="nil"/>
              <w:right w:val="nil"/>
            </w:tcBorders>
            <w:noWrap/>
            <w:vAlign w:val="bottom"/>
          </w:tcPr>
          <w:p>
            <w:pPr>
              <w:rPr>
                <w:rFonts w:ascii="Arial" w:hAnsi="Arial" w:cs="Arial"/>
                <w:color w:val="000000"/>
                <w:sz w:val="18"/>
                <w:szCs w:val="18"/>
              </w:rPr>
            </w:pPr>
          </w:p>
        </w:tc>
        <w:tc>
          <w:tcPr>
            <w:tcW w:w="1128" w:type="dxa"/>
            <w:tcBorders>
              <w:top w:val="nil"/>
              <w:left w:val="nil"/>
              <w:bottom w:val="nil"/>
              <w:right w:val="nil"/>
            </w:tcBorders>
            <w:noWrap/>
            <w:vAlign w:val="bottom"/>
          </w:tcPr>
          <w:p>
            <w:pPr>
              <w:rPr>
                <w:rFonts w:ascii="Arial" w:hAnsi="Arial" w:cs="Arial"/>
                <w:color w:val="000000"/>
                <w:sz w:val="18"/>
                <w:szCs w:val="18"/>
              </w:rPr>
            </w:pPr>
          </w:p>
        </w:tc>
        <w:tc>
          <w:tcPr>
            <w:tcW w:w="256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公开04表</w:t>
            </w:r>
          </w:p>
        </w:tc>
      </w:tr>
      <w:tr>
        <w:tblPrEx>
          <w:tblCellMar>
            <w:top w:w="0" w:type="dxa"/>
            <w:left w:w="108" w:type="dxa"/>
            <w:bottom w:w="0" w:type="dxa"/>
            <w:right w:w="108" w:type="dxa"/>
          </w:tblCellMar>
        </w:tblPrEx>
        <w:trPr>
          <w:trHeight w:val="255" w:hRule="atLeast"/>
        </w:trPr>
        <w:tc>
          <w:tcPr>
            <w:tcW w:w="3028"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832" w:type="dxa"/>
            <w:gridSpan w:val="2"/>
            <w:tcBorders>
              <w:top w:val="nil"/>
              <w:left w:val="nil"/>
              <w:bottom w:val="nil"/>
              <w:right w:val="nil"/>
            </w:tcBorders>
            <w:noWrap/>
            <w:vAlign w:val="bottom"/>
          </w:tcPr>
          <w:p>
            <w:pPr>
              <w:rPr>
                <w:rFonts w:ascii="Arial" w:hAnsi="Arial" w:cs="Arial"/>
                <w:color w:val="000000"/>
                <w:sz w:val="18"/>
                <w:szCs w:val="18"/>
              </w:rPr>
            </w:pPr>
          </w:p>
        </w:tc>
        <w:tc>
          <w:tcPr>
            <w:tcW w:w="1178" w:type="dxa"/>
            <w:tcBorders>
              <w:top w:val="nil"/>
              <w:left w:val="nil"/>
              <w:bottom w:val="nil"/>
              <w:right w:val="nil"/>
            </w:tcBorders>
            <w:noWrap/>
            <w:vAlign w:val="bottom"/>
          </w:tcPr>
          <w:p>
            <w:pPr>
              <w:rPr>
                <w:rFonts w:ascii="Arial" w:hAnsi="Arial" w:cs="Arial"/>
                <w:color w:val="000000"/>
                <w:sz w:val="18"/>
                <w:szCs w:val="18"/>
              </w:rPr>
            </w:pPr>
          </w:p>
        </w:tc>
        <w:tc>
          <w:tcPr>
            <w:tcW w:w="3787" w:type="dxa"/>
            <w:tcBorders>
              <w:top w:val="nil"/>
              <w:left w:val="nil"/>
              <w:bottom w:val="nil"/>
              <w:right w:val="nil"/>
            </w:tcBorders>
            <w:noWrap/>
            <w:vAlign w:val="bottom"/>
          </w:tcPr>
          <w:p>
            <w:pPr>
              <w:rPr>
                <w:rFonts w:ascii="Arial" w:hAnsi="Arial" w:cs="Arial"/>
                <w:color w:val="000000"/>
                <w:sz w:val="18"/>
                <w:szCs w:val="18"/>
              </w:rPr>
            </w:pPr>
          </w:p>
        </w:tc>
        <w:tc>
          <w:tcPr>
            <w:tcW w:w="580" w:type="dxa"/>
            <w:tcBorders>
              <w:top w:val="nil"/>
              <w:left w:val="nil"/>
              <w:bottom w:val="nil"/>
              <w:right w:val="nil"/>
            </w:tcBorders>
            <w:noWrap/>
            <w:vAlign w:val="bottom"/>
          </w:tcPr>
          <w:p>
            <w:pPr>
              <w:rPr>
                <w:rFonts w:ascii="Arial" w:hAnsi="Arial" w:cs="Arial"/>
                <w:color w:val="000000"/>
                <w:sz w:val="18"/>
                <w:szCs w:val="18"/>
              </w:rPr>
            </w:pPr>
          </w:p>
        </w:tc>
        <w:tc>
          <w:tcPr>
            <w:tcW w:w="876" w:type="dxa"/>
            <w:tcBorders>
              <w:top w:val="nil"/>
              <w:left w:val="nil"/>
              <w:bottom w:val="nil"/>
              <w:right w:val="nil"/>
            </w:tcBorders>
            <w:noWrap/>
            <w:vAlign w:val="bottom"/>
          </w:tcPr>
          <w:p>
            <w:pPr>
              <w:rPr>
                <w:rFonts w:ascii="Arial" w:hAnsi="Arial" w:cs="Arial"/>
                <w:color w:val="000000"/>
                <w:sz w:val="18"/>
                <w:szCs w:val="18"/>
              </w:rPr>
            </w:pPr>
          </w:p>
        </w:tc>
        <w:tc>
          <w:tcPr>
            <w:tcW w:w="1128" w:type="dxa"/>
            <w:tcBorders>
              <w:top w:val="nil"/>
              <w:left w:val="nil"/>
              <w:bottom w:val="nil"/>
              <w:right w:val="nil"/>
            </w:tcBorders>
            <w:noWrap/>
            <w:vAlign w:val="bottom"/>
          </w:tcPr>
          <w:p>
            <w:pPr>
              <w:rPr>
                <w:rFonts w:ascii="Arial" w:hAnsi="Arial" w:cs="Arial"/>
                <w:color w:val="000000"/>
                <w:sz w:val="18"/>
                <w:szCs w:val="18"/>
              </w:rPr>
            </w:pPr>
          </w:p>
        </w:tc>
        <w:tc>
          <w:tcPr>
            <w:tcW w:w="256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10" w:hRule="atLeast"/>
        </w:trPr>
        <w:tc>
          <w:tcPr>
            <w:tcW w:w="5038"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8931"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12" w:hRule="atLeast"/>
        </w:trPr>
        <w:tc>
          <w:tcPr>
            <w:tcW w:w="3134" w:type="dxa"/>
            <w:gridSpan w:val="2"/>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17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78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87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2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114"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44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134" w:type="dxa"/>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72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7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78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8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7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2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4"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4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w:t>
            </w:r>
          </w:p>
        </w:tc>
        <w:tc>
          <w:tcPr>
            <w:tcW w:w="117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w:t>
            </w:r>
          </w:p>
        </w:tc>
        <w:tc>
          <w:tcPr>
            <w:tcW w:w="87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2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44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141.36</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151.03</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151.03</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141.36</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153.66</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153.66</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12.30</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12.30</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78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26"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11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153.66</w:t>
            </w:r>
          </w:p>
        </w:tc>
        <w:tc>
          <w:tcPr>
            <w:tcW w:w="378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58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87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153.66</w:t>
            </w:r>
          </w:p>
        </w:tc>
        <w:tc>
          <w:tcPr>
            <w:tcW w:w="112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153.66</w:t>
            </w:r>
          </w:p>
        </w:tc>
        <w:tc>
          <w:tcPr>
            <w:tcW w:w="111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5" w:hRule="atLeast"/>
        </w:trPr>
        <w:tc>
          <w:tcPr>
            <w:tcW w:w="13969" w:type="dxa"/>
            <w:gridSpan w:val="10"/>
            <w:tcBorders>
              <w:top w:val="nil"/>
              <w:left w:val="nil"/>
              <w:bottom w:val="nil"/>
              <w:right w:val="nil"/>
            </w:tcBorders>
            <w:noWrap/>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注：本表反映单位本年度一般公共预算财政拨款、政府性基金预算财政拨款和国有资本经营预算财政拨款的总收支和年末结转结余情况。</w:t>
            </w:r>
          </w:p>
          <w:p>
            <w:pPr>
              <w:widowControl/>
              <w:jc w:val="left"/>
              <w:textAlignment w:val="center"/>
              <w:rPr>
                <w:rFonts w:ascii="宋体" w:hAnsi="宋体" w:cs="宋体"/>
                <w:color w:val="000000"/>
                <w:sz w:val="22"/>
              </w:rPr>
            </w:pPr>
            <w:r>
              <w:rPr>
                <w:rFonts w:hint="eastAsia" w:ascii="宋体" w:hAnsi="宋体" w:cs="宋体"/>
                <w:color w:val="000000"/>
                <w:kern w:val="0"/>
                <w:sz w:val="22"/>
              </w:rPr>
              <w:t>本表金额转换为万元时，因四舍五入可能存在尾差。</w:t>
            </w:r>
          </w:p>
        </w:tc>
      </w:tr>
    </w:tbl>
    <w:p>
      <w:pPr>
        <w:rPr>
          <w:rFonts w:ascii="宋体" w:hAnsi="宋体" w:cs="宋体"/>
          <w:sz w:val="2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54" w:type="dxa"/>
        <w:tblInd w:w="93" w:type="dxa"/>
        <w:tblLayout w:type="fixed"/>
        <w:tblCellMar>
          <w:top w:w="0" w:type="dxa"/>
          <w:left w:w="108" w:type="dxa"/>
          <w:bottom w:w="0" w:type="dxa"/>
          <w:right w:w="108" w:type="dxa"/>
        </w:tblCellMar>
      </w:tblPr>
      <w:tblGrid>
        <w:gridCol w:w="1506"/>
        <w:gridCol w:w="6099"/>
        <w:gridCol w:w="1618"/>
        <w:gridCol w:w="471"/>
        <w:gridCol w:w="1017"/>
        <w:gridCol w:w="1098"/>
        <w:gridCol w:w="2145"/>
      </w:tblGrid>
      <w:tr>
        <w:tblPrEx>
          <w:tblCellMar>
            <w:top w:w="0" w:type="dxa"/>
            <w:left w:w="108" w:type="dxa"/>
            <w:bottom w:w="0" w:type="dxa"/>
            <w:right w:w="108" w:type="dxa"/>
          </w:tblCellMar>
        </w:tblPrEx>
        <w:trPr>
          <w:trHeight w:val="390" w:hRule="atLeast"/>
        </w:trPr>
        <w:tc>
          <w:tcPr>
            <w:tcW w:w="13954"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7605" w:type="dxa"/>
            <w:gridSpan w:val="2"/>
            <w:tcBorders>
              <w:top w:val="nil"/>
              <w:left w:val="nil"/>
              <w:bottom w:val="nil"/>
              <w:right w:val="nil"/>
            </w:tcBorders>
            <w:noWrap/>
            <w:vAlign w:val="bottom"/>
          </w:tcPr>
          <w:p>
            <w:pPr>
              <w:rPr>
                <w:rFonts w:ascii="Arial" w:hAnsi="Arial" w:cs="Arial"/>
                <w:color w:val="000000"/>
                <w:sz w:val="18"/>
                <w:szCs w:val="18"/>
              </w:rPr>
            </w:pPr>
          </w:p>
        </w:tc>
        <w:tc>
          <w:tcPr>
            <w:tcW w:w="1618" w:type="dxa"/>
            <w:tcBorders>
              <w:top w:val="nil"/>
              <w:left w:val="nil"/>
              <w:bottom w:val="nil"/>
              <w:right w:val="nil"/>
            </w:tcBorders>
            <w:noWrap/>
            <w:vAlign w:val="bottom"/>
          </w:tcPr>
          <w:p>
            <w:pPr>
              <w:rPr>
                <w:rFonts w:ascii="Arial" w:hAnsi="Arial" w:cs="Arial"/>
                <w:color w:val="000000"/>
                <w:sz w:val="18"/>
                <w:szCs w:val="18"/>
              </w:rPr>
            </w:pPr>
          </w:p>
        </w:tc>
        <w:tc>
          <w:tcPr>
            <w:tcW w:w="1488" w:type="dxa"/>
            <w:gridSpan w:val="2"/>
            <w:tcBorders>
              <w:top w:val="nil"/>
              <w:left w:val="nil"/>
              <w:bottom w:val="nil"/>
              <w:right w:val="nil"/>
            </w:tcBorders>
            <w:noWrap/>
            <w:vAlign w:val="bottom"/>
          </w:tcPr>
          <w:p>
            <w:pPr>
              <w:rPr>
                <w:rFonts w:ascii="Arial" w:hAnsi="Arial" w:cs="Arial"/>
                <w:color w:val="000000"/>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公开05表</w:t>
            </w:r>
          </w:p>
        </w:tc>
      </w:tr>
      <w:tr>
        <w:tblPrEx>
          <w:tblCellMar>
            <w:top w:w="0" w:type="dxa"/>
            <w:left w:w="108" w:type="dxa"/>
            <w:bottom w:w="0" w:type="dxa"/>
            <w:right w:w="108" w:type="dxa"/>
          </w:tblCellMar>
        </w:tblPrEx>
        <w:trPr>
          <w:trHeight w:val="255" w:hRule="atLeast"/>
        </w:trPr>
        <w:tc>
          <w:tcPr>
            <w:tcW w:w="7605"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1618" w:type="dxa"/>
            <w:tcBorders>
              <w:top w:val="nil"/>
              <w:left w:val="nil"/>
              <w:bottom w:val="nil"/>
              <w:right w:val="nil"/>
            </w:tcBorders>
            <w:noWrap/>
            <w:vAlign w:val="bottom"/>
          </w:tcPr>
          <w:p>
            <w:pPr>
              <w:rPr>
                <w:rFonts w:ascii="Arial" w:hAnsi="Arial" w:cs="Arial"/>
                <w:color w:val="000000"/>
                <w:sz w:val="18"/>
                <w:szCs w:val="18"/>
              </w:rPr>
            </w:pPr>
          </w:p>
        </w:tc>
        <w:tc>
          <w:tcPr>
            <w:tcW w:w="1488" w:type="dxa"/>
            <w:gridSpan w:val="2"/>
            <w:tcBorders>
              <w:top w:val="nil"/>
              <w:left w:val="nil"/>
              <w:bottom w:val="nil"/>
              <w:right w:val="nil"/>
            </w:tcBorders>
            <w:noWrap/>
            <w:vAlign w:val="bottom"/>
          </w:tcPr>
          <w:p>
            <w:pPr>
              <w:rPr>
                <w:rFonts w:ascii="Arial" w:hAnsi="Arial" w:cs="Arial"/>
                <w:color w:val="000000"/>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760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6349" w:type="dxa"/>
            <w:gridSpan w:val="5"/>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150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609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089"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115"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14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60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8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15"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4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609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8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15"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14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7605"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089"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115" w:type="dxa"/>
            <w:gridSpan w:val="2"/>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14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7605"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153.66</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152.86</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0.52</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2120199</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其他城乡社区管理事务支出</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151.03</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150.24</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0.80</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609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8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115"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14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13954" w:type="dxa"/>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900"/>
        <w:gridCol w:w="2700"/>
        <w:gridCol w:w="243"/>
        <w:gridCol w:w="992"/>
        <w:gridCol w:w="762"/>
        <w:gridCol w:w="88"/>
        <w:gridCol w:w="1967"/>
        <w:gridCol w:w="585"/>
        <w:gridCol w:w="295"/>
        <w:gridCol w:w="697"/>
        <w:gridCol w:w="278"/>
        <w:gridCol w:w="573"/>
        <w:gridCol w:w="3118"/>
        <w:gridCol w:w="883"/>
      </w:tblGrid>
      <w:tr>
        <w:tblPrEx>
          <w:tblCellMar>
            <w:top w:w="0" w:type="dxa"/>
            <w:left w:w="108" w:type="dxa"/>
            <w:bottom w:w="0" w:type="dxa"/>
            <w:right w:w="108" w:type="dxa"/>
          </w:tblCellMar>
        </w:tblPrEx>
        <w:trPr>
          <w:trHeight w:val="390" w:hRule="atLeast"/>
        </w:trPr>
        <w:tc>
          <w:tcPr>
            <w:tcW w:w="14081" w:type="dxa"/>
            <w:gridSpan w:val="14"/>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55" w:hRule="atLeast"/>
        </w:trPr>
        <w:tc>
          <w:tcPr>
            <w:tcW w:w="3600" w:type="dxa"/>
            <w:gridSpan w:val="2"/>
            <w:tcBorders>
              <w:top w:val="nil"/>
              <w:left w:val="nil"/>
              <w:bottom w:val="nil"/>
              <w:right w:val="nil"/>
            </w:tcBorders>
            <w:noWrap/>
            <w:vAlign w:val="bottom"/>
          </w:tcPr>
          <w:p>
            <w:pPr>
              <w:rPr>
                <w:rFonts w:ascii="Arial" w:hAnsi="Arial" w:cs="Arial"/>
                <w:color w:val="000000"/>
                <w:sz w:val="18"/>
                <w:szCs w:val="18"/>
              </w:rPr>
            </w:pPr>
          </w:p>
        </w:tc>
        <w:tc>
          <w:tcPr>
            <w:tcW w:w="1235" w:type="dxa"/>
            <w:gridSpan w:val="2"/>
            <w:tcBorders>
              <w:top w:val="nil"/>
              <w:left w:val="nil"/>
              <w:bottom w:val="nil"/>
              <w:right w:val="nil"/>
            </w:tcBorders>
            <w:noWrap/>
            <w:vAlign w:val="bottom"/>
          </w:tcPr>
          <w:p>
            <w:pPr>
              <w:rPr>
                <w:rFonts w:ascii="Arial" w:hAnsi="Arial" w:cs="Arial"/>
                <w:color w:val="000000"/>
                <w:sz w:val="18"/>
                <w:szCs w:val="18"/>
              </w:rPr>
            </w:pPr>
          </w:p>
        </w:tc>
        <w:tc>
          <w:tcPr>
            <w:tcW w:w="762" w:type="dxa"/>
            <w:tcBorders>
              <w:top w:val="nil"/>
              <w:left w:val="nil"/>
              <w:bottom w:val="nil"/>
              <w:right w:val="nil"/>
            </w:tcBorders>
            <w:noWrap/>
            <w:vAlign w:val="bottom"/>
          </w:tcPr>
          <w:p>
            <w:pPr>
              <w:rPr>
                <w:rFonts w:ascii="Arial" w:hAnsi="Arial" w:cs="Arial"/>
                <w:color w:val="000000"/>
                <w:sz w:val="18"/>
                <w:szCs w:val="18"/>
              </w:rPr>
            </w:pPr>
          </w:p>
        </w:tc>
        <w:tc>
          <w:tcPr>
            <w:tcW w:w="2055" w:type="dxa"/>
            <w:gridSpan w:val="2"/>
            <w:tcBorders>
              <w:top w:val="nil"/>
              <w:left w:val="nil"/>
              <w:bottom w:val="nil"/>
              <w:right w:val="nil"/>
            </w:tcBorders>
            <w:noWrap/>
            <w:vAlign w:val="bottom"/>
          </w:tcPr>
          <w:p>
            <w:pPr>
              <w:rPr>
                <w:rFonts w:ascii="Arial" w:hAnsi="Arial" w:cs="Arial"/>
                <w:color w:val="000000"/>
                <w:sz w:val="18"/>
                <w:szCs w:val="18"/>
              </w:rPr>
            </w:pPr>
          </w:p>
        </w:tc>
        <w:tc>
          <w:tcPr>
            <w:tcW w:w="880" w:type="dxa"/>
            <w:gridSpan w:val="2"/>
            <w:tcBorders>
              <w:top w:val="nil"/>
              <w:left w:val="nil"/>
              <w:bottom w:val="nil"/>
              <w:right w:val="nil"/>
            </w:tcBorders>
            <w:noWrap/>
            <w:vAlign w:val="bottom"/>
          </w:tcPr>
          <w:p>
            <w:pPr>
              <w:rPr>
                <w:rFonts w:ascii="Arial" w:hAnsi="Arial" w:cs="Arial"/>
                <w:color w:val="000000"/>
                <w:sz w:val="18"/>
                <w:szCs w:val="18"/>
              </w:rPr>
            </w:pPr>
          </w:p>
        </w:tc>
        <w:tc>
          <w:tcPr>
            <w:tcW w:w="975" w:type="dxa"/>
            <w:gridSpan w:val="2"/>
            <w:tcBorders>
              <w:top w:val="nil"/>
              <w:left w:val="nil"/>
              <w:bottom w:val="nil"/>
              <w:right w:val="nil"/>
            </w:tcBorders>
            <w:noWrap/>
            <w:vAlign w:val="bottom"/>
          </w:tcPr>
          <w:p>
            <w:pPr>
              <w:rPr>
                <w:rFonts w:ascii="Arial" w:hAnsi="Arial" w:cs="Arial"/>
                <w:color w:val="000000"/>
                <w:sz w:val="18"/>
                <w:szCs w:val="18"/>
              </w:rPr>
            </w:pPr>
          </w:p>
        </w:tc>
        <w:tc>
          <w:tcPr>
            <w:tcW w:w="4574" w:type="dxa"/>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55" w:hRule="atLeast"/>
        </w:trPr>
        <w:tc>
          <w:tcPr>
            <w:tcW w:w="3600"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单位：许昌市房屋征收管理中心</w:t>
            </w:r>
          </w:p>
        </w:tc>
        <w:tc>
          <w:tcPr>
            <w:tcW w:w="1235" w:type="dxa"/>
            <w:gridSpan w:val="2"/>
            <w:tcBorders>
              <w:top w:val="nil"/>
              <w:left w:val="nil"/>
              <w:bottom w:val="nil"/>
              <w:right w:val="nil"/>
            </w:tcBorders>
            <w:noWrap/>
            <w:vAlign w:val="bottom"/>
          </w:tcPr>
          <w:p>
            <w:pPr>
              <w:rPr>
                <w:rFonts w:ascii="Arial" w:hAnsi="Arial" w:cs="Arial"/>
                <w:color w:val="000000"/>
                <w:sz w:val="18"/>
                <w:szCs w:val="18"/>
              </w:rPr>
            </w:pPr>
          </w:p>
        </w:tc>
        <w:tc>
          <w:tcPr>
            <w:tcW w:w="762" w:type="dxa"/>
            <w:tcBorders>
              <w:top w:val="nil"/>
              <w:left w:val="nil"/>
              <w:bottom w:val="nil"/>
              <w:right w:val="nil"/>
            </w:tcBorders>
            <w:noWrap/>
            <w:vAlign w:val="bottom"/>
          </w:tcPr>
          <w:p>
            <w:pPr>
              <w:rPr>
                <w:rFonts w:ascii="Arial" w:hAnsi="Arial" w:cs="Arial"/>
                <w:color w:val="000000"/>
                <w:sz w:val="18"/>
                <w:szCs w:val="18"/>
              </w:rPr>
            </w:pPr>
          </w:p>
        </w:tc>
        <w:tc>
          <w:tcPr>
            <w:tcW w:w="2055" w:type="dxa"/>
            <w:gridSpan w:val="2"/>
            <w:tcBorders>
              <w:top w:val="nil"/>
              <w:left w:val="nil"/>
              <w:bottom w:val="nil"/>
              <w:right w:val="nil"/>
            </w:tcBorders>
            <w:noWrap/>
            <w:vAlign w:val="bottom"/>
          </w:tcPr>
          <w:p>
            <w:pPr>
              <w:rPr>
                <w:rFonts w:ascii="Arial" w:hAnsi="Arial" w:cs="Arial"/>
                <w:color w:val="000000"/>
                <w:sz w:val="18"/>
                <w:szCs w:val="18"/>
              </w:rPr>
            </w:pPr>
          </w:p>
        </w:tc>
        <w:tc>
          <w:tcPr>
            <w:tcW w:w="880" w:type="dxa"/>
            <w:gridSpan w:val="2"/>
            <w:tcBorders>
              <w:top w:val="nil"/>
              <w:left w:val="nil"/>
              <w:bottom w:val="nil"/>
              <w:right w:val="nil"/>
            </w:tcBorders>
            <w:noWrap/>
            <w:vAlign w:val="bottom"/>
          </w:tcPr>
          <w:p>
            <w:pPr>
              <w:rPr>
                <w:rFonts w:ascii="Arial" w:hAnsi="Arial" w:cs="Arial"/>
                <w:color w:val="000000"/>
                <w:sz w:val="18"/>
                <w:szCs w:val="18"/>
              </w:rPr>
            </w:pPr>
          </w:p>
        </w:tc>
        <w:tc>
          <w:tcPr>
            <w:tcW w:w="975" w:type="dxa"/>
            <w:gridSpan w:val="2"/>
            <w:tcBorders>
              <w:top w:val="nil"/>
              <w:left w:val="nil"/>
              <w:bottom w:val="nil"/>
              <w:right w:val="nil"/>
            </w:tcBorders>
            <w:noWrap/>
            <w:vAlign w:val="bottom"/>
          </w:tcPr>
          <w:p>
            <w:pPr>
              <w:rPr>
                <w:rFonts w:ascii="Arial" w:hAnsi="Arial" w:cs="Arial"/>
                <w:color w:val="000000"/>
                <w:sz w:val="18"/>
                <w:szCs w:val="18"/>
              </w:rPr>
            </w:pPr>
          </w:p>
        </w:tc>
        <w:tc>
          <w:tcPr>
            <w:tcW w:w="4574" w:type="dxa"/>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83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246" w:type="dxa"/>
            <w:gridSpan w:val="10"/>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312" w:hRule="atLeast"/>
        </w:trPr>
        <w:tc>
          <w:tcPr>
            <w:tcW w:w="90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294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92"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5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2552"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92"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51"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311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83"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417" w:hRule="atLeast"/>
        </w:trPr>
        <w:tc>
          <w:tcPr>
            <w:tcW w:w="90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294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0"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52"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92"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51"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1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83"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143.44</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8.73</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44.63</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4.21</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53.76</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0.27</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9.05</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12.54</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0.19</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4.29</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0.51</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0.05</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9.33</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0.07</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0.58</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0.48</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0.69</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900"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94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552"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992"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51"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1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08" w:hRule="atLeast"/>
        </w:trPr>
        <w:tc>
          <w:tcPr>
            <w:tcW w:w="3843"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99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143.44</w:t>
            </w:r>
          </w:p>
        </w:tc>
        <w:tc>
          <w:tcPr>
            <w:tcW w:w="8363" w:type="dxa"/>
            <w:gridSpan w:val="9"/>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88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9.42</w:t>
            </w:r>
          </w:p>
        </w:tc>
      </w:tr>
      <w:tr>
        <w:tblPrEx>
          <w:tblCellMar>
            <w:top w:w="0" w:type="dxa"/>
            <w:left w:w="108" w:type="dxa"/>
            <w:bottom w:w="0" w:type="dxa"/>
            <w:right w:w="108" w:type="dxa"/>
          </w:tblCellMar>
        </w:tblPrEx>
        <w:trPr>
          <w:trHeight w:val="308" w:hRule="atLeast"/>
        </w:trPr>
        <w:tc>
          <w:tcPr>
            <w:tcW w:w="14081" w:type="dxa"/>
            <w:gridSpan w:val="14"/>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6" w:type="dxa"/>
        <w:tblInd w:w="93" w:type="dxa"/>
        <w:tblLayout w:type="autofit"/>
        <w:tblCellMar>
          <w:top w:w="0" w:type="dxa"/>
          <w:left w:w="108" w:type="dxa"/>
          <w:bottom w:w="0" w:type="dxa"/>
          <w:right w:w="108" w:type="dxa"/>
        </w:tblCellMar>
      </w:tblPr>
      <w:tblGrid>
        <w:gridCol w:w="1110"/>
        <w:gridCol w:w="1160"/>
        <w:gridCol w:w="1110"/>
        <w:gridCol w:w="1110"/>
        <w:gridCol w:w="1110"/>
        <w:gridCol w:w="1110"/>
        <w:gridCol w:w="1110"/>
        <w:gridCol w:w="1160"/>
        <w:gridCol w:w="1110"/>
        <w:gridCol w:w="1110"/>
        <w:gridCol w:w="1110"/>
        <w:gridCol w:w="1616"/>
      </w:tblGrid>
      <w:tr>
        <w:tblPrEx>
          <w:tblCellMar>
            <w:top w:w="0" w:type="dxa"/>
            <w:left w:w="108" w:type="dxa"/>
            <w:bottom w:w="0" w:type="dxa"/>
            <w:right w:w="108" w:type="dxa"/>
          </w:tblCellMar>
        </w:tblPrEx>
        <w:trPr>
          <w:trHeight w:val="540" w:hRule="atLeast"/>
        </w:trPr>
        <w:tc>
          <w:tcPr>
            <w:tcW w:w="13926"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3380" w:type="dxa"/>
            <w:gridSpan w:val="3"/>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2726"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公开07表</w:t>
            </w:r>
          </w:p>
        </w:tc>
      </w:tr>
      <w:tr>
        <w:tblPrEx>
          <w:tblCellMar>
            <w:top w:w="0" w:type="dxa"/>
            <w:left w:w="108" w:type="dxa"/>
            <w:bottom w:w="0" w:type="dxa"/>
            <w:right w:w="108" w:type="dxa"/>
          </w:tblCellMar>
        </w:tblPrEx>
        <w:trPr>
          <w:trHeight w:val="255" w:hRule="atLeast"/>
        </w:trPr>
        <w:tc>
          <w:tcPr>
            <w:tcW w:w="4490" w:type="dxa"/>
            <w:gridSpan w:val="4"/>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rPr>
              <w:t>单位：许昌市房屋征收管理中心</w:t>
            </w: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0" w:type="auto"/>
            <w:tcBorders>
              <w:top w:val="nil"/>
              <w:left w:val="nil"/>
              <w:bottom w:val="nil"/>
              <w:right w:val="nil"/>
            </w:tcBorders>
            <w:noWrap/>
            <w:vAlign w:val="bottom"/>
          </w:tcPr>
          <w:p>
            <w:pPr>
              <w:rPr>
                <w:rFonts w:ascii="Arial" w:hAnsi="Arial" w:cs="Arial"/>
                <w:color w:val="000000"/>
                <w:sz w:val="18"/>
                <w:szCs w:val="18"/>
              </w:rPr>
            </w:pPr>
          </w:p>
        </w:tc>
        <w:tc>
          <w:tcPr>
            <w:tcW w:w="2726"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671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7216"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11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1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1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61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11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1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6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61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1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6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61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15" w:hRule="atLeast"/>
        </w:trPr>
        <w:tc>
          <w:tcPr>
            <w:tcW w:w="13926" w:type="dxa"/>
            <w:gridSpan w:val="12"/>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 xml:space="preserve"> 说明：我单位没有预算安排的三公经费，也没有预算安排的三公支出，故本表无数据。</w:t>
      </w:r>
    </w:p>
    <w:tbl>
      <w:tblPr>
        <w:tblStyle w:val="5"/>
        <w:tblW w:w="13963" w:type="dxa"/>
        <w:tblInd w:w="93" w:type="dxa"/>
        <w:tblLayout w:type="fixed"/>
        <w:tblCellMar>
          <w:top w:w="0" w:type="dxa"/>
          <w:left w:w="108" w:type="dxa"/>
          <w:bottom w:w="0" w:type="dxa"/>
          <w:right w:w="108" w:type="dxa"/>
        </w:tblCellMar>
      </w:tblPr>
      <w:tblGrid>
        <w:gridCol w:w="1436"/>
        <w:gridCol w:w="1108"/>
        <w:gridCol w:w="2027"/>
        <w:gridCol w:w="1717"/>
        <w:gridCol w:w="1717"/>
        <w:gridCol w:w="1717"/>
        <w:gridCol w:w="1717"/>
        <w:gridCol w:w="2524"/>
      </w:tblGrid>
      <w:tr>
        <w:tblPrEx>
          <w:tblCellMar>
            <w:top w:w="0" w:type="dxa"/>
            <w:left w:w="108" w:type="dxa"/>
            <w:bottom w:w="0" w:type="dxa"/>
            <w:right w:w="108" w:type="dxa"/>
          </w:tblCellMar>
        </w:tblPrEx>
        <w:trPr>
          <w:trHeight w:val="353" w:hRule="atLeast"/>
        </w:trPr>
        <w:tc>
          <w:tcPr>
            <w:tcW w:w="13963" w:type="dxa"/>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69" w:hRule="atLeast"/>
        </w:trPr>
        <w:tc>
          <w:tcPr>
            <w:tcW w:w="4571" w:type="dxa"/>
            <w:gridSpan w:val="3"/>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108" w:type="dxa"/>
            <w:bottom w:w="0" w:type="dxa"/>
            <w:right w:w="108" w:type="dxa"/>
          </w:tblCellMar>
        </w:tblPrEx>
        <w:trPr>
          <w:trHeight w:val="369" w:hRule="atLeast"/>
        </w:trPr>
        <w:tc>
          <w:tcPr>
            <w:tcW w:w="4571" w:type="dxa"/>
            <w:gridSpan w:val="3"/>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rPr>
              <w:t>单位：许昌市房屋征收管理中心</w:t>
            </w: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69" w:hRule="atLeast"/>
        </w:trPr>
        <w:tc>
          <w:tcPr>
            <w:tcW w:w="254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02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71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151"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52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369" w:hRule="atLeast"/>
        </w:trPr>
        <w:tc>
          <w:tcPr>
            <w:tcW w:w="143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10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20"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52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69"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3963" w:type="dxa"/>
            <w:gridSpan w:val="8"/>
            <w:tcBorders>
              <w:top w:val="nil"/>
              <w:left w:val="nil"/>
              <w:bottom w:val="nil"/>
              <w:right w:val="nil"/>
            </w:tcBorders>
            <w:noWrap/>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注：本表反映单位本年度政府性基金预算财政拨款收入、支出及结转和结余情况。本表金额转换为万元时，因四舍五入可能存在尾差。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000000"/>
          <w:kern w:val="0"/>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年度收、支总计均为153.66万元。与上年度相比，收、支总计各减少4.94万元，下降3.11%。主要原因是本年度缩减公用经费支出。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141.36万元，其中：财政拨款收入141.36万元，占100.00%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年度支出合计153.66万元，其中：基本支出152.86万元，占99.48%；项目支出0.80万元，占0.52%；上缴上级支出0.00万元，占0.00%；经营支出0.00万元，占0.00%；对附属单位补助支出0.00万元，占0.00%。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年度财政拨款收、支总计均为153.66万元。与上年度相比，财政拨款收、支总计各减少4.94万元，下降3.11%。主要原因是上年度结余结转资金收回，本年度缩减公用经费支出。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年度一般公共预算财政拨款支出153.66万元，占支出合计的100.00%。与上年度相比，一般公共预算财政拨款支出增加9.5万元，增加6.59%。主要原因是本年度单位人员调出1人、新增2人，追加财政供养人员经费。</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153.66万元，主要用于以下方面：一般公共服务支出（类）0.69万元，占0.45%；社会保障和就业支出（类）1.42万元，占0.92%，卫生健康支出（类）0.52万元，占0.34%，城乡社区支出151.03万元，占98.29%。</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年度一般公共预算财政拨款支出年初预算为136.35万元，支出决算为153.66万元，完成年初预算的112.69%。其中：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年初预算为0.69万元，支出决算为0.69万元，完成年初预算的100.00%。决算数与年初预算数不存在差异。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2．社会保障和就业支出（类）行政事业单位养老支出（款）机关事业单位基本养老保险缴费支出（项）。</w:t>
      </w:r>
      <w:r>
        <w:rPr>
          <w:rFonts w:hint="eastAsia" w:ascii="仿宋_GB2312" w:hAnsi="仿宋_GB2312" w:eastAsia="仿宋_GB2312" w:cs="仿宋_GB2312"/>
          <w:sz w:val="32"/>
          <w:szCs w:val="32"/>
        </w:rPr>
        <w:t>年初预算为0.00万元，支出决算为1.42万元。决算数与年初预算数存在差异的主要原因是预算科目调整。</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3.卫生健康支出（类）行政事业单位医疗（款）事业单位医疗（项）。</w:t>
      </w:r>
      <w:r>
        <w:rPr>
          <w:rFonts w:hint="eastAsia" w:ascii="仿宋_GB2312" w:hAnsi="仿宋_GB2312" w:eastAsia="仿宋_GB2312" w:cs="仿宋_GB2312"/>
          <w:sz w:val="32"/>
          <w:szCs w:val="32"/>
        </w:rPr>
        <w:t>年初预算为0万元，支出决算为0.52万元。决算数与年初预算数存在差异的主要原因是预算科目调整。</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4．城乡社区支出（类）城乡社区管理事务（款）其他城乡社区管理事务支出（项）。</w:t>
      </w:r>
      <w:r>
        <w:rPr>
          <w:rFonts w:hint="eastAsia" w:ascii="仿宋_GB2312" w:hAnsi="仿宋_GB2312" w:eastAsia="仿宋_GB2312" w:cs="仿宋_GB2312"/>
          <w:sz w:val="32"/>
          <w:szCs w:val="32"/>
        </w:rPr>
        <w:t>年初预算为135.66万元，支出决算为151.03万元，完成年初预算的111.33%。决算数与年初预算数存在差异的主要原因是预算科目调整，另本年度单位人员调出1人、新增2人，追加财政供养人员经费。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152.86万元。其中：人员经费143.44万元，主要包括：基本工资、津贴补贴、绩效工资、机关事业单位基本养老保险缴费、职业年金缴费、职工基本医疗保险缴费、其他社会保障缴费、住房公积金；公用经费9.42万元，主要包括：办公费、印刷费、咨询费、邮电费、差旅费、维修（护）费、培训费、劳务费、工会经费、福利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年度“三公”经费财政拨款支出决算中，因公出国（境）费支出决算0.00万元，占0.00%；公务用车购置及运行费支出决算0.00万元，占0.00%；公务接待费支出决算0.00万元，占0.00%。具体情况如下：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r>
        <w:rPr>
          <w:rFonts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r>
        <w:rPr>
          <w:rFonts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ascii="仿宋_GB2312" w:hAnsi="仿宋_GB2312" w:eastAsia="仿宋_GB2312" w:cs="仿宋_GB2312"/>
          <w:sz w:val="32"/>
          <w:szCs w:val="32"/>
        </w:rPr>
        <w:t>0辆</w:t>
      </w:r>
      <w:r>
        <w:rPr>
          <w:rFonts w:hint="eastAsia"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tabs>
          <w:tab w:val="left" w:pos="6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我单位按照《中共许昌市委 许昌市人民政府关于全面实施预算绩效管理的实施意见》（许发〔2021〕13号）文件要求，对单位整体支出和项目支出开展全过程预算绩效管理。2021年度我单位按照财政部门的要求，采取事前申报绩效目标和指标、事中开展绩效日常监督，事后进行绩效评价的方式，建立了贯穿支出全过程绩效监管等管理模式，并将每年绩效结果运用到以后预算编制，使单位所有收支纳入预算管理，财政资金支出严格履行完整的审批程序和手续，资金使用符合预算批复用途合理合规，严格遵守绩效管理各项制度，圆满完成2021年度预算绩效目标。 </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2021年市财政批复资金已全部到位并按照预期要求完成支付，资金管理情况良好。资金使用符合预算批复用途，严格遵守财务管理各项规章制度，财务制度健全，会计核算规范，依据既定的评价指标体系，科学、规范评价2021年度部门预算绩效目标的完成情况。二是项目绩效自评情况。我单位共有0个项目批复了绩效目标，项目金额0.00万元。</w:t>
      </w:r>
    </w:p>
    <w:p>
      <w:pPr>
        <w:widowControl/>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基于项目预期目标的实现程度，对2021年度项目绩效进行自评，其中，0个项目评价等级为“优”，0个项目评价等级为“良”，0个项目评价等级为“中”，0个项目评价等级为“差”，绩效自评平均得分为/分。</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2021年我单位没有开展重点绩效评价的项目。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一、财政拨款收入：单位从同级政府财政部门取得的财政预算资金。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二、事业收入：事业单位开展专业业务活动及其辅助活动取得的收入。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三、上级补助收入：事业单位从主管部门和上级单位取得的非财政补助收入。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四、附属单位上缴收入：事业单位取得附属独立核算单位根据有关规定上缴的收入。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五、经营收入：事业单位在专业业务活动及其辅助活动之外开展非独立核算经营活动取得的收入。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六、其他收入：单位取得的除“财政拨款收入”、“事业收入”、“上级补助收入”、“附属单位上缴收入”、“经营收入”以外的各项收入。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八、基本支出：为保障机构正常运转、完成日常工作任务而发生的人员支出和公用支出。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九、项目支出：基本支出之外为完成特定行政任务和事业发展目标所发生的支出。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十二、工资福利支出：单位支付给在职职工和编制外长期聘用人员的各类劳动报酬，以及为上述人员缴纳的各项社会保险费等。</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十三、商品和服务支出：单位购买商品和服务的支出。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十四、对个人和家庭的补助支出：单位用于对个人和家庭的补助支出。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十五、年末结转：本年度或以前年度预算安排，已执行但尚未完成或因客观条件发生变化无法按原计划实施，需延迟到以后年度按有关规定继续使用的资金。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- 28 -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GFiZmFiOTU4ZjZkYzA4ZTExZGI4NzVhMjcxYTAxNG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B453D"/>
    <w:rsid w:val="001C32F0"/>
    <w:rsid w:val="001D61B1"/>
    <w:rsid w:val="001F5040"/>
    <w:rsid w:val="002006EB"/>
    <w:rsid w:val="00201ED2"/>
    <w:rsid w:val="00214AE1"/>
    <w:rsid w:val="00260D70"/>
    <w:rsid w:val="00281114"/>
    <w:rsid w:val="00282C7F"/>
    <w:rsid w:val="00287811"/>
    <w:rsid w:val="00292B4B"/>
    <w:rsid w:val="002A6352"/>
    <w:rsid w:val="002B3F94"/>
    <w:rsid w:val="002B5B7D"/>
    <w:rsid w:val="002C171D"/>
    <w:rsid w:val="002E6A86"/>
    <w:rsid w:val="002E7D35"/>
    <w:rsid w:val="00304D04"/>
    <w:rsid w:val="00305B88"/>
    <w:rsid w:val="00315FEB"/>
    <w:rsid w:val="0041489C"/>
    <w:rsid w:val="0042585F"/>
    <w:rsid w:val="00445CAC"/>
    <w:rsid w:val="00472E19"/>
    <w:rsid w:val="00487869"/>
    <w:rsid w:val="004902E1"/>
    <w:rsid w:val="004921FE"/>
    <w:rsid w:val="004D5275"/>
    <w:rsid w:val="004F63DB"/>
    <w:rsid w:val="00505190"/>
    <w:rsid w:val="00507364"/>
    <w:rsid w:val="005112AC"/>
    <w:rsid w:val="005222AF"/>
    <w:rsid w:val="00546F7C"/>
    <w:rsid w:val="00561966"/>
    <w:rsid w:val="00573E19"/>
    <w:rsid w:val="0058297F"/>
    <w:rsid w:val="00590A02"/>
    <w:rsid w:val="005A0C2F"/>
    <w:rsid w:val="005B1AE2"/>
    <w:rsid w:val="005C1872"/>
    <w:rsid w:val="005C58CC"/>
    <w:rsid w:val="005D1F9C"/>
    <w:rsid w:val="005D51AD"/>
    <w:rsid w:val="005E3397"/>
    <w:rsid w:val="00600BF6"/>
    <w:rsid w:val="00607D67"/>
    <w:rsid w:val="006228C4"/>
    <w:rsid w:val="0063639D"/>
    <w:rsid w:val="00636C37"/>
    <w:rsid w:val="006512DD"/>
    <w:rsid w:val="00656BEF"/>
    <w:rsid w:val="00656D75"/>
    <w:rsid w:val="00657E86"/>
    <w:rsid w:val="00673EF7"/>
    <w:rsid w:val="006841E9"/>
    <w:rsid w:val="0069449E"/>
    <w:rsid w:val="006C07F0"/>
    <w:rsid w:val="006C644A"/>
    <w:rsid w:val="006C7D84"/>
    <w:rsid w:val="0070723B"/>
    <w:rsid w:val="007148E8"/>
    <w:rsid w:val="00733DAA"/>
    <w:rsid w:val="00742BA0"/>
    <w:rsid w:val="00753545"/>
    <w:rsid w:val="00764156"/>
    <w:rsid w:val="007706D7"/>
    <w:rsid w:val="007879ED"/>
    <w:rsid w:val="007A48A3"/>
    <w:rsid w:val="007B3994"/>
    <w:rsid w:val="007C029F"/>
    <w:rsid w:val="007C7F49"/>
    <w:rsid w:val="007D2A21"/>
    <w:rsid w:val="007F6A82"/>
    <w:rsid w:val="0084158B"/>
    <w:rsid w:val="00843461"/>
    <w:rsid w:val="008651E7"/>
    <w:rsid w:val="00872946"/>
    <w:rsid w:val="0088023A"/>
    <w:rsid w:val="008858FB"/>
    <w:rsid w:val="00894B41"/>
    <w:rsid w:val="008B5427"/>
    <w:rsid w:val="008C7CD0"/>
    <w:rsid w:val="00903F6B"/>
    <w:rsid w:val="009173F9"/>
    <w:rsid w:val="009308CB"/>
    <w:rsid w:val="00950270"/>
    <w:rsid w:val="00962F58"/>
    <w:rsid w:val="00973488"/>
    <w:rsid w:val="00975A04"/>
    <w:rsid w:val="00987E71"/>
    <w:rsid w:val="009E7E13"/>
    <w:rsid w:val="009F0FBB"/>
    <w:rsid w:val="009F48B1"/>
    <w:rsid w:val="009F546E"/>
    <w:rsid w:val="00A079F0"/>
    <w:rsid w:val="00A42F43"/>
    <w:rsid w:val="00A50F7D"/>
    <w:rsid w:val="00A51982"/>
    <w:rsid w:val="00A57BF7"/>
    <w:rsid w:val="00A639B4"/>
    <w:rsid w:val="00A71DC1"/>
    <w:rsid w:val="00A83D8A"/>
    <w:rsid w:val="00A93E7D"/>
    <w:rsid w:val="00AA260E"/>
    <w:rsid w:val="00AA44CB"/>
    <w:rsid w:val="00AA67CD"/>
    <w:rsid w:val="00AB7E33"/>
    <w:rsid w:val="00AC1A3F"/>
    <w:rsid w:val="00AD6761"/>
    <w:rsid w:val="00AE2FEA"/>
    <w:rsid w:val="00AE487B"/>
    <w:rsid w:val="00AE600E"/>
    <w:rsid w:val="00AF0AF1"/>
    <w:rsid w:val="00AF6420"/>
    <w:rsid w:val="00B0083B"/>
    <w:rsid w:val="00B01B44"/>
    <w:rsid w:val="00B040BC"/>
    <w:rsid w:val="00B209B8"/>
    <w:rsid w:val="00B20BBC"/>
    <w:rsid w:val="00B249F3"/>
    <w:rsid w:val="00B274F9"/>
    <w:rsid w:val="00B649BE"/>
    <w:rsid w:val="00B653A5"/>
    <w:rsid w:val="00B710DD"/>
    <w:rsid w:val="00BD2D85"/>
    <w:rsid w:val="00BE5A85"/>
    <w:rsid w:val="00BF4E6A"/>
    <w:rsid w:val="00BF5718"/>
    <w:rsid w:val="00C13474"/>
    <w:rsid w:val="00C3106E"/>
    <w:rsid w:val="00C345EB"/>
    <w:rsid w:val="00C60609"/>
    <w:rsid w:val="00C91D37"/>
    <w:rsid w:val="00C95CC1"/>
    <w:rsid w:val="00CA3F44"/>
    <w:rsid w:val="00CB03ED"/>
    <w:rsid w:val="00CD756E"/>
    <w:rsid w:val="00CE212D"/>
    <w:rsid w:val="00CE4B38"/>
    <w:rsid w:val="00CF69EF"/>
    <w:rsid w:val="00D1321A"/>
    <w:rsid w:val="00D30ADF"/>
    <w:rsid w:val="00D33CF8"/>
    <w:rsid w:val="00D51D4A"/>
    <w:rsid w:val="00D6315E"/>
    <w:rsid w:val="00D652C2"/>
    <w:rsid w:val="00D74EE2"/>
    <w:rsid w:val="00D83E19"/>
    <w:rsid w:val="00D86CAD"/>
    <w:rsid w:val="00DA00C9"/>
    <w:rsid w:val="00DB200E"/>
    <w:rsid w:val="00DB65F5"/>
    <w:rsid w:val="00DC2550"/>
    <w:rsid w:val="00DE3A1D"/>
    <w:rsid w:val="00E01C3E"/>
    <w:rsid w:val="00E13099"/>
    <w:rsid w:val="00E4339F"/>
    <w:rsid w:val="00E60B05"/>
    <w:rsid w:val="00E629EA"/>
    <w:rsid w:val="00E6777C"/>
    <w:rsid w:val="00E85823"/>
    <w:rsid w:val="00E97AF4"/>
    <w:rsid w:val="00EA366D"/>
    <w:rsid w:val="00EA4718"/>
    <w:rsid w:val="00EB05A3"/>
    <w:rsid w:val="00ED38B7"/>
    <w:rsid w:val="00EE051D"/>
    <w:rsid w:val="00EE64B7"/>
    <w:rsid w:val="00F0131A"/>
    <w:rsid w:val="00F14C17"/>
    <w:rsid w:val="00F17041"/>
    <w:rsid w:val="00F218CF"/>
    <w:rsid w:val="00F33E5E"/>
    <w:rsid w:val="00F44937"/>
    <w:rsid w:val="00F61A47"/>
    <w:rsid w:val="00F84422"/>
    <w:rsid w:val="00F95455"/>
    <w:rsid w:val="00FA574D"/>
    <w:rsid w:val="00FC2588"/>
    <w:rsid w:val="00FE7AD9"/>
    <w:rsid w:val="01322275"/>
    <w:rsid w:val="01DC6F05"/>
    <w:rsid w:val="0292541B"/>
    <w:rsid w:val="02A3489A"/>
    <w:rsid w:val="02CA138D"/>
    <w:rsid w:val="033646FC"/>
    <w:rsid w:val="03C75F80"/>
    <w:rsid w:val="0478364D"/>
    <w:rsid w:val="053D4C0D"/>
    <w:rsid w:val="0557532E"/>
    <w:rsid w:val="0799329C"/>
    <w:rsid w:val="08397436"/>
    <w:rsid w:val="086F16A7"/>
    <w:rsid w:val="0A0F7225"/>
    <w:rsid w:val="0A2B7D82"/>
    <w:rsid w:val="0ADC40E9"/>
    <w:rsid w:val="0AE607F4"/>
    <w:rsid w:val="0B2D3993"/>
    <w:rsid w:val="0B386127"/>
    <w:rsid w:val="0B451598"/>
    <w:rsid w:val="0BEC73F4"/>
    <w:rsid w:val="0C392698"/>
    <w:rsid w:val="10BD36F6"/>
    <w:rsid w:val="11A6321C"/>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B020AF"/>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BCE0E00"/>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3FEFBE81"/>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1E47539"/>
    <w:rsid w:val="53906AE1"/>
    <w:rsid w:val="54F46F60"/>
    <w:rsid w:val="55A37BEA"/>
    <w:rsid w:val="55FAC8D8"/>
    <w:rsid w:val="56362CD2"/>
    <w:rsid w:val="5784687B"/>
    <w:rsid w:val="57846959"/>
    <w:rsid w:val="578E6A87"/>
    <w:rsid w:val="57FB5ACD"/>
    <w:rsid w:val="5A392331"/>
    <w:rsid w:val="5AC2203A"/>
    <w:rsid w:val="5CBB3334"/>
    <w:rsid w:val="5D115FAF"/>
    <w:rsid w:val="61045E8B"/>
    <w:rsid w:val="62811722"/>
    <w:rsid w:val="62E75A72"/>
    <w:rsid w:val="637D26B6"/>
    <w:rsid w:val="64571880"/>
    <w:rsid w:val="649125B6"/>
    <w:rsid w:val="64DA14CA"/>
    <w:rsid w:val="652F4C1A"/>
    <w:rsid w:val="666D37F1"/>
    <w:rsid w:val="67087D8F"/>
    <w:rsid w:val="671F687E"/>
    <w:rsid w:val="67BB6F55"/>
    <w:rsid w:val="67F415F8"/>
    <w:rsid w:val="682640D1"/>
    <w:rsid w:val="684B73E5"/>
    <w:rsid w:val="6A047A2A"/>
    <w:rsid w:val="6A7757B5"/>
    <w:rsid w:val="6EFB7548"/>
    <w:rsid w:val="6F3831C3"/>
    <w:rsid w:val="6F697ECC"/>
    <w:rsid w:val="6F8B71C1"/>
    <w:rsid w:val="6FF6F0B1"/>
    <w:rsid w:val="70753482"/>
    <w:rsid w:val="707B522A"/>
    <w:rsid w:val="717FCF0A"/>
    <w:rsid w:val="73194D05"/>
    <w:rsid w:val="73A83B0E"/>
    <w:rsid w:val="744D3EF9"/>
    <w:rsid w:val="74794411"/>
    <w:rsid w:val="75867C40"/>
    <w:rsid w:val="75B10B26"/>
    <w:rsid w:val="76432199"/>
    <w:rsid w:val="76F44829"/>
    <w:rsid w:val="77A267C0"/>
    <w:rsid w:val="78882278"/>
    <w:rsid w:val="78B118A6"/>
    <w:rsid w:val="79135044"/>
    <w:rsid w:val="797E1689"/>
    <w:rsid w:val="7A7D0F99"/>
    <w:rsid w:val="7BDF4D1C"/>
    <w:rsid w:val="7C7D5D19"/>
    <w:rsid w:val="7D7E6D6A"/>
    <w:rsid w:val="7DFEF254"/>
    <w:rsid w:val="7E071341"/>
    <w:rsid w:val="7E4A0E7C"/>
    <w:rsid w:val="7EFD449D"/>
    <w:rsid w:val="7EFDF2ED"/>
    <w:rsid w:val="7F3F4A70"/>
    <w:rsid w:val="7F48EE89"/>
    <w:rsid w:val="7FF68D04"/>
    <w:rsid w:val="7FFF92FD"/>
    <w:rsid w:val="8F760D9B"/>
    <w:rsid w:val="BB7B2742"/>
    <w:rsid w:val="BFC7432E"/>
    <w:rsid w:val="CDF9E5B0"/>
    <w:rsid w:val="D7EF0564"/>
    <w:rsid w:val="D7FB2388"/>
    <w:rsid w:val="D7FF1A8A"/>
    <w:rsid w:val="DEF7C484"/>
    <w:rsid w:val="DFFF1CF6"/>
    <w:rsid w:val="E7BBAFCC"/>
    <w:rsid w:val="E7BED38A"/>
    <w:rsid w:val="EFBF6D3B"/>
    <w:rsid w:val="F15F4BAB"/>
    <w:rsid w:val="F9FBC184"/>
    <w:rsid w:val="FEAE8786"/>
    <w:rsid w:val="FEEF96DF"/>
    <w:rsid w:val="FFBFAED4"/>
    <w:rsid w:val="FFEC3E70"/>
    <w:rsid w:val="FFEF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1725</Words>
  <Characters>9839</Characters>
  <Lines>81</Lines>
  <Paragraphs>23</Paragraphs>
  <TotalTime>67</TotalTime>
  <ScaleCrop>false</ScaleCrop>
  <LinksUpToDate>false</LinksUpToDate>
  <CharactersWithSpaces>11541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2023-02-16T08:56:00Z</dcterms:created>
  <dc:creator>管理者</dc:creator>
  <cp:lastModifiedBy>huanghe</cp:lastModifiedBy>
  <cp:lastPrinted>2022-09-11T01:54:00Z</cp:lastPrinted>
  <dcterms:modified xsi:type="dcterms:W3CDTF">2023-05-10T17:00:29Z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8CA4997A90B341E69FE9F7AF251F6BAA</vt:lpwstr>
  </property>
</Properties>
</file>