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许昌市房产交易租赁管理处</w:t>
      </w:r>
      <w:r>
        <w:rPr>
          <w:rFonts w:hint="default"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ind w:firstLine="640" w:firstLineChars="200"/>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ind w:firstLine="720" w:firstLineChars="200"/>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许昌市房产交易租赁管理处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第一部分</w:t>
      </w: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color w:val="auto"/>
          <w:sz w:val="48"/>
          <w:szCs w:val="48"/>
          <w:highlight w:val="none"/>
          <w:lang w:val="en-US" w:eastAsia="zh-CN"/>
        </w:rPr>
        <w:t>许昌市房产交易租赁</w:t>
      </w:r>
      <w:r>
        <w:rPr>
          <w:rFonts w:hint="default" w:ascii="黑体" w:hAnsi="黑体" w:eastAsia="黑体" w:cs="黑体"/>
          <w:color w:val="auto"/>
          <w:sz w:val="48"/>
          <w:szCs w:val="48"/>
          <w:highlight w:val="none"/>
          <w:lang w:eastAsia="zh-CN"/>
        </w:rPr>
        <w:t>管</w:t>
      </w:r>
      <w:r>
        <w:rPr>
          <w:rFonts w:hint="eastAsia" w:ascii="黑体" w:hAnsi="黑体" w:eastAsia="黑体" w:cs="黑体"/>
          <w:color w:val="auto"/>
          <w:sz w:val="48"/>
          <w:szCs w:val="48"/>
          <w:highlight w:val="none"/>
          <w:lang w:val="en-US" w:eastAsia="zh-CN"/>
        </w:rPr>
        <w:t>理处</w:t>
      </w:r>
      <w:r>
        <w:rPr>
          <w:rFonts w:hint="eastAsia" w:ascii="黑体" w:hAnsi="黑体" w:eastAsia="黑体" w:cs="黑体"/>
          <w:sz w:val="48"/>
          <w:szCs w:val="48"/>
          <w:highlight w:val="none"/>
        </w:rPr>
        <w:t>概况</w:t>
      </w:r>
    </w:p>
    <w:p>
      <w:pPr>
        <w:widowControl/>
        <w:ind w:firstLine="960" w:firstLineChars="200"/>
        <w:jc w:val="left"/>
        <w:outlineLvl w:val="1"/>
        <w:rPr>
          <w:rFonts w:ascii="黑体" w:hAnsi="黑体" w:eastAsia="黑体" w:cs="黑体"/>
          <w:kern w:val="0"/>
          <w:sz w:val="48"/>
          <w:szCs w:val="4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根据许昌市机构编制委员会（许编[2005]38号）文件规定，许昌市房产交易租赁管理处为许昌市住房和城乡建设局下属单位，单位性质自收自支，主要负责贯彻房地产相关政策的法律法规，我单位主要职责为：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1.负责贯彻执行国家房地产法律、法规和政策，制定房产交易管理的具体制度和办法并对房产交易市场进行指导、监督、管理和服务；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2.负责市区房屋交易过户管理工作；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3.负责市区城市商品房预售管理及资金监管工作；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4.负责市区预售商品房合同备案管理工作；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5.负责市区房屋租赁登记备案工作以及房屋租赁登记档案管理和数据汇总上报等工作；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6.负责全市个人住房信息系统的运行以及数据发布和数据上报工作；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黑体" w:eastAsia="黑体" w:cs="黑体"/>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7.负责市区房地产中介机构备案及监督管理。</w:t>
      </w:r>
    </w:p>
    <w:p>
      <w:pPr>
        <w:widowControl/>
        <w:numPr>
          <w:ilvl w:val="0"/>
          <w:numId w:val="0"/>
        </w:numPr>
        <w:ind w:left="0" w:leftChars="0"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二、</w:t>
      </w:r>
      <w:r>
        <w:rPr>
          <w:rFonts w:hint="eastAsia" w:ascii="黑体" w:hAnsi="黑体" w:eastAsia="黑体" w:cs="黑体"/>
          <w:kern w:val="0"/>
          <w:sz w:val="32"/>
          <w:szCs w:val="32"/>
          <w:highlight w:val="none"/>
        </w:rPr>
        <w:t>机构设置</w:t>
      </w:r>
    </w:p>
    <w:p>
      <w:pPr>
        <w:widowControl/>
        <w:numPr>
          <w:ilvl w:val="0"/>
          <w:numId w:val="0"/>
        </w:numPr>
        <w:ind w:left="0" w:leftChars="0"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许昌市房产交易租赁管理处内设机构9个，包括：办公室、交易科、租赁办、预售科、法制科、信息科、财务科、稽核科、中介管理科。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许昌市房产交易租赁管理处单位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黑体" w:hAnsi="宋体" w:eastAsia="黑体" w:cs="宋体"/>
          <w:color w:val="auto"/>
          <w:kern w:val="0"/>
          <w:sz w:val="28"/>
          <w:szCs w:val="28"/>
          <w:highlight w:val="none"/>
          <w:lang w:val="en-US" w:eastAsia="zh-CN"/>
        </w:rPr>
        <w:sectPr>
          <w:footerReference r:id="rId3" w:type="default"/>
          <w:footerReference r:id="rId4" w:type="even"/>
          <w:pgSz w:w="11906" w:h="16838"/>
          <w:pgMar w:top="1440" w:right="1800" w:bottom="1440" w:left="1800" w:header="720" w:footer="720" w:gutter="0"/>
          <w:pgNumType w:fmt="numberInDash" w:start="2"/>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1.许昌市房产交易租赁管理处</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4920"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2"/>
        <w:gridCol w:w="817"/>
        <w:gridCol w:w="1386"/>
        <w:gridCol w:w="4413"/>
        <w:gridCol w:w="831"/>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2"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69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7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867.13</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867.13</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306.79</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3"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1,173.92</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20"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3911"/>
        <w:gridCol w:w="1043"/>
        <w:gridCol w:w="1541"/>
        <w:gridCol w:w="930"/>
        <w:gridCol w:w="1705"/>
        <w:gridCol w:w="860"/>
        <w:gridCol w:w="1212"/>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4429" w:type="pct"/>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57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7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0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0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867.13</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867.13</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62.29</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62.29</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其他建筑业支出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293" w:right="1440" w:bottom="1293" w:left="1440" w:header="720" w:footer="720" w:gutter="0"/>
          <w:pgNumType w:fmt="numberInDash"/>
          <w:cols w:space="720" w:num="1"/>
          <w:rtlGutter w:val="0"/>
          <w:docGrid w:type="lines" w:linePitch="312" w:charSpace="0"/>
        </w:sectPr>
      </w:pPr>
    </w:p>
    <w:tbl>
      <w:tblPr>
        <w:tblStyle w:val="5"/>
        <w:tblW w:w="4931" w:type="pct"/>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0"/>
        <w:gridCol w:w="3802"/>
        <w:gridCol w:w="1580"/>
        <w:gridCol w:w="1186"/>
        <w:gridCol w:w="1155"/>
        <w:gridCol w:w="960"/>
        <w:gridCol w:w="1172"/>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33"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76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4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1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76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对附属单位</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5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ind w:firstLine="660" w:firstLineChars="3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1,167.12</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1,143.92</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其他建筑业支出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463" w:right="1440" w:bottom="1463" w:left="1440" w:header="720" w:footer="720" w:gutter="0"/>
          <w:pgNumType w:fmt="numberInDash"/>
          <w:cols w:space="720" w:num="1"/>
          <w:rtlGutter w:val="0"/>
          <w:docGrid w:type="lines" w:linePitch="312" w:charSpace="0"/>
        </w:sectPr>
      </w:pPr>
    </w:p>
    <w:tbl>
      <w:tblPr>
        <w:tblStyle w:val="5"/>
        <w:tblW w:w="4915" w:type="pct"/>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7"/>
        <w:gridCol w:w="600"/>
        <w:gridCol w:w="1215"/>
        <w:gridCol w:w="3525"/>
        <w:gridCol w:w="555"/>
        <w:gridCol w:w="1169"/>
        <w:gridCol w:w="1081"/>
        <w:gridCol w:w="1087"/>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45" w:type="pct"/>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55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8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15"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3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6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1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一般公共预</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算财政拨款</w:t>
            </w:r>
          </w:p>
        </w:tc>
        <w:tc>
          <w:tcPr>
            <w:tcW w:w="39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3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867.13</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ind w:firstLine="441"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867.13</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1,167.12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1,167.12</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306.79</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306.79</w:t>
            </w: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3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1,173.92</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1,173.92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1,173.92</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30"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8"/>
        <w:gridCol w:w="4277"/>
        <w:gridCol w:w="3159"/>
        <w:gridCol w:w="2686"/>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000" w:type="pct"/>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9"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101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89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01"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30"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1,167.12</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1,143.92</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156.78</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其他建筑业支出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406" w:right="1440" w:bottom="1803" w:left="1440" w:header="720" w:footer="720" w:gutter="0"/>
          <w:pgNumType w:fmt="numberInDash"/>
          <w:cols w:space="720" w:num="1"/>
          <w:rtlGutter w:val="0"/>
          <w:docGrid w:type="lines" w:linePitch="312" w:charSpace="0"/>
        </w:sectPr>
      </w:pPr>
    </w:p>
    <w:tbl>
      <w:tblPr>
        <w:tblStyle w:val="5"/>
        <w:tblW w:w="13995"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2776"/>
        <w:gridCol w:w="1102"/>
        <w:gridCol w:w="818"/>
        <w:gridCol w:w="2250"/>
        <w:gridCol w:w="899"/>
        <w:gridCol w:w="766"/>
        <w:gridCol w:w="274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39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95"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65"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18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0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993.98</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292.11</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养老保险缴费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47.80</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培训费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赠与</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1,052.24</w:t>
            </w:r>
          </w:p>
        </w:tc>
        <w:tc>
          <w:tcPr>
            <w:tcW w:w="747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20" w:type="pct"/>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046"/>
        <w:gridCol w:w="1338"/>
        <w:gridCol w:w="1099"/>
        <w:gridCol w:w="1347"/>
        <w:gridCol w:w="1096"/>
        <w:gridCol w:w="969"/>
        <w:gridCol w:w="1016"/>
        <w:gridCol w:w="1338"/>
        <w:gridCol w:w="964"/>
        <w:gridCol w:w="1068"/>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43" w:type="pct"/>
            <w:gridSpan w:val="11"/>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55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9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1"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37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9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2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9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8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5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272"/>
        <w:gridCol w:w="1163"/>
        <w:gridCol w:w="1618"/>
        <w:gridCol w:w="1367"/>
        <w:gridCol w:w="1294"/>
        <w:gridCol w:w="2276"/>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39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70"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05"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：许昌市房产交易租赁管理处</w:t>
            </w:r>
          </w:p>
        </w:tc>
        <w:tc>
          <w:tcPr>
            <w:tcW w:w="37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3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7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7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0"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i w:val="0"/>
          <w:iCs w:val="0"/>
          <w:color w:val="000000"/>
          <w:kern w:val="0"/>
          <w:sz w:val="32"/>
          <w:szCs w:val="32"/>
          <w:u w:val="none"/>
          <w:lang w:val="en-US" w:eastAsia="zh-CN" w:bidi="ar"/>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1173.92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491.03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29.49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1、在职人员转退休，人员经费减少；2、严控经费支出，2021年我单位未安排项目支出。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867.13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867.13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1167.12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1143.92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98.01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23.21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1.99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1173.92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480.48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29.04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1、在职人员转退休，人员经费减少；2、严控经费支出，2021年我单位未安排项目支出。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1167.12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186.36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13.77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严控经费支出，2021年我单位未安排项目支出。</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1167.12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13.30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156.78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13.43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32.60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2.79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资源勘探工业信息等</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964.45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82.64</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1103.96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1167.12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105.72</w:t>
      </w:r>
      <w:r>
        <w:rPr>
          <w:rFonts w:hint="eastAsia" w:ascii="仿宋_GB2312" w:hAnsi="仿宋_GB2312" w:eastAsia="仿宋_GB2312" w:cs="仿宋_GB2312"/>
          <w:sz w:val="32"/>
          <w:szCs w:val="32"/>
          <w:highlight w:val="none"/>
        </w:rPr>
        <w:t>%。其中：</w:t>
      </w:r>
    </w:p>
    <w:p>
      <w:pPr>
        <w:widowControl/>
        <w:numPr>
          <w:ilvl w:val="0"/>
          <w:numId w:val="2"/>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numPr>
          <w:ilvl w:val="0"/>
          <w:numId w:val="2"/>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其他一般公共服务支出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其他一般公共服务支出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val="en-US" w:eastAsia="zh-CN"/>
        </w:rPr>
        <w:t>的主要原因是我单位统筹使用上年度结转资金列支当年支出</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44.18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128.00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在职转退休，退休人员增加，2021年统筹使用以前年度结转资金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68.72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2021年中预算功能科目调整，由资源勘探工业信息等支出（类）建筑业（款）其他建筑业（项）调整为社会保障和就业支出（类）行政事业单位养老支出（款）机关事业单位基本养老保险缴费支出（项）。</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机关事业单位职业年金缴费支出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31.51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2021年我单位根据实际经费需求结算款项。</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32.60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2021年中预算功能科目调整，由资源勘探工业信息等支出（类）建筑业（款）其他建筑业（项）调整为卫生健康支出（类）行政事业单位医疗（款）事业单位医疗（项）。</w:t>
      </w:r>
    </w:p>
    <w:p>
      <w:pPr>
        <w:widowControl/>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资源勘探工业信息等支出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建筑业</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其他建筑业支出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1018.93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964.45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94.65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1、在职人员转退休，人员经费减少；2、该功能科目年中调整其他功能科目。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1143.92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1052.24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其他社会保障缴费、其他工资福利支出、退休费、生活补助、住房公积金；公用经费</w:t>
      </w:r>
      <w:r>
        <w:rPr>
          <w:rFonts w:hint="eastAsia" w:ascii="仿宋_GB2312" w:hAnsi="仿宋_GB2312" w:eastAsia="仿宋_GB2312" w:cs="仿宋_GB2312"/>
          <w:sz w:val="32"/>
          <w:szCs w:val="32"/>
          <w:highlight w:val="none"/>
          <w:lang w:val="en-US" w:eastAsia="zh-CN"/>
        </w:rPr>
        <w:t>91.68</w:t>
      </w:r>
      <w:r>
        <w:rPr>
          <w:rFonts w:hint="eastAsia" w:ascii="仿宋_GB2312" w:hAnsi="仿宋_GB2312" w:eastAsia="仿宋_GB2312" w:cs="仿宋_GB2312"/>
          <w:sz w:val="32"/>
          <w:szCs w:val="32"/>
          <w:highlight w:val="none"/>
        </w:rPr>
        <w:t>万元，主要包括：办公费、水费、电费、邮电费、取暖费、物业管理费、差旅费、维修（护）费、培训费、劳务费、委托业务费、工会经费、福利费、公务用车运行维护费、其他商品和服务支出。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69.60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厉行节约，严控经费支出，实现三公经费只减不增</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zh-CN" w:eastAsia="zh-CN"/>
        </w:rPr>
        <w:t>机要文件交换，应急公务出行和工作督查等项工作所需的公务用车的燃油和维修费用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numPr>
          <w:ilvl w:val="0"/>
          <w:numId w:val="2"/>
        </w:numPr>
        <w:spacing w:line="590" w:lineRule="exact"/>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单位严控经费支出的前提下,2021年未发生公务接待费支出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w:t>
      </w:r>
      <w:bookmarkStart w:id="0" w:name="_GoBack"/>
      <w:bookmarkEnd w:id="0"/>
      <w:r>
        <w:rPr>
          <w:rFonts w:hint="eastAsia" w:ascii="仿宋_GB2312" w:hAnsi="仿宋_GB2312" w:eastAsia="仿宋_GB2312" w:cs="仿宋_GB2312"/>
          <w:sz w:val="32"/>
          <w:szCs w:val="32"/>
          <w:highlight w:val="none"/>
        </w:rPr>
        <w:t>，其中：省级领导干部用车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健全了内部管理制度机制，由财务科牵头，业务科室配合，同时召开专题会议，加强全处职工对预算执行及绩效目标等相关政策的学习，并根据预算进度，定期分析预算执行结果，将预算执行结果用于预算指标调整的依据，为领导提供决策的同时督促业务科室加快预算执行进度。</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开展2021年整体绩效自评，认为我单位预算绩效目标设置合理，资金分配和使用按预算执行，在资金使用和管理方面，进一步强化资金统筹，优化资金结构，明确开支范围，细化资金用途，确保我单位当年主要工作和任务顺利完成，并把自评结果用于以后年度编制预算的依据和参考；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owrnJAQAAmg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hrShy3OPDL92+XH78uP7+S5Srr0weoMe0hYGIa7vyAWzP7AZ2Z9qCizV8kRDCO6p6v6soh&#10;EZEfrVfrdYUhgbH5gvjs8XmIkN5Kb0k2GhpxfEVVfnoPaUydU3I15++1MWWExv3lQMzsYbn3scds&#10;pWE/TIT2vj0jnx4n31CHi06JeedQ2LwksxFnYz8bxxD1oStblOtBuD0mbKL0liuMsFNhHFlhN61X&#10;3ok/7yXr8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ZyjCuckBAACa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LB2jJAQAAmgMAAA4AAABkcnMv&#10;ZTJvRG9jLnhtbK1TzY7TMBC+I/EOlu/UaR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ixHGLA798/3b58evy8ytZvsz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z0sHaMkBAACa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2E49E"/>
    <w:multiLevelType w:val="singleLevel"/>
    <w:tmpl w:val="28A2E49E"/>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mRkMTdmOGVhZDc4YjlmZTRhMjdhZTRmMGZkOW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B7E60"/>
    <w:rsid w:val="00ED38B7"/>
    <w:rsid w:val="00EE051D"/>
    <w:rsid w:val="00F0131A"/>
    <w:rsid w:val="00F14C17"/>
    <w:rsid w:val="00F17041"/>
    <w:rsid w:val="00F218CF"/>
    <w:rsid w:val="00F44937"/>
    <w:rsid w:val="00F61A47"/>
    <w:rsid w:val="00F84422"/>
    <w:rsid w:val="00F95455"/>
    <w:rsid w:val="00FA574D"/>
    <w:rsid w:val="00FC2588"/>
    <w:rsid w:val="00FE7AD9"/>
    <w:rsid w:val="01322275"/>
    <w:rsid w:val="01900C44"/>
    <w:rsid w:val="01DC6F05"/>
    <w:rsid w:val="02A3489A"/>
    <w:rsid w:val="02CA138D"/>
    <w:rsid w:val="033646FC"/>
    <w:rsid w:val="037B196F"/>
    <w:rsid w:val="03C75F80"/>
    <w:rsid w:val="0478364D"/>
    <w:rsid w:val="04B67B25"/>
    <w:rsid w:val="053D4C0D"/>
    <w:rsid w:val="05504736"/>
    <w:rsid w:val="0557532E"/>
    <w:rsid w:val="0799329C"/>
    <w:rsid w:val="08397436"/>
    <w:rsid w:val="086F16A7"/>
    <w:rsid w:val="08CB2908"/>
    <w:rsid w:val="096B3256"/>
    <w:rsid w:val="09F05529"/>
    <w:rsid w:val="0A0F7225"/>
    <w:rsid w:val="0A2B7D82"/>
    <w:rsid w:val="0ADC40E9"/>
    <w:rsid w:val="0AE607F4"/>
    <w:rsid w:val="0B386127"/>
    <w:rsid w:val="0B451598"/>
    <w:rsid w:val="0BEC73F4"/>
    <w:rsid w:val="0C392698"/>
    <w:rsid w:val="0CEF4604"/>
    <w:rsid w:val="0E3A41D5"/>
    <w:rsid w:val="0E555C6B"/>
    <w:rsid w:val="0F136F00"/>
    <w:rsid w:val="0F20466E"/>
    <w:rsid w:val="0F6B593E"/>
    <w:rsid w:val="0F772119"/>
    <w:rsid w:val="0FFA1BAC"/>
    <w:rsid w:val="10BD36F6"/>
    <w:rsid w:val="119012A7"/>
    <w:rsid w:val="11BF0649"/>
    <w:rsid w:val="12151DE3"/>
    <w:rsid w:val="123E3E08"/>
    <w:rsid w:val="1270692A"/>
    <w:rsid w:val="133212F4"/>
    <w:rsid w:val="13D22E22"/>
    <w:rsid w:val="14490B4A"/>
    <w:rsid w:val="14A36AD8"/>
    <w:rsid w:val="15063063"/>
    <w:rsid w:val="15717AF1"/>
    <w:rsid w:val="15A16F7B"/>
    <w:rsid w:val="161C2DFF"/>
    <w:rsid w:val="16373578"/>
    <w:rsid w:val="16D3336B"/>
    <w:rsid w:val="16E25D06"/>
    <w:rsid w:val="17200028"/>
    <w:rsid w:val="17806C36"/>
    <w:rsid w:val="17A74F62"/>
    <w:rsid w:val="1851639A"/>
    <w:rsid w:val="18A47774"/>
    <w:rsid w:val="1A843EEE"/>
    <w:rsid w:val="1A8D28EB"/>
    <w:rsid w:val="1A976B2D"/>
    <w:rsid w:val="1A9F2D78"/>
    <w:rsid w:val="1B290878"/>
    <w:rsid w:val="1B2E6FD8"/>
    <w:rsid w:val="1B841933"/>
    <w:rsid w:val="1B877D21"/>
    <w:rsid w:val="1B8D31E7"/>
    <w:rsid w:val="1C4319A9"/>
    <w:rsid w:val="1C7F72AE"/>
    <w:rsid w:val="1E443B4B"/>
    <w:rsid w:val="1E9170CD"/>
    <w:rsid w:val="1E994F4A"/>
    <w:rsid w:val="1EAF0224"/>
    <w:rsid w:val="1EF30E63"/>
    <w:rsid w:val="1F2230A4"/>
    <w:rsid w:val="200645AA"/>
    <w:rsid w:val="20102EB5"/>
    <w:rsid w:val="20210932"/>
    <w:rsid w:val="202448E0"/>
    <w:rsid w:val="2078262A"/>
    <w:rsid w:val="20F614FE"/>
    <w:rsid w:val="21302EEA"/>
    <w:rsid w:val="221C49E1"/>
    <w:rsid w:val="22376FB5"/>
    <w:rsid w:val="23B63BBF"/>
    <w:rsid w:val="23E152D7"/>
    <w:rsid w:val="23EE2489"/>
    <w:rsid w:val="254B7FB0"/>
    <w:rsid w:val="255D43C8"/>
    <w:rsid w:val="26714EF8"/>
    <w:rsid w:val="26876BDD"/>
    <w:rsid w:val="2714632A"/>
    <w:rsid w:val="27541E73"/>
    <w:rsid w:val="27B0539E"/>
    <w:rsid w:val="2800607E"/>
    <w:rsid w:val="2828324D"/>
    <w:rsid w:val="282E6453"/>
    <w:rsid w:val="29365CF8"/>
    <w:rsid w:val="293A3759"/>
    <w:rsid w:val="299469B3"/>
    <w:rsid w:val="2A805789"/>
    <w:rsid w:val="2ADC0D75"/>
    <w:rsid w:val="2B020458"/>
    <w:rsid w:val="2B147E30"/>
    <w:rsid w:val="2B215DA9"/>
    <w:rsid w:val="2B4A0E52"/>
    <w:rsid w:val="2B5B3249"/>
    <w:rsid w:val="2C975890"/>
    <w:rsid w:val="2CB5119F"/>
    <w:rsid w:val="2D576F0A"/>
    <w:rsid w:val="2DEF21BB"/>
    <w:rsid w:val="2E4A2F05"/>
    <w:rsid w:val="2E884A55"/>
    <w:rsid w:val="2ECC1061"/>
    <w:rsid w:val="2FA476AD"/>
    <w:rsid w:val="303F7540"/>
    <w:rsid w:val="31DA4319"/>
    <w:rsid w:val="31DD00BF"/>
    <w:rsid w:val="31F52144"/>
    <w:rsid w:val="32377E9E"/>
    <w:rsid w:val="3293174C"/>
    <w:rsid w:val="32BB38D4"/>
    <w:rsid w:val="32C9376D"/>
    <w:rsid w:val="33780472"/>
    <w:rsid w:val="33AF0905"/>
    <w:rsid w:val="33CF4883"/>
    <w:rsid w:val="34B82ACB"/>
    <w:rsid w:val="355932F4"/>
    <w:rsid w:val="35611882"/>
    <w:rsid w:val="35EB7C23"/>
    <w:rsid w:val="36746FC3"/>
    <w:rsid w:val="368763AE"/>
    <w:rsid w:val="38105839"/>
    <w:rsid w:val="39405200"/>
    <w:rsid w:val="395D59E7"/>
    <w:rsid w:val="39A93932"/>
    <w:rsid w:val="3A915562"/>
    <w:rsid w:val="3ABF2560"/>
    <w:rsid w:val="3ADD73B7"/>
    <w:rsid w:val="3B8D4765"/>
    <w:rsid w:val="3C000DBA"/>
    <w:rsid w:val="3C10550D"/>
    <w:rsid w:val="3C863652"/>
    <w:rsid w:val="3DC045D3"/>
    <w:rsid w:val="3E504FFB"/>
    <w:rsid w:val="3E615CD0"/>
    <w:rsid w:val="3E9C47F6"/>
    <w:rsid w:val="3F2E64C6"/>
    <w:rsid w:val="3F591E5E"/>
    <w:rsid w:val="3F8B0112"/>
    <w:rsid w:val="3FAB3095"/>
    <w:rsid w:val="3FE45947"/>
    <w:rsid w:val="41091D7D"/>
    <w:rsid w:val="41242965"/>
    <w:rsid w:val="4224329E"/>
    <w:rsid w:val="42C77671"/>
    <w:rsid w:val="43105186"/>
    <w:rsid w:val="435671EA"/>
    <w:rsid w:val="440809E9"/>
    <w:rsid w:val="442407A6"/>
    <w:rsid w:val="443469F5"/>
    <w:rsid w:val="44805EA1"/>
    <w:rsid w:val="44E31CF9"/>
    <w:rsid w:val="45710696"/>
    <w:rsid w:val="458D06C8"/>
    <w:rsid w:val="46142B1B"/>
    <w:rsid w:val="475812B1"/>
    <w:rsid w:val="47D66EEB"/>
    <w:rsid w:val="47E60DD0"/>
    <w:rsid w:val="48110DC4"/>
    <w:rsid w:val="48735039"/>
    <w:rsid w:val="492C684B"/>
    <w:rsid w:val="49500594"/>
    <w:rsid w:val="49E7604E"/>
    <w:rsid w:val="4B741F25"/>
    <w:rsid w:val="4BE07B10"/>
    <w:rsid w:val="4BF67CDD"/>
    <w:rsid w:val="4D173441"/>
    <w:rsid w:val="4D2E134D"/>
    <w:rsid w:val="4D603DD6"/>
    <w:rsid w:val="4D916C25"/>
    <w:rsid w:val="4DD3102D"/>
    <w:rsid w:val="4E680619"/>
    <w:rsid w:val="4EBF010F"/>
    <w:rsid w:val="4F1E3372"/>
    <w:rsid w:val="4F324E19"/>
    <w:rsid w:val="4F471EB0"/>
    <w:rsid w:val="4F4977F9"/>
    <w:rsid w:val="4FE30A54"/>
    <w:rsid w:val="51331326"/>
    <w:rsid w:val="51740A7F"/>
    <w:rsid w:val="51A5541E"/>
    <w:rsid w:val="51C96242"/>
    <w:rsid w:val="51CE172F"/>
    <w:rsid w:val="53906AE1"/>
    <w:rsid w:val="53AB1B42"/>
    <w:rsid w:val="54A46866"/>
    <w:rsid w:val="54F46F60"/>
    <w:rsid w:val="5539030F"/>
    <w:rsid w:val="55A37BEA"/>
    <w:rsid w:val="56362CD2"/>
    <w:rsid w:val="56B57E6A"/>
    <w:rsid w:val="5719008F"/>
    <w:rsid w:val="574D1E50"/>
    <w:rsid w:val="5784687B"/>
    <w:rsid w:val="57846959"/>
    <w:rsid w:val="578E6A87"/>
    <w:rsid w:val="580823F5"/>
    <w:rsid w:val="5812664C"/>
    <w:rsid w:val="586C6806"/>
    <w:rsid w:val="588F594F"/>
    <w:rsid w:val="58F1205C"/>
    <w:rsid w:val="5ABB646C"/>
    <w:rsid w:val="5AC2203A"/>
    <w:rsid w:val="5B451BAB"/>
    <w:rsid w:val="5C5968D4"/>
    <w:rsid w:val="5C87629E"/>
    <w:rsid w:val="5C8D32A6"/>
    <w:rsid w:val="5CBB3334"/>
    <w:rsid w:val="5CFC5A70"/>
    <w:rsid w:val="5D047455"/>
    <w:rsid w:val="5D115FAF"/>
    <w:rsid w:val="5DCD204C"/>
    <w:rsid w:val="5E6A3CAA"/>
    <w:rsid w:val="5EAC3E3A"/>
    <w:rsid w:val="5F617BEE"/>
    <w:rsid w:val="621C64A7"/>
    <w:rsid w:val="62811722"/>
    <w:rsid w:val="62B31701"/>
    <w:rsid w:val="62E5517A"/>
    <w:rsid w:val="62E75A72"/>
    <w:rsid w:val="633640E0"/>
    <w:rsid w:val="63973064"/>
    <w:rsid w:val="64571880"/>
    <w:rsid w:val="649125B6"/>
    <w:rsid w:val="64E65BCE"/>
    <w:rsid w:val="652F4C1A"/>
    <w:rsid w:val="657D1804"/>
    <w:rsid w:val="666D37F1"/>
    <w:rsid w:val="667123C4"/>
    <w:rsid w:val="668D72D5"/>
    <w:rsid w:val="66F2676D"/>
    <w:rsid w:val="67087D8F"/>
    <w:rsid w:val="671F687E"/>
    <w:rsid w:val="67F415F8"/>
    <w:rsid w:val="682640D1"/>
    <w:rsid w:val="684B73E5"/>
    <w:rsid w:val="69375BD4"/>
    <w:rsid w:val="6A047A2A"/>
    <w:rsid w:val="6A937847"/>
    <w:rsid w:val="6AD01020"/>
    <w:rsid w:val="6B481BA2"/>
    <w:rsid w:val="6D6B075E"/>
    <w:rsid w:val="6EEE4901"/>
    <w:rsid w:val="6EFB7548"/>
    <w:rsid w:val="6F3831C3"/>
    <w:rsid w:val="6F624286"/>
    <w:rsid w:val="6F8B71C1"/>
    <w:rsid w:val="6FC37050"/>
    <w:rsid w:val="705E1485"/>
    <w:rsid w:val="70753482"/>
    <w:rsid w:val="707B522A"/>
    <w:rsid w:val="70A44806"/>
    <w:rsid w:val="72CD6EBE"/>
    <w:rsid w:val="73194D05"/>
    <w:rsid w:val="73A83B0E"/>
    <w:rsid w:val="744D3EF9"/>
    <w:rsid w:val="74794411"/>
    <w:rsid w:val="7545775C"/>
    <w:rsid w:val="75867C40"/>
    <w:rsid w:val="75B10B26"/>
    <w:rsid w:val="75F73A71"/>
    <w:rsid w:val="76432199"/>
    <w:rsid w:val="76F44829"/>
    <w:rsid w:val="770340C8"/>
    <w:rsid w:val="77A267C0"/>
    <w:rsid w:val="780E3A28"/>
    <w:rsid w:val="78694F99"/>
    <w:rsid w:val="78882278"/>
    <w:rsid w:val="78B118A6"/>
    <w:rsid w:val="78ED543D"/>
    <w:rsid w:val="79135044"/>
    <w:rsid w:val="7943477D"/>
    <w:rsid w:val="79A42703"/>
    <w:rsid w:val="7A7D0F99"/>
    <w:rsid w:val="7AF52BA3"/>
    <w:rsid w:val="7B748201"/>
    <w:rsid w:val="7BFA5853"/>
    <w:rsid w:val="7C8415C1"/>
    <w:rsid w:val="7DF9835E"/>
    <w:rsid w:val="7E4A0E7C"/>
    <w:rsid w:val="7E9D7B39"/>
    <w:rsid w:val="7EF901E1"/>
    <w:rsid w:val="7EFD449D"/>
    <w:rsid w:val="7FD4CEBF"/>
    <w:rsid w:val="CEBB90FD"/>
    <w:rsid w:val="D3B59005"/>
    <w:rsid w:val="D90FE83B"/>
    <w:rsid w:val="FFFF50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8584</Words>
  <Characters>10502</Characters>
  <Lines>60</Lines>
  <Paragraphs>16</Paragraphs>
  <TotalTime>140</TotalTime>
  <ScaleCrop>false</ScaleCrop>
  <LinksUpToDate>false</LinksUpToDate>
  <CharactersWithSpaces>10565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李阳</cp:lastModifiedBy>
  <cp:lastPrinted>2023-05-09T00:18:00Z</cp:lastPrinted>
  <dcterms:modified xsi:type="dcterms:W3CDTF">2023-05-23T08:53:48Z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8F983CCAF2624DC381EB42234C9A598F</vt:lpwstr>
  </property>
</Properties>
</file>