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EE123B">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477888" w:rsidRDefault="00EE123B">
      <w:pPr>
        <w:jc w:val="center"/>
        <w:rPr>
          <w:rFonts w:ascii="黑体" w:eastAsia="黑体" w:hAnsi="黑体" w:cs="黑体"/>
          <w:sz w:val="52"/>
          <w:szCs w:val="52"/>
        </w:rPr>
      </w:pPr>
      <w:r>
        <w:rPr>
          <w:rFonts w:ascii="黑体" w:eastAsia="黑体" w:hAnsi="黑体" w:cs="黑体" w:hint="eastAsia"/>
          <w:sz w:val="52"/>
          <w:szCs w:val="52"/>
        </w:rPr>
        <w:t>许昌市戏曲艺术发展中心单位决算</w:t>
      </w:r>
    </w:p>
    <w:p w:rsidR="00477888" w:rsidRDefault="00477888">
      <w:pPr>
        <w:jc w:val="center"/>
        <w:rPr>
          <w:rFonts w:ascii="黑体" w:eastAsia="黑体" w:hAnsi="黑体" w:cs="黑体"/>
          <w:sz w:val="52"/>
          <w:szCs w:val="52"/>
        </w:rPr>
      </w:pPr>
    </w:p>
    <w:p w:rsidR="00477888" w:rsidRDefault="00477888">
      <w:pPr>
        <w:jc w:val="center"/>
        <w:rPr>
          <w:rFonts w:ascii="黑体" w:eastAsia="黑体" w:hAnsi="黑体" w:cs="黑体"/>
          <w:sz w:val="52"/>
          <w:szCs w:val="52"/>
        </w:rPr>
      </w:pPr>
    </w:p>
    <w:p w:rsidR="00477888" w:rsidRDefault="00477888">
      <w:pPr>
        <w:jc w:val="center"/>
        <w:rPr>
          <w:rFonts w:ascii="黑体" w:eastAsia="黑体" w:hAnsi="黑体" w:cs="黑体"/>
          <w:sz w:val="52"/>
          <w:szCs w:val="52"/>
        </w:rPr>
      </w:pPr>
    </w:p>
    <w:p w:rsidR="00477888" w:rsidRDefault="00477888">
      <w:pPr>
        <w:jc w:val="center"/>
        <w:rPr>
          <w:rFonts w:ascii="黑体" w:eastAsia="黑体" w:hAnsi="黑体" w:cs="黑体"/>
          <w:sz w:val="52"/>
          <w:szCs w:val="52"/>
        </w:rPr>
      </w:pPr>
    </w:p>
    <w:p w:rsidR="00477888" w:rsidRDefault="00477888">
      <w:pPr>
        <w:jc w:val="center"/>
        <w:rPr>
          <w:rFonts w:ascii="黑体" w:eastAsia="黑体" w:hAnsi="黑体" w:cs="黑体"/>
          <w:sz w:val="52"/>
          <w:szCs w:val="52"/>
        </w:rPr>
      </w:pPr>
    </w:p>
    <w:p w:rsidR="00477888" w:rsidRDefault="00477888">
      <w:pPr>
        <w:jc w:val="center"/>
        <w:rPr>
          <w:rFonts w:ascii="黑体" w:eastAsia="黑体" w:hAnsi="黑体" w:cs="黑体"/>
          <w:sz w:val="52"/>
          <w:szCs w:val="52"/>
        </w:rPr>
      </w:pPr>
    </w:p>
    <w:p w:rsidR="00477888" w:rsidRDefault="00EE123B">
      <w:pPr>
        <w:jc w:val="center"/>
        <w:rPr>
          <w:rFonts w:ascii="黑体" w:eastAsia="黑体" w:hAnsi="黑体" w:cs="黑体"/>
          <w:sz w:val="32"/>
          <w:szCs w:val="32"/>
        </w:rPr>
        <w:sectPr w:rsidR="00477888">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477888" w:rsidRDefault="00EE123B">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477888" w:rsidRDefault="00EE123B">
      <w:pPr>
        <w:jc w:val="left"/>
        <w:rPr>
          <w:rFonts w:ascii="黑体" w:eastAsia="黑体" w:hAnsi="黑体" w:cs="黑体"/>
          <w:sz w:val="32"/>
          <w:szCs w:val="32"/>
        </w:rPr>
      </w:pPr>
      <w:r>
        <w:rPr>
          <w:rFonts w:ascii="黑体" w:eastAsia="黑体" w:hAnsi="黑体" w:cs="黑体" w:hint="eastAsia"/>
          <w:sz w:val="32"/>
          <w:szCs w:val="32"/>
        </w:rPr>
        <w:t>第一部分　许昌市戏曲艺术发展中心概况</w:t>
      </w:r>
    </w:p>
    <w:p w:rsidR="00477888" w:rsidRDefault="00EE123B">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单位职责</w:t>
      </w:r>
    </w:p>
    <w:p w:rsidR="00477888" w:rsidRDefault="00EE123B">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477888" w:rsidRDefault="00EE123B">
      <w:pPr>
        <w:jc w:val="left"/>
        <w:rPr>
          <w:rFonts w:ascii="黑体" w:eastAsia="黑体" w:hAnsi="黑体" w:cs="黑体"/>
          <w:sz w:val="32"/>
          <w:szCs w:val="32"/>
        </w:rPr>
      </w:pPr>
      <w:r>
        <w:rPr>
          <w:rFonts w:ascii="黑体" w:eastAsia="黑体" w:hAnsi="黑体" w:cs="黑体" w:hint="eastAsia"/>
          <w:sz w:val="32"/>
          <w:szCs w:val="32"/>
        </w:rPr>
        <w:t>第二部分  2021年度单位决算表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二、收入决算表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三、支出决算表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477888" w:rsidRDefault="00EE123B">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477888" w:rsidRDefault="00EE123B">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年度单位决算情况说明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477888" w:rsidRDefault="00EE123B">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477888" w:rsidRDefault="00EE123B">
      <w:pPr>
        <w:jc w:val="left"/>
        <w:rPr>
          <w:rFonts w:ascii="黑体" w:eastAsia="黑体" w:hAnsi="黑体" w:cs="黑体"/>
          <w:sz w:val="32"/>
          <w:szCs w:val="32"/>
        </w:rPr>
      </w:pPr>
      <w:r>
        <w:rPr>
          <w:rFonts w:ascii="黑体" w:eastAsia="黑体" w:hAnsi="黑体" w:cs="黑体" w:hint="eastAsia"/>
          <w:sz w:val="32"/>
          <w:szCs w:val="32"/>
        </w:rPr>
        <w:t>第四部分　　名词解释</w:t>
      </w: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outlineLvl w:val="0"/>
        <w:rPr>
          <w:rFonts w:ascii="黑体" w:eastAsia="黑体" w:hAnsi="黑体" w:cs="黑体"/>
          <w:sz w:val="48"/>
          <w:szCs w:val="48"/>
        </w:rPr>
      </w:pPr>
    </w:p>
    <w:p w:rsidR="00477888" w:rsidRDefault="00477888">
      <w:pPr>
        <w:widowControl/>
        <w:jc w:val="center"/>
        <w:outlineLvl w:val="0"/>
        <w:rPr>
          <w:rFonts w:ascii="黑体" w:eastAsia="黑体" w:hAnsi="黑体" w:cs="黑体"/>
          <w:sz w:val="48"/>
          <w:szCs w:val="48"/>
        </w:rPr>
      </w:pPr>
    </w:p>
    <w:p w:rsidR="00477888" w:rsidRDefault="00477888">
      <w:pPr>
        <w:widowControl/>
        <w:jc w:val="center"/>
        <w:outlineLvl w:val="0"/>
        <w:rPr>
          <w:rFonts w:ascii="黑体" w:eastAsia="黑体" w:hAnsi="黑体" w:cs="黑体"/>
          <w:sz w:val="48"/>
          <w:szCs w:val="48"/>
        </w:rPr>
      </w:pPr>
    </w:p>
    <w:p w:rsidR="00477888" w:rsidRDefault="00477888">
      <w:pPr>
        <w:widowControl/>
        <w:jc w:val="center"/>
        <w:outlineLvl w:val="0"/>
        <w:rPr>
          <w:rFonts w:ascii="黑体" w:eastAsia="黑体" w:hAnsi="黑体" w:cs="黑体"/>
          <w:sz w:val="48"/>
          <w:szCs w:val="48"/>
        </w:rPr>
      </w:pPr>
    </w:p>
    <w:p w:rsidR="00477888" w:rsidRDefault="00477888">
      <w:pPr>
        <w:widowControl/>
        <w:jc w:val="center"/>
        <w:outlineLvl w:val="0"/>
        <w:rPr>
          <w:rFonts w:ascii="黑体" w:eastAsia="黑体" w:hAnsi="黑体" w:cs="黑体"/>
          <w:sz w:val="48"/>
          <w:szCs w:val="48"/>
        </w:rPr>
      </w:pPr>
    </w:p>
    <w:p w:rsidR="00477888" w:rsidRDefault="00477888">
      <w:pPr>
        <w:widowControl/>
        <w:jc w:val="center"/>
        <w:outlineLvl w:val="0"/>
        <w:rPr>
          <w:rFonts w:ascii="黑体" w:eastAsia="黑体" w:hAnsi="黑体" w:cs="黑体"/>
          <w:sz w:val="48"/>
          <w:szCs w:val="48"/>
        </w:rPr>
      </w:pPr>
    </w:p>
    <w:p w:rsidR="00477888" w:rsidRDefault="00477888">
      <w:pPr>
        <w:widowControl/>
        <w:jc w:val="center"/>
        <w:outlineLvl w:val="0"/>
        <w:rPr>
          <w:rFonts w:ascii="黑体" w:eastAsia="黑体" w:hAnsi="黑体" w:cs="黑体"/>
          <w:sz w:val="48"/>
          <w:szCs w:val="48"/>
        </w:rPr>
      </w:pPr>
    </w:p>
    <w:p w:rsidR="00477888" w:rsidRDefault="00477888">
      <w:pPr>
        <w:widowControl/>
        <w:jc w:val="center"/>
        <w:outlineLvl w:val="0"/>
        <w:rPr>
          <w:rFonts w:ascii="黑体" w:eastAsia="黑体" w:hAnsi="黑体" w:cs="黑体"/>
          <w:sz w:val="48"/>
          <w:szCs w:val="48"/>
        </w:rPr>
      </w:pPr>
    </w:p>
    <w:p w:rsidR="00280183" w:rsidRDefault="00EE123B">
      <w:pPr>
        <w:widowControl/>
        <w:jc w:val="center"/>
        <w:outlineLvl w:val="0"/>
        <w:rPr>
          <w:rFonts w:ascii="黑体" w:eastAsia="黑体" w:hAnsi="黑体" w:cs="黑体"/>
          <w:sz w:val="48"/>
          <w:szCs w:val="48"/>
        </w:rPr>
      </w:pPr>
      <w:r>
        <w:rPr>
          <w:rFonts w:ascii="黑体" w:eastAsia="黑体" w:hAnsi="黑体" w:cs="黑体" w:hint="eastAsia"/>
          <w:sz w:val="48"/>
          <w:szCs w:val="48"/>
        </w:rPr>
        <w:t>第一部分  许昌市戏曲艺术发展中心</w:t>
      </w:r>
    </w:p>
    <w:p w:rsidR="00477888" w:rsidRDefault="00EE123B">
      <w:pPr>
        <w:widowControl/>
        <w:jc w:val="center"/>
        <w:outlineLvl w:val="0"/>
        <w:rPr>
          <w:rFonts w:ascii="黑体" w:eastAsia="黑体" w:hAnsi="宋体" w:cs="宋体"/>
          <w:kern w:val="0"/>
          <w:sz w:val="28"/>
          <w:szCs w:val="28"/>
        </w:rPr>
      </w:pPr>
      <w:r>
        <w:rPr>
          <w:rFonts w:ascii="黑体" w:eastAsia="黑体" w:hAnsi="黑体" w:cs="黑体" w:hint="eastAsia"/>
          <w:sz w:val="48"/>
          <w:szCs w:val="48"/>
        </w:rPr>
        <w:t>概况</w:t>
      </w: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ind w:firstLineChars="200" w:firstLine="640"/>
        <w:jc w:val="left"/>
        <w:outlineLvl w:val="1"/>
        <w:rPr>
          <w:rFonts w:ascii="黑体" w:eastAsia="黑体" w:hAnsi="黑体" w:cs="黑体"/>
          <w:kern w:val="0"/>
          <w:sz w:val="32"/>
          <w:szCs w:val="32"/>
        </w:rPr>
      </w:pPr>
    </w:p>
    <w:p w:rsidR="00477888" w:rsidRDefault="00477888">
      <w:pPr>
        <w:widowControl/>
        <w:jc w:val="left"/>
        <w:outlineLvl w:val="1"/>
        <w:rPr>
          <w:rFonts w:ascii="黑体" w:eastAsia="黑体" w:hAnsi="黑体" w:cs="黑体"/>
          <w:kern w:val="0"/>
          <w:sz w:val="32"/>
          <w:szCs w:val="32"/>
        </w:rPr>
      </w:pPr>
    </w:p>
    <w:p w:rsidR="00477888" w:rsidRDefault="00EE123B">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一、单位</w:t>
      </w:r>
      <w:r>
        <w:rPr>
          <w:rFonts w:ascii="黑体" w:eastAsia="黑体" w:hAnsi="黑体" w:cs="黑体" w:hint="eastAsia"/>
          <w:bCs/>
          <w:sz w:val="32"/>
          <w:szCs w:val="32"/>
        </w:rPr>
        <w:t>职责</w:t>
      </w:r>
    </w:p>
    <w:p w:rsidR="00477888" w:rsidRDefault="00EE123B">
      <w:pPr>
        <w:widowControl/>
        <w:ind w:firstLineChars="200" w:firstLine="640"/>
        <w:outlineLvl w:val="1"/>
        <w:rPr>
          <w:rFonts w:ascii="仿宋_GB2312" w:eastAsia="仿宋_GB2312" w:hAnsi="宋体" w:cs="宋体"/>
          <w:kern w:val="0"/>
          <w:sz w:val="32"/>
          <w:szCs w:val="32"/>
        </w:rPr>
      </w:pPr>
      <w:r>
        <w:rPr>
          <w:rFonts w:ascii="仿宋_GB2312" w:eastAsia="仿宋_GB2312" w:hAnsi="仿宋_GB2312" w:cs="仿宋_GB2312" w:hint="eastAsia"/>
          <w:sz w:val="32"/>
          <w:szCs w:val="32"/>
        </w:rPr>
        <w:t>许昌市戏曲艺术发展中心主要职责为负责戏曲艺术的研究、发展和展演，承担越调非物质文化遗产的保护、传承任务。多元化、多渠道地弘扬戏曲文化，促进戏曲事业繁荣发展。</w:t>
      </w:r>
    </w:p>
    <w:p w:rsidR="00477888" w:rsidRDefault="00EE123B">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477888" w:rsidRDefault="00EE123B">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许昌市戏曲艺术发展中心内设机构7个，包括：</w:t>
      </w:r>
      <w:r>
        <w:rPr>
          <w:rFonts w:ascii="仿宋_GB2312" w:eastAsia="仿宋_GB2312" w:hAnsi="仿宋_GB2312" w:cs="仿宋_GB2312" w:hint="eastAsia"/>
          <w:sz w:val="32"/>
          <w:szCs w:val="32"/>
        </w:rPr>
        <w:t>办公室、豫剧展演部、曲剧展演部、越调展演部、研究创作部、展示管理部、技术管理部</w:t>
      </w:r>
      <w:r>
        <w:rPr>
          <w:rFonts w:ascii="仿宋_GB2312" w:eastAsia="仿宋_GB2312" w:hAnsi="仿宋_GB2312" w:cs="仿宋_GB2312" w:hint="eastAsia"/>
          <w:kern w:val="0"/>
          <w:sz w:val="32"/>
          <w:szCs w:val="32"/>
        </w:rPr>
        <w:t>。</w:t>
      </w:r>
    </w:p>
    <w:p w:rsidR="00477888" w:rsidRDefault="00EE123B">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从决算单位构成看，许昌市戏曲艺术发展中心单位决算包括：本级决算。</w:t>
      </w:r>
    </w:p>
    <w:p w:rsidR="00477888" w:rsidRDefault="00EE123B">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纳入本单位2021年度单位决算编制范围的单位共1个，具体是：</w:t>
      </w:r>
    </w:p>
    <w:p w:rsidR="00477888" w:rsidRDefault="00EE123B">
      <w:pPr>
        <w:widowControl/>
        <w:ind w:firstLineChars="200" w:firstLine="640"/>
        <w:jc w:val="left"/>
        <w:rPr>
          <w:rFonts w:ascii="黑体" w:eastAsia="黑体" w:hAnsi="宋体" w:cs="宋体"/>
          <w:kern w:val="0"/>
          <w:sz w:val="28"/>
          <w:szCs w:val="28"/>
        </w:rPr>
        <w:sectPr w:rsidR="00477888">
          <w:footerReference w:type="even" r:id="rId8"/>
          <w:footerReference w:type="default" r:id="rId9"/>
          <w:pgSz w:w="11906" w:h="16838"/>
          <w:pgMar w:top="1440" w:right="1800" w:bottom="1440" w:left="1800" w:header="720" w:footer="720" w:gutter="0"/>
          <w:pgNumType w:fmt="numberInDash"/>
          <w:cols w:space="720"/>
          <w:docGrid w:type="lines" w:linePitch="312"/>
        </w:sectPr>
      </w:pPr>
      <w:r>
        <w:rPr>
          <w:rFonts w:ascii="仿宋_GB2312" w:eastAsia="仿宋_GB2312" w:hAnsi="仿宋_GB2312" w:cs="仿宋_GB2312" w:hint="eastAsia"/>
          <w:kern w:val="0"/>
          <w:sz w:val="32"/>
          <w:szCs w:val="32"/>
        </w:rPr>
        <w:t>许昌市戏曲艺术发展中心</w:t>
      </w: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EE123B">
      <w:pPr>
        <w:jc w:val="center"/>
        <w:outlineLvl w:val="0"/>
        <w:rPr>
          <w:rFonts w:ascii="黑体" w:eastAsia="黑体" w:hAnsi="黑体" w:cs="黑体"/>
          <w:sz w:val="48"/>
          <w:szCs w:val="48"/>
        </w:rPr>
      </w:pPr>
      <w:r>
        <w:rPr>
          <w:rFonts w:ascii="黑体" w:eastAsia="黑体" w:hAnsi="黑体" w:cs="黑体" w:hint="eastAsia"/>
          <w:sz w:val="48"/>
          <w:szCs w:val="48"/>
        </w:rPr>
        <w:t>第二部分  2021年度单位决算表</w:t>
      </w: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sectPr w:rsidR="00477888">
          <w:pgSz w:w="11906" w:h="16838"/>
          <w:pgMar w:top="1440" w:right="1800" w:bottom="1440" w:left="1800" w:header="720" w:footer="720" w:gutter="0"/>
          <w:pgNumType w:fmt="numberInDash"/>
          <w:cols w:space="720"/>
          <w:docGrid w:type="lines" w:linePitch="312"/>
        </w:sectPr>
      </w:pPr>
    </w:p>
    <w:p w:rsidR="00477888" w:rsidRDefault="00477888">
      <w:pPr>
        <w:rPr>
          <w:rFonts w:ascii="仿宋_GB2312" w:eastAsia="仿宋_GB2312" w:hAnsi="仿宋_GB2312" w:cs="仿宋_GB2312"/>
          <w:sz w:val="32"/>
          <w:szCs w:val="32"/>
        </w:rPr>
      </w:pPr>
    </w:p>
    <w:tbl>
      <w:tblPr>
        <w:tblW w:w="13230" w:type="dxa"/>
        <w:tblInd w:w="93" w:type="dxa"/>
        <w:tblLook w:val="04A0"/>
      </w:tblPr>
      <w:tblGrid>
        <w:gridCol w:w="4383"/>
        <w:gridCol w:w="770"/>
        <w:gridCol w:w="1286"/>
        <w:gridCol w:w="4125"/>
        <w:gridCol w:w="770"/>
        <w:gridCol w:w="1896"/>
      </w:tblGrid>
      <w:tr w:rsidR="00477888">
        <w:trPr>
          <w:trHeight w:val="390"/>
        </w:trPr>
        <w:tc>
          <w:tcPr>
            <w:tcW w:w="13230" w:type="dxa"/>
            <w:gridSpan w:val="6"/>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收入支出决算总表</w:t>
            </w:r>
          </w:p>
        </w:tc>
      </w:tr>
      <w:tr w:rsidR="00477888">
        <w:trPr>
          <w:trHeight w:val="255"/>
        </w:trPr>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公开01表</w:t>
            </w:r>
          </w:p>
        </w:tc>
      </w:tr>
      <w:tr w:rsidR="00477888">
        <w:trPr>
          <w:trHeight w:val="255"/>
        </w:trPr>
        <w:tc>
          <w:tcPr>
            <w:tcW w:w="0" w:type="auto"/>
            <w:tcBorders>
              <w:top w:val="nil"/>
              <w:left w:val="nil"/>
              <w:bottom w:val="nil"/>
              <w:right w:val="nil"/>
            </w:tcBorders>
            <w:noWrap/>
            <w:vAlign w:val="bottom"/>
          </w:tcPr>
          <w:p w:rsidR="00477888" w:rsidRDefault="00EE123B">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单位：许昌市戏曲艺术发展中心</w:t>
            </w: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477888">
        <w:trPr>
          <w:trHeight w:val="308"/>
        </w:trPr>
        <w:tc>
          <w:tcPr>
            <w:tcW w:w="0" w:type="auto"/>
            <w:gridSpan w:val="3"/>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收入</w:t>
            </w:r>
          </w:p>
        </w:tc>
        <w:tc>
          <w:tcPr>
            <w:tcW w:w="0" w:type="auto"/>
            <w:gridSpan w:val="3"/>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支出</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2,080.63</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三、国有资本经营预算财政拨款收入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四、上级补助收入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五、事业收入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六、经营收入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七、附属单位上缴收入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2,801.93</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八、其他收入</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b/>
                <w:bCs/>
                <w:color w:val="000000"/>
                <w:sz w:val="20"/>
                <w:szCs w:val="20"/>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0"/>
                <w:szCs w:val="20"/>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本年收入合计</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2,181.22</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本年支出合计</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3,264.25</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使用非财政拨款结余</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结余分配</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41.02</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1,132.07</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年末结转和结余</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8.02</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0" w:type="auto"/>
            <w:tcBorders>
              <w:top w:val="nil"/>
              <w:left w:val="nil"/>
              <w:bottom w:val="single" w:sz="8"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3,313.29</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3,313.29</w:t>
            </w:r>
          </w:p>
        </w:tc>
      </w:tr>
      <w:tr w:rsidR="00477888">
        <w:trPr>
          <w:trHeight w:val="308"/>
        </w:trPr>
        <w:tc>
          <w:tcPr>
            <w:tcW w:w="0" w:type="auto"/>
            <w:gridSpan w:val="6"/>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注：本表反映单位本年度的总收支和年末结转结余情况。本表金额转换为万元时，因四舍五入可能存在尾差。</w:t>
            </w:r>
          </w:p>
        </w:tc>
      </w:tr>
    </w:tbl>
    <w:p w:rsidR="00477888" w:rsidRDefault="00477888">
      <w:pPr>
        <w:rPr>
          <w:rFonts w:ascii="仿宋_GB2312" w:eastAsia="仿宋_GB2312" w:hAnsi="仿宋_GB2312" w:cs="仿宋_GB2312"/>
          <w:sz w:val="32"/>
          <w:szCs w:val="32"/>
        </w:rPr>
        <w:sectPr w:rsidR="00477888">
          <w:pgSz w:w="16838" w:h="11906" w:orient="landscape"/>
          <w:pgMar w:top="1800" w:right="1440" w:bottom="1800" w:left="1440" w:header="720" w:footer="720" w:gutter="0"/>
          <w:pgNumType w:fmt="numberInDash"/>
          <w:cols w:space="720"/>
          <w:docGrid w:type="lines" w:linePitch="312"/>
        </w:sectPr>
      </w:pPr>
    </w:p>
    <w:tbl>
      <w:tblPr>
        <w:tblpPr w:leftFromText="180" w:rightFromText="180" w:vertAnchor="text" w:horzAnchor="page" w:tblpX="1521" w:tblpY="53"/>
        <w:tblOverlap w:val="never"/>
        <w:tblW w:w="13640" w:type="dxa"/>
        <w:tblLayout w:type="fixed"/>
        <w:tblLook w:val="04A0"/>
      </w:tblPr>
      <w:tblGrid>
        <w:gridCol w:w="2072"/>
        <w:gridCol w:w="240"/>
        <w:gridCol w:w="390"/>
        <w:gridCol w:w="4170"/>
        <w:gridCol w:w="1350"/>
        <w:gridCol w:w="1260"/>
        <w:gridCol w:w="915"/>
        <w:gridCol w:w="915"/>
        <w:gridCol w:w="705"/>
        <w:gridCol w:w="930"/>
        <w:gridCol w:w="693"/>
      </w:tblGrid>
      <w:tr w:rsidR="00477888">
        <w:trPr>
          <w:trHeight w:val="390"/>
        </w:trPr>
        <w:tc>
          <w:tcPr>
            <w:tcW w:w="13640" w:type="dxa"/>
            <w:gridSpan w:val="11"/>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收入决算表</w:t>
            </w:r>
          </w:p>
        </w:tc>
      </w:tr>
      <w:tr w:rsidR="00477888">
        <w:trPr>
          <w:trHeight w:val="255"/>
        </w:trPr>
        <w:tc>
          <w:tcPr>
            <w:tcW w:w="2072"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4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39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417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35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26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91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91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70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623"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公开02表</w:t>
            </w:r>
          </w:p>
        </w:tc>
      </w:tr>
      <w:tr w:rsidR="00477888">
        <w:trPr>
          <w:trHeight w:val="255"/>
        </w:trPr>
        <w:tc>
          <w:tcPr>
            <w:tcW w:w="6872" w:type="dxa"/>
            <w:gridSpan w:val="4"/>
            <w:tcBorders>
              <w:top w:val="nil"/>
              <w:left w:val="nil"/>
              <w:bottom w:val="nil"/>
              <w:right w:val="nil"/>
            </w:tcBorders>
            <w:noWrap/>
            <w:vAlign w:val="bottom"/>
          </w:tcPr>
          <w:p w:rsidR="00477888" w:rsidRDefault="00EE123B">
            <w:pPr>
              <w:rPr>
                <w:rFonts w:ascii="Arial" w:hAnsi="Arial" w:cs="Arial"/>
                <w:color w:val="000000"/>
                <w:sz w:val="20"/>
                <w:szCs w:val="20"/>
              </w:rPr>
            </w:pPr>
            <w:r>
              <w:rPr>
                <w:rFonts w:ascii="宋体" w:hAnsi="宋体" w:cs="宋体" w:hint="eastAsia"/>
                <w:color w:val="000000"/>
                <w:kern w:val="0"/>
                <w:sz w:val="20"/>
                <w:szCs w:val="20"/>
              </w:rPr>
              <w:t>单位：许昌市戏曲艺术发展中心</w:t>
            </w:r>
          </w:p>
        </w:tc>
        <w:tc>
          <w:tcPr>
            <w:tcW w:w="135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26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91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91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70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623"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477888">
        <w:trPr>
          <w:trHeight w:val="308"/>
        </w:trPr>
        <w:tc>
          <w:tcPr>
            <w:tcW w:w="6872" w:type="dxa"/>
            <w:gridSpan w:val="4"/>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350"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本年收入合计</w:t>
            </w:r>
          </w:p>
        </w:tc>
        <w:tc>
          <w:tcPr>
            <w:tcW w:w="1260"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财政拨款收入</w:t>
            </w:r>
          </w:p>
        </w:tc>
        <w:tc>
          <w:tcPr>
            <w:tcW w:w="915"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上级补助收入</w:t>
            </w:r>
          </w:p>
        </w:tc>
        <w:tc>
          <w:tcPr>
            <w:tcW w:w="915"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事业收入</w:t>
            </w:r>
          </w:p>
        </w:tc>
        <w:tc>
          <w:tcPr>
            <w:tcW w:w="705"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经营收入</w:t>
            </w:r>
          </w:p>
        </w:tc>
        <w:tc>
          <w:tcPr>
            <w:tcW w:w="930"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附属单位上缴收入</w:t>
            </w:r>
          </w:p>
        </w:tc>
        <w:tc>
          <w:tcPr>
            <w:tcW w:w="693"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其他收入</w:t>
            </w:r>
          </w:p>
        </w:tc>
      </w:tr>
      <w:tr w:rsidR="00477888">
        <w:trPr>
          <w:trHeight w:val="312"/>
        </w:trPr>
        <w:tc>
          <w:tcPr>
            <w:tcW w:w="2702" w:type="dxa"/>
            <w:gridSpan w:val="3"/>
            <w:vMerge w:val="restart"/>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417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35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26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3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693"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12"/>
        </w:trPr>
        <w:tc>
          <w:tcPr>
            <w:tcW w:w="2702"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417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5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26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3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693"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12"/>
        </w:trPr>
        <w:tc>
          <w:tcPr>
            <w:tcW w:w="2702"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417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5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26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1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3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693"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08"/>
        </w:trPr>
        <w:tc>
          <w:tcPr>
            <w:tcW w:w="6872" w:type="dxa"/>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1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1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70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93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693"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7</w:t>
            </w:r>
          </w:p>
        </w:tc>
      </w:tr>
      <w:tr w:rsidR="00477888">
        <w:trPr>
          <w:trHeight w:val="308"/>
        </w:trPr>
        <w:tc>
          <w:tcPr>
            <w:tcW w:w="6872" w:type="dxa"/>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2,181.22</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2,080.63</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100.59</w:t>
            </w: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1,718.91</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1,618.32</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1,718.91</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1,618.32</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2070107</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艺术表演团体</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1,584.03</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1,483.44</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100.59</w:t>
            </w: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2070111</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文化创作与保护</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8.13</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8.13</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126.75</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126.75</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383.56</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383.56</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2080502</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事业单位离退休</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260.59</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260.59</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122.97</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122.97</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2702"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2101102</w:t>
            </w:r>
          </w:p>
        </w:tc>
        <w:tc>
          <w:tcPr>
            <w:tcW w:w="417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事业单位医疗</w:t>
            </w:r>
          </w:p>
        </w:tc>
        <w:tc>
          <w:tcPr>
            <w:tcW w:w="135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1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3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693"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13640" w:type="dxa"/>
            <w:gridSpan w:val="11"/>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注：本表反映单位本年度取得的各项收入情况。本表金额转换为万元时，因四舍五入可能存在尾差。</w:t>
            </w:r>
          </w:p>
        </w:tc>
      </w:tr>
    </w:tbl>
    <w:tbl>
      <w:tblPr>
        <w:tblpPr w:leftFromText="180" w:rightFromText="180" w:vertAnchor="text" w:horzAnchor="page" w:tblpX="1476" w:tblpY="81"/>
        <w:tblOverlap w:val="never"/>
        <w:tblW w:w="13921" w:type="dxa"/>
        <w:tblLayout w:type="fixed"/>
        <w:tblLook w:val="04A0"/>
      </w:tblPr>
      <w:tblGrid>
        <w:gridCol w:w="1650"/>
        <w:gridCol w:w="255"/>
        <w:gridCol w:w="1110"/>
        <w:gridCol w:w="4401"/>
        <w:gridCol w:w="1314"/>
        <w:gridCol w:w="1314"/>
        <w:gridCol w:w="1075"/>
        <w:gridCol w:w="761"/>
        <w:gridCol w:w="705"/>
        <w:gridCol w:w="1336"/>
      </w:tblGrid>
      <w:tr w:rsidR="00477888">
        <w:trPr>
          <w:trHeight w:val="390"/>
        </w:trPr>
        <w:tc>
          <w:tcPr>
            <w:tcW w:w="13921" w:type="dxa"/>
            <w:gridSpan w:val="10"/>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t>支出决算表</w:t>
            </w:r>
          </w:p>
        </w:tc>
      </w:tr>
      <w:tr w:rsidR="00477888">
        <w:trPr>
          <w:trHeight w:val="357"/>
        </w:trPr>
        <w:tc>
          <w:tcPr>
            <w:tcW w:w="165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5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11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4401"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314"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314"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07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761"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041"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公开03表</w:t>
            </w:r>
          </w:p>
        </w:tc>
      </w:tr>
      <w:tr w:rsidR="00477888">
        <w:trPr>
          <w:trHeight w:val="255"/>
        </w:trPr>
        <w:tc>
          <w:tcPr>
            <w:tcW w:w="3015" w:type="dxa"/>
            <w:gridSpan w:val="3"/>
            <w:tcBorders>
              <w:top w:val="nil"/>
              <w:left w:val="nil"/>
              <w:bottom w:val="nil"/>
              <w:right w:val="nil"/>
            </w:tcBorders>
            <w:noWrap/>
            <w:vAlign w:val="bottom"/>
          </w:tcPr>
          <w:p w:rsidR="00477888" w:rsidRDefault="00EE123B">
            <w:pPr>
              <w:rPr>
                <w:rFonts w:ascii="Arial" w:hAnsi="Arial" w:cs="Arial"/>
                <w:color w:val="000000"/>
                <w:sz w:val="20"/>
                <w:szCs w:val="20"/>
              </w:rPr>
            </w:pPr>
            <w:r>
              <w:rPr>
                <w:rFonts w:ascii="宋体" w:hAnsi="宋体" w:cs="宋体" w:hint="eastAsia"/>
                <w:color w:val="000000"/>
                <w:kern w:val="0"/>
                <w:sz w:val="20"/>
                <w:szCs w:val="20"/>
              </w:rPr>
              <w:t>单位：许昌市戏曲艺术发展中心</w:t>
            </w:r>
          </w:p>
        </w:tc>
        <w:tc>
          <w:tcPr>
            <w:tcW w:w="4401"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314"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314"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07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761"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041"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477888">
        <w:trPr>
          <w:trHeight w:val="308"/>
        </w:trPr>
        <w:tc>
          <w:tcPr>
            <w:tcW w:w="7416" w:type="dxa"/>
            <w:gridSpan w:val="4"/>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314"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本年支出合计</w:t>
            </w:r>
          </w:p>
        </w:tc>
        <w:tc>
          <w:tcPr>
            <w:tcW w:w="1314"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075"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761"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上缴上级支出</w:t>
            </w:r>
          </w:p>
        </w:tc>
        <w:tc>
          <w:tcPr>
            <w:tcW w:w="705"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经营支出</w:t>
            </w:r>
          </w:p>
        </w:tc>
        <w:tc>
          <w:tcPr>
            <w:tcW w:w="1336"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对附属单位补助支出</w:t>
            </w:r>
          </w:p>
        </w:tc>
      </w:tr>
      <w:tr w:rsidR="00477888">
        <w:trPr>
          <w:trHeight w:val="312"/>
        </w:trPr>
        <w:tc>
          <w:tcPr>
            <w:tcW w:w="3015" w:type="dxa"/>
            <w:gridSpan w:val="3"/>
            <w:vMerge w:val="restart"/>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4401"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314"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14"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07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61"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36"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12"/>
        </w:trPr>
        <w:tc>
          <w:tcPr>
            <w:tcW w:w="3015"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4401"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14"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14"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07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61"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36"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12"/>
        </w:trPr>
        <w:tc>
          <w:tcPr>
            <w:tcW w:w="3015"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4401"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14"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14"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07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61"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05"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36"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08"/>
        </w:trPr>
        <w:tc>
          <w:tcPr>
            <w:tcW w:w="7416" w:type="dxa"/>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07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761"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70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336"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477888">
        <w:trPr>
          <w:trHeight w:val="308"/>
        </w:trPr>
        <w:tc>
          <w:tcPr>
            <w:tcW w:w="7416" w:type="dxa"/>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3,264.25</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2,572.73</w:t>
            </w: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691.51</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2,801.93</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2,110.42</w:t>
            </w: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691.51</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2,676.93</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2,110.42</w:t>
            </w: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566.51</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2070107</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艺术表演团体</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2,281.54</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2,110.42</w:t>
            </w: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171.12</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2070109</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群众文化</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213.75</w:t>
            </w:r>
          </w:p>
        </w:tc>
        <w:tc>
          <w:tcPr>
            <w:tcW w:w="131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213.75</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2070111</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文化创作与保护</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c>
          <w:tcPr>
            <w:tcW w:w="131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126.75</w:t>
            </w:r>
          </w:p>
        </w:tc>
        <w:tc>
          <w:tcPr>
            <w:tcW w:w="131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126.75</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20799</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其他文化旅游体育与传媒支出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c>
          <w:tcPr>
            <w:tcW w:w="131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2079999</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其他文化旅游体育与传媒支出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c>
          <w:tcPr>
            <w:tcW w:w="131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7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383.56</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383.56</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2080502</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事业单位离退休</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260.59</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260.59</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122.97</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122.97</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21011</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015"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2101102</w:t>
            </w:r>
          </w:p>
        </w:tc>
        <w:tc>
          <w:tcPr>
            <w:tcW w:w="4401"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事业单位医疗</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314"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07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6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0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33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13921" w:type="dxa"/>
            <w:gridSpan w:val="10"/>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注：本表反映单位本年度各项支出情况。本表金额转换为万元时，因四舍五入可能存在尾差。</w:t>
            </w:r>
          </w:p>
        </w:tc>
      </w:tr>
    </w:tbl>
    <w:p w:rsidR="00477888" w:rsidRDefault="00477888">
      <w:pPr>
        <w:rPr>
          <w:rFonts w:ascii="仿宋_GB2312" w:eastAsia="仿宋_GB2312" w:hAnsi="仿宋_GB2312" w:cs="仿宋_GB2312"/>
          <w:sz w:val="32"/>
          <w:szCs w:val="32"/>
        </w:rPr>
      </w:pPr>
    </w:p>
    <w:p w:rsidR="00477888" w:rsidRDefault="00477888">
      <w:pPr>
        <w:rPr>
          <w:rFonts w:ascii="仿宋_GB2312" w:eastAsia="仿宋_GB2312" w:hAnsi="仿宋_GB2312" w:cs="仿宋_GB2312"/>
          <w:sz w:val="32"/>
          <w:szCs w:val="32"/>
        </w:rPr>
        <w:sectPr w:rsidR="00477888">
          <w:pgSz w:w="16838" w:h="11906" w:orient="landscape"/>
          <w:pgMar w:top="1800" w:right="1440" w:bottom="1800" w:left="1440" w:header="720" w:footer="720" w:gutter="0"/>
          <w:pgNumType w:fmt="numberInDash"/>
          <w:cols w:space="720"/>
          <w:docGrid w:type="lines" w:linePitch="312"/>
        </w:sectPr>
      </w:pPr>
    </w:p>
    <w:tbl>
      <w:tblPr>
        <w:tblW w:w="13651" w:type="dxa"/>
        <w:tblInd w:w="93" w:type="dxa"/>
        <w:tblLayout w:type="fixed"/>
        <w:tblLook w:val="04A0"/>
      </w:tblPr>
      <w:tblGrid>
        <w:gridCol w:w="3270"/>
        <w:gridCol w:w="519"/>
        <w:gridCol w:w="1260"/>
        <w:gridCol w:w="3660"/>
        <w:gridCol w:w="519"/>
        <w:gridCol w:w="1096"/>
        <w:gridCol w:w="1155"/>
        <w:gridCol w:w="988"/>
        <w:gridCol w:w="1184"/>
      </w:tblGrid>
      <w:tr w:rsidR="00477888">
        <w:trPr>
          <w:trHeight w:val="390"/>
        </w:trPr>
        <w:tc>
          <w:tcPr>
            <w:tcW w:w="13651" w:type="dxa"/>
            <w:gridSpan w:val="9"/>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财政拨款收入支出决算总表</w:t>
            </w:r>
          </w:p>
        </w:tc>
      </w:tr>
      <w:tr w:rsidR="00477888">
        <w:trPr>
          <w:trHeight w:val="255"/>
        </w:trPr>
        <w:tc>
          <w:tcPr>
            <w:tcW w:w="327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519"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26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366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519"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096"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15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988"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184" w:type="dxa"/>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公开04表</w:t>
            </w:r>
          </w:p>
        </w:tc>
      </w:tr>
      <w:tr w:rsidR="00477888">
        <w:trPr>
          <w:trHeight w:val="255"/>
        </w:trPr>
        <w:tc>
          <w:tcPr>
            <w:tcW w:w="3270" w:type="dxa"/>
            <w:tcBorders>
              <w:top w:val="nil"/>
              <w:left w:val="nil"/>
              <w:bottom w:val="nil"/>
              <w:right w:val="nil"/>
            </w:tcBorders>
            <w:noWrap/>
            <w:vAlign w:val="bottom"/>
          </w:tcPr>
          <w:p w:rsidR="00477888" w:rsidRDefault="00EE123B">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单位：许昌市戏曲艺术发展中心</w:t>
            </w:r>
          </w:p>
        </w:tc>
        <w:tc>
          <w:tcPr>
            <w:tcW w:w="519"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26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366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519"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096"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15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172"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477888">
        <w:trPr>
          <w:trHeight w:val="308"/>
        </w:trPr>
        <w:tc>
          <w:tcPr>
            <w:tcW w:w="5049" w:type="dxa"/>
            <w:gridSpan w:val="3"/>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收     入</w:t>
            </w:r>
          </w:p>
        </w:tc>
        <w:tc>
          <w:tcPr>
            <w:tcW w:w="8602" w:type="dxa"/>
            <w:gridSpan w:val="6"/>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支     出</w:t>
            </w:r>
          </w:p>
        </w:tc>
      </w:tr>
      <w:tr w:rsidR="00477888">
        <w:trPr>
          <w:trHeight w:val="312"/>
        </w:trPr>
        <w:tc>
          <w:tcPr>
            <w:tcW w:w="3270" w:type="dxa"/>
            <w:vMerge w:val="restart"/>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519"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26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366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519"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096"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55"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988"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c>
          <w:tcPr>
            <w:tcW w:w="1184"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国有资本经营预算财政拨款</w:t>
            </w:r>
          </w:p>
        </w:tc>
      </w:tr>
      <w:tr w:rsidR="00477888">
        <w:trPr>
          <w:trHeight w:val="615"/>
        </w:trPr>
        <w:tc>
          <w:tcPr>
            <w:tcW w:w="3270" w:type="dxa"/>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519"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26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366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519"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096"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155"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88"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184"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519" w:type="dxa"/>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26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366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519" w:type="dxa"/>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096"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5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88"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184"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w:t>
            </w: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2,080.63</w:t>
            </w: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三、国有资本经营财政拨款</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1096"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2,619.39</w:t>
            </w:r>
          </w:p>
        </w:tc>
        <w:tc>
          <w:tcPr>
            <w:tcW w:w="115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2,619.39</w:t>
            </w: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1096"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115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1096"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115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十四、资源勘探工业信息等支出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二十一、国有资本经营预算支出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二十二、灾害防治及应急管理支出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二十三、其他支出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b/>
                <w:bCs/>
                <w:color w:val="000000"/>
                <w:sz w:val="20"/>
                <w:szCs w:val="20"/>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二十四、债务还本支出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0"/>
                <w:szCs w:val="20"/>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二十五、债务付息支出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0"/>
                <w:szCs w:val="20"/>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二十六、抗疫特别国债安排的支出</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本年收入合计</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2,080.63</w:t>
            </w:r>
          </w:p>
        </w:tc>
        <w:tc>
          <w:tcPr>
            <w:tcW w:w="366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本年支出合计</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1096"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3,081.70</w:t>
            </w:r>
          </w:p>
        </w:tc>
        <w:tc>
          <w:tcPr>
            <w:tcW w:w="115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3,081.70</w:t>
            </w: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1,001.07</w:t>
            </w:r>
          </w:p>
        </w:tc>
        <w:tc>
          <w:tcPr>
            <w:tcW w:w="366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一般公共预算财政拨款</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1,001.07</w:t>
            </w:r>
          </w:p>
        </w:tc>
        <w:tc>
          <w:tcPr>
            <w:tcW w:w="3660"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61</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政府性基金预算财政拨款</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30</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62</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国有资本经营预算财政拨款</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31</w:t>
            </w:r>
          </w:p>
        </w:tc>
        <w:tc>
          <w:tcPr>
            <w:tcW w:w="126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3660"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63</w:t>
            </w:r>
          </w:p>
        </w:tc>
        <w:tc>
          <w:tcPr>
            <w:tcW w:w="1096"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55"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3270" w:type="dxa"/>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519" w:type="dxa"/>
            <w:tcBorders>
              <w:top w:val="nil"/>
              <w:left w:val="nil"/>
              <w:bottom w:val="single" w:sz="8"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126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3,081.70</w:t>
            </w:r>
          </w:p>
        </w:tc>
        <w:tc>
          <w:tcPr>
            <w:tcW w:w="366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b/>
                <w:bCs/>
                <w:color w:val="000000"/>
                <w:sz w:val="22"/>
              </w:rPr>
            </w:pPr>
            <w:r>
              <w:rPr>
                <w:rFonts w:ascii="宋体" w:hAnsi="宋体" w:cs="宋体" w:hint="eastAsia"/>
                <w:b/>
                <w:bCs/>
                <w:color w:val="000000"/>
                <w:kern w:val="0"/>
                <w:sz w:val="22"/>
              </w:rPr>
              <w:t>总计</w:t>
            </w:r>
          </w:p>
        </w:tc>
        <w:tc>
          <w:tcPr>
            <w:tcW w:w="519"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64</w:t>
            </w:r>
          </w:p>
        </w:tc>
        <w:tc>
          <w:tcPr>
            <w:tcW w:w="1096"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3,081.70</w:t>
            </w:r>
          </w:p>
        </w:tc>
        <w:tc>
          <w:tcPr>
            <w:tcW w:w="1155"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3,081.70</w:t>
            </w:r>
          </w:p>
        </w:tc>
        <w:tc>
          <w:tcPr>
            <w:tcW w:w="988"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184"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585"/>
        </w:trPr>
        <w:tc>
          <w:tcPr>
            <w:tcW w:w="13651" w:type="dxa"/>
            <w:gridSpan w:val="9"/>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注：本表反映单位本年度一般公共预算财政拨款、政府性基金预算财政拨款和国有资本经营预算财政拨款的总收支和年末结转结余情况。本表金额转换为万元时，因四舍五入可能存在尾差。</w:t>
            </w:r>
          </w:p>
        </w:tc>
      </w:tr>
    </w:tbl>
    <w:p w:rsidR="00477888" w:rsidRDefault="00477888">
      <w:pPr>
        <w:rPr>
          <w:rFonts w:ascii="仿宋_GB2312" w:eastAsia="仿宋_GB2312" w:hAnsi="仿宋_GB2312" w:cs="仿宋_GB2312"/>
          <w:sz w:val="32"/>
          <w:szCs w:val="32"/>
        </w:rPr>
        <w:sectPr w:rsidR="00477888">
          <w:pgSz w:w="16838" w:h="11906" w:orient="landscape"/>
          <w:pgMar w:top="1800" w:right="1440" w:bottom="1800" w:left="1440" w:header="720" w:footer="720" w:gutter="0"/>
          <w:pgNumType w:fmt="numberInDash"/>
          <w:cols w:space="720"/>
          <w:docGrid w:type="lines" w:linePitch="312"/>
        </w:sectPr>
      </w:pPr>
    </w:p>
    <w:tbl>
      <w:tblPr>
        <w:tblW w:w="13480" w:type="dxa"/>
        <w:tblInd w:w="93" w:type="dxa"/>
        <w:tblLayout w:type="fixed"/>
        <w:tblLook w:val="04A0"/>
      </w:tblPr>
      <w:tblGrid>
        <w:gridCol w:w="2982"/>
        <w:gridCol w:w="236"/>
        <w:gridCol w:w="236"/>
        <w:gridCol w:w="4352"/>
        <w:gridCol w:w="1483"/>
        <w:gridCol w:w="2151"/>
        <w:gridCol w:w="2040"/>
      </w:tblGrid>
      <w:tr w:rsidR="00477888">
        <w:trPr>
          <w:trHeight w:val="90"/>
        </w:trPr>
        <w:tc>
          <w:tcPr>
            <w:tcW w:w="13480" w:type="dxa"/>
            <w:gridSpan w:val="7"/>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一般公共预算财政拨款支出决算表</w:t>
            </w:r>
          </w:p>
        </w:tc>
      </w:tr>
      <w:tr w:rsidR="00477888">
        <w:trPr>
          <w:trHeight w:val="90"/>
        </w:trPr>
        <w:tc>
          <w:tcPr>
            <w:tcW w:w="2982"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36"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36"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4352"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483"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151"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040" w:type="dxa"/>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公开05表</w:t>
            </w:r>
          </w:p>
        </w:tc>
      </w:tr>
      <w:tr w:rsidR="00477888">
        <w:trPr>
          <w:trHeight w:val="90"/>
        </w:trPr>
        <w:tc>
          <w:tcPr>
            <w:tcW w:w="2982" w:type="dxa"/>
            <w:tcBorders>
              <w:top w:val="nil"/>
              <w:left w:val="nil"/>
              <w:bottom w:val="nil"/>
              <w:right w:val="nil"/>
            </w:tcBorders>
            <w:noWrap/>
            <w:vAlign w:val="bottom"/>
          </w:tcPr>
          <w:p w:rsidR="00477888" w:rsidRDefault="00EE123B">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单位：许昌市戏曲艺术发展中心</w:t>
            </w:r>
          </w:p>
        </w:tc>
        <w:tc>
          <w:tcPr>
            <w:tcW w:w="236"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36"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4352"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483"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4191"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477888">
        <w:trPr>
          <w:trHeight w:val="90"/>
        </w:trPr>
        <w:tc>
          <w:tcPr>
            <w:tcW w:w="7806" w:type="dxa"/>
            <w:gridSpan w:val="4"/>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5674" w:type="dxa"/>
            <w:gridSpan w:val="3"/>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r>
      <w:tr w:rsidR="00477888">
        <w:trPr>
          <w:trHeight w:val="312"/>
        </w:trPr>
        <w:tc>
          <w:tcPr>
            <w:tcW w:w="3454" w:type="dxa"/>
            <w:gridSpan w:val="3"/>
            <w:vMerge w:val="restart"/>
            <w:tcBorders>
              <w:top w:val="nil"/>
              <w:left w:val="single" w:sz="4" w:space="0" w:color="000000"/>
              <w:bottom w:val="single" w:sz="4" w:space="0" w:color="000000"/>
              <w:right w:val="single" w:sz="4" w:space="0" w:color="000000"/>
            </w:tcBorders>
            <w:noWrap/>
            <w:vAlign w:val="center"/>
          </w:tcPr>
          <w:p w:rsidR="00477888" w:rsidRDefault="00EE123B">
            <w:pPr>
              <w:widowControl/>
              <w:adjustRightInd w:val="0"/>
              <w:snapToGrid w:val="0"/>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4352" w:type="dxa"/>
            <w:vMerge w:val="restart"/>
            <w:tcBorders>
              <w:top w:val="nil"/>
              <w:left w:val="nil"/>
              <w:bottom w:val="single" w:sz="4" w:space="0" w:color="000000"/>
              <w:right w:val="single" w:sz="4" w:space="0" w:color="000000"/>
            </w:tcBorders>
            <w:noWrap/>
            <w:vAlign w:val="center"/>
          </w:tcPr>
          <w:p w:rsidR="00477888" w:rsidRDefault="00EE123B">
            <w:pPr>
              <w:widowControl/>
              <w:adjustRightInd w:val="0"/>
              <w:snapToGrid w:val="0"/>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83" w:type="dxa"/>
            <w:vMerge w:val="restart"/>
            <w:tcBorders>
              <w:top w:val="nil"/>
              <w:left w:val="nil"/>
              <w:bottom w:val="single" w:sz="4" w:space="0" w:color="000000"/>
              <w:right w:val="single" w:sz="4" w:space="0" w:color="000000"/>
            </w:tcBorders>
            <w:noWrap/>
            <w:vAlign w:val="center"/>
          </w:tcPr>
          <w:p w:rsidR="00477888" w:rsidRDefault="00EE123B">
            <w:pPr>
              <w:widowControl/>
              <w:adjustRightInd w:val="0"/>
              <w:snapToGrid w:val="0"/>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2151" w:type="dxa"/>
            <w:vMerge w:val="restart"/>
            <w:tcBorders>
              <w:top w:val="nil"/>
              <w:left w:val="nil"/>
              <w:bottom w:val="single" w:sz="4" w:space="0" w:color="000000"/>
              <w:right w:val="single" w:sz="4" w:space="0" w:color="000000"/>
            </w:tcBorders>
            <w:noWrap/>
            <w:vAlign w:val="center"/>
          </w:tcPr>
          <w:p w:rsidR="00477888" w:rsidRDefault="00EE123B">
            <w:pPr>
              <w:widowControl/>
              <w:adjustRightInd w:val="0"/>
              <w:snapToGrid w:val="0"/>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2040" w:type="dxa"/>
            <w:vMerge w:val="restart"/>
            <w:tcBorders>
              <w:top w:val="nil"/>
              <w:left w:val="nil"/>
              <w:bottom w:val="single" w:sz="4" w:space="0" w:color="000000"/>
              <w:right w:val="single" w:sz="4" w:space="0" w:color="000000"/>
            </w:tcBorders>
            <w:noWrap/>
            <w:vAlign w:val="center"/>
          </w:tcPr>
          <w:p w:rsidR="00477888" w:rsidRDefault="00EE123B">
            <w:pPr>
              <w:widowControl/>
              <w:adjustRightInd w:val="0"/>
              <w:snapToGrid w:val="0"/>
              <w:jc w:val="center"/>
              <w:textAlignment w:val="center"/>
              <w:rPr>
                <w:rFonts w:ascii="宋体" w:hAnsi="宋体" w:cs="宋体"/>
                <w:color w:val="000000"/>
                <w:sz w:val="22"/>
              </w:rPr>
            </w:pPr>
            <w:r>
              <w:rPr>
                <w:rFonts w:ascii="宋体" w:hAnsi="宋体" w:cs="宋体" w:hint="eastAsia"/>
                <w:color w:val="000000"/>
                <w:kern w:val="0"/>
                <w:sz w:val="22"/>
              </w:rPr>
              <w:t>项目支出</w:t>
            </w:r>
          </w:p>
        </w:tc>
      </w:tr>
      <w:tr w:rsidR="00477888">
        <w:trPr>
          <w:trHeight w:val="312"/>
        </w:trPr>
        <w:tc>
          <w:tcPr>
            <w:tcW w:w="3454"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4352"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83"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2151"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20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12"/>
        </w:trPr>
        <w:tc>
          <w:tcPr>
            <w:tcW w:w="3454"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4352"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83"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2151"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20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90"/>
        </w:trPr>
        <w:tc>
          <w:tcPr>
            <w:tcW w:w="7806" w:type="dxa"/>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204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r>
      <w:tr w:rsidR="00477888">
        <w:trPr>
          <w:trHeight w:val="90"/>
        </w:trPr>
        <w:tc>
          <w:tcPr>
            <w:tcW w:w="7806" w:type="dxa"/>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3,081.70</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2,473.72</w:t>
            </w: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b/>
                <w:bCs/>
                <w:color w:val="000000"/>
                <w:sz w:val="22"/>
              </w:rPr>
            </w:pPr>
            <w:r>
              <w:rPr>
                <w:rFonts w:ascii="宋体" w:hAnsi="宋体" w:cs="宋体" w:hint="eastAsia"/>
                <w:b/>
                <w:bCs/>
                <w:color w:val="000000"/>
                <w:kern w:val="0"/>
                <w:sz w:val="22"/>
              </w:rPr>
              <w:t>607.98</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文化旅游体育与传媒支出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2,619.39</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2,011.40</w:t>
            </w: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607.98</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文化和旅游</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2,494.39</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2,011.40</w:t>
            </w: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482.98</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2070107</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艺术表演团体</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2,098.99</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2,011.40</w:t>
            </w: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87.59</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2070109</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群众文化</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213.75</w:t>
            </w:r>
          </w:p>
        </w:tc>
        <w:tc>
          <w:tcPr>
            <w:tcW w:w="215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213.75</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2070111</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文化创作与保护</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c>
          <w:tcPr>
            <w:tcW w:w="215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54.89</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2070199</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其他文化和旅游支出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126.75</w:t>
            </w:r>
          </w:p>
        </w:tc>
        <w:tc>
          <w:tcPr>
            <w:tcW w:w="215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126.75</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20799</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其他文化旅游体育与传媒支出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c>
          <w:tcPr>
            <w:tcW w:w="215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2079999</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其他文化旅游体育与传媒支出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c>
          <w:tcPr>
            <w:tcW w:w="2151"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2040"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125.00</w:t>
            </w: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社会保障和就业支出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404.94</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行政事业单位养老支出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383.56</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383.56</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2080502</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事业单位离退休</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260.59</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260.59</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2080505</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122.97</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122.97</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20808</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抚恤</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2080801</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死亡抚恤</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卫生健康支出</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21011</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行政事业单位医疗</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3454" w:type="dxa"/>
            <w:gridSpan w:val="3"/>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2101102</w:t>
            </w:r>
          </w:p>
        </w:tc>
        <w:tc>
          <w:tcPr>
            <w:tcW w:w="4352"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事业单位医疗</w:t>
            </w:r>
          </w:p>
        </w:tc>
        <w:tc>
          <w:tcPr>
            <w:tcW w:w="1483"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2151"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57.37</w:t>
            </w:r>
          </w:p>
        </w:tc>
        <w:tc>
          <w:tcPr>
            <w:tcW w:w="204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90"/>
        </w:trPr>
        <w:tc>
          <w:tcPr>
            <w:tcW w:w="13480" w:type="dxa"/>
            <w:gridSpan w:val="7"/>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注：本表反映单位本年度一般公共预算财政拨款支出情况。本套报表金额单位转换时可能存在尾数误差。</w:t>
            </w:r>
          </w:p>
        </w:tc>
      </w:tr>
    </w:tbl>
    <w:p w:rsidR="00477888" w:rsidRDefault="00477888">
      <w:pPr>
        <w:rPr>
          <w:rFonts w:ascii="仿宋_GB2312" w:eastAsia="仿宋_GB2312" w:hAnsi="仿宋_GB2312" w:cs="仿宋_GB2312"/>
          <w:sz w:val="32"/>
          <w:szCs w:val="32"/>
        </w:rPr>
        <w:sectPr w:rsidR="00477888">
          <w:pgSz w:w="16838" w:h="11906" w:orient="landscape"/>
          <w:pgMar w:top="1800" w:right="1440" w:bottom="1800" w:left="1440" w:header="720" w:footer="720" w:gutter="0"/>
          <w:pgNumType w:fmt="numberInDash"/>
          <w:cols w:space="720"/>
          <w:docGrid w:type="lines" w:linePitch="312"/>
        </w:sectPr>
      </w:pPr>
    </w:p>
    <w:tbl>
      <w:tblPr>
        <w:tblW w:w="14081" w:type="dxa"/>
        <w:tblInd w:w="93" w:type="dxa"/>
        <w:tblLayout w:type="fixed"/>
        <w:tblLook w:val="04A0"/>
      </w:tblPr>
      <w:tblGrid>
        <w:gridCol w:w="857"/>
        <w:gridCol w:w="3540"/>
        <w:gridCol w:w="1317"/>
        <w:gridCol w:w="1008"/>
        <w:gridCol w:w="2550"/>
        <w:gridCol w:w="570"/>
        <w:gridCol w:w="795"/>
        <w:gridCol w:w="2955"/>
        <w:gridCol w:w="489"/>
      </w:tblGrid>
      <w:tr w:rsidR="00477888">
        <w:trPr>
          <w:trHeight w:val="390"/>
        </w:trPr>
        <w:tc>
          <w:tcPr>
            <w:tcW w:w="14081" w:type="dxa"/>
            <w:gridSpan w:val="9"/>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一般公共预算财政拨款基本支出决算表</w:t>
            </w:r>
          </w:p>
        </w:tc>
      </w:tr>
      <w:tr w:rsidR="00477888">
        <w:trPr>
          <w:trHeight w:val="255"/>
        </w:trPr>
        <w:tc>
          <w:tcPr>
            <w:tcW w:w="857"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354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317"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008"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55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57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79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3444"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公开06表</w:t>
            </w:r>
          </w:p>
        </w:tc>
      </w:tr>
      <w:tr w:rsidR="00477888">
        <w:trPr>
          <w:trHeight w:val="255"/>
        </w:trPr>
        <w:tc>
          <w:tcPr>
            <w:tcW w:w="4397" w:type="dxa"/>
            <w:gridSpan w:val="2"/>
            <w:tcBorders>
              <w:top w:val="nil"/>
              <w:left w:val="nil"/>
              <w:bottom w:val="nil"/>
              <w:right w:val="nil"/>
            </w:tcBorders>
            <w:noWrap/>
            <w:vAlign w:val="bottom"/>
          </w:tcPr>
          <w:p w:rsidR="00477888" w:rsidRDefault="00EE123B">
            <w:pPr>
              <w:rPr>
                <w:rFonts w:ascii="Arial" w:hAnsi="Arial" w:cs="Arial"/>
                <w:color w:val="000000"/>
                <w:sz w:val="20"/>
                <w:szCs w:val="20"/>
              </w:rPr>
            </w:pPr>
            <w:r>
              <w:rPr>
                <w:rFonts w:ascii="宋体" w:hAnsi="宋体" w:cs="宋体" w:hint="eastAsia"/>
                <w:color w:val="000000"/>
                <w:kern w:val="0"/>
                <w:sz w:val="20"/>
                <w:szCs w:val="20"/>
              </w:rPr>
              <w:t>单位：许昌市戏曲艺术发展中心</w:t>
            </w:r>
          </w:p>
        </w:tc>
        <w:tc>
          <w:tcPr>
            <w:tcW w:w="1317"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1008"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255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570"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795" w:type="dxa"/>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3444" w:type="dxa"/>
            <w:gridSpan w:val="2"/>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18"/>
                <w:szCs w:val="18"/>
              </w:rPr>
            </w:pPr>
            <w:r>
              <w:rPr>
                <w:rFonts w:ascii="宋体" w:hAnsi="宋体" w:cs="宋体" w:hint="eastAsia"/>
                <w:color w:val="000000"/>
                <w:kern w:val="0"/>
                <w:sz w:val="18"/>
                <w:szCs w:val="18"/>
              </w:rPr>
              <w:t>金额单位：万元</w:t>
            </w:r>
          </w:p>
        </w:tc>
      </w:tr>
      <w:tr w:rsidR="00477888">
        <w:trPr>
          <w:trHeight w:val="308"/>
        </w:trPr>
        <w:tc>
          <w:tcPr>
            <w:tcW w:w="5714" w:type="dxa"/>
            <w:gridSpan w:val="3"/>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8367" w:type="dxa"/>
            <w:gridSpan w:val="6"/>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477888">
        <w:trPr>
          <w:trHeight w:val="312"/>
        </w:trPr>
        <w:tc>
          <w:tcPr>
            <w:tcW w:w="857" w:type="dxa"/>
            <w:vMerge w:val="restart"/>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354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317"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1008"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55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57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c>
          <w:tcPr>
            <w:tcW w:w="795"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2955"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489"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477888">
        <w:trPr>
          <w:trHeight w:val="312"/>
        </w:trPr>
        <w:tc>
          <w:tcPr>
            <w:tcW w:w="857" w:type="dxa"/>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35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317"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008"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255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57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795"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2955"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489"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工资福利支出</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2,183.77</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商品和服务支出</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307</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债务利息及费用支出</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30101</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基本工资</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594.53</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30201</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30701</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国内债务付息</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30102</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津贴补贴</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66.64</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30202</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印刷费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30702</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国外债务付息</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30103</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奖金</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614.07</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30203</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咨询费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资本性支出</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30106</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伙食补助费</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30204</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手续费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31001</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房屋建筑物购建</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30107</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绩效工资</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299.32</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30205</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水费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31002</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办公设备购置</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30108</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机关事业单位基本养老保险缴费</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195.47</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30206</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电费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31003</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专用设备购置</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30109</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职业年金缴费</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25.88</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30207</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邮电费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31005</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基础设施建设</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30110</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职工基本医疗保险缴费</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106.89</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30208</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取暖费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31006</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大型修缮</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30111</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公务员医疗补助缴费</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30209</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物业管理费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31007</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信息网络及软件购置更新</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30112</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其他社会保障缴费</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18.23</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30211</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差旅费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31008</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物资储备</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30113</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住房公积金</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112.72</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30212</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因公出国（境）费用</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31009</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土地补偿</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30114</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30213</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维修（护）费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31010</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安置补助</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30199</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其他工资福利支出</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150.02</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30214</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租赁费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31011</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地上附着物和青苗补偿</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对个人和家庭的补助</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289.95</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30215</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会议费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31012</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拆迁补偿</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30301</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离休费</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30216</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培训费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31013</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公务用车购置</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30302</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退休费</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248.02</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30217</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公务接待费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31019</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其他交通工具购置</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30303</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退职（役）费</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30218</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专用材料费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31021</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文物和陈列品购置</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30304</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抚恤金</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21.38</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30224</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被装购置费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31022</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无形资产购置</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30305</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生活补助</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20.55</w:t>
            </w: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30225</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专用燃料费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31099</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其他资本性支出</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30306</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救济费</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30226</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劳务费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399</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30307</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医疗费补助</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30227</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委托业务费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39906</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赠与</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30308</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助学金</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30228</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工会经费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39907</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国家赔偿费用支出</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30309</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奖励金</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30229</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福利费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39908</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对民间非营利组织和群众性自治组织补贴</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30310</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个人农业生产补贴</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30231</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公务用车运行维护费</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39999</w:t>
            </w:r>
          </w:p>
        </w:tc>
        <w:tc>
          <w:tcPr>
            <w:tcW w:w="2955"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其他支出</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30311</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代缴社会保险费</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30239</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其他交通费用</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2955"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30399</w:t>
            </w:r>
          </w:p>
        </w:tc>
        <w:tc>
          <w:tcPr>
            <w:tcW w:w="354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其他对个人和家庭的补助</w:t>
            </w: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30240</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税金及附加费用</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2955"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857" w:type="dxa"/>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3540"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1317"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1008"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30299</w:t>
            </w:r>
          </w:p>
        </w:tc>
        <w:tc>
          <w:tcPr>
            <w:tcW w:w="2550" w:type="dxa"/>
            <w:tcBorders>
              <w:top w:val="nil"/>
              <w:left w:val="nil"/>
              <w:bottom w:val="single" w:sz="4" w:space="0" w:color="000000"/>
              <w:right w:val="single" w:sz="4" w:space="0" w:color="000000"/>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 xml:space="preserve">  其他商品和服务支出</w:t>
            </w:r>
          </w:p>
        </w:tc>
        <w:tc>
          <w:tcPr>
            <w:tcW w:w="570"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795"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2955" w:type="dxa"/>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4397" w:type="dxa"/>
            <w:gridSpan w:val="2"/>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1317" w:type="dxa"/>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2,473.72</w:t>
            </w:r>
          </w:p>
        </w:tc>
        <w:tc>
          <w:tcPr>
            <w:tcW w:w="7878" w:type="dxa"/>
            <w:gridSpan w:val="5"/>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w:t>
            </w:r>
          </w:p>
        </w:tc>
        <w:tc>
          <w:tcPr>
            <w:tcW w:w="489" w:type="dxa"/>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14081" w:type="dxa"/>
            <w:gridSpan w:val="9"/>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注：本表反映单位本年度一般公共预算财政拨款基本支出明细情况。本表金额转换为万元时，因四舍五入可能存在尾差。</w:t>
            </w:r>
          </w:p>
        </w:tc>
      </w:tr>
    </w:tbl>
    <w:p w:rsidR="00477888" w:rsidRDefault="00477888">
      <w:pPr>
        <w:rPr>
          <w:rFonts w:ascii="仿宋_GB2312" w:eastAsia="仿宋_GB2312" w:hAnsi="仿宋_GB2312" w:cs="仿宋_GB2312"/>
          <w:sz w:val="32"/>
          <w:szCs w:val="32"/>
        </w:rPr>
        <w:sectPr w:rsidR="00477888">
          <w:pgSz w:w="16838" w:h="11906" w:orient="landscape"/>
          <w:pgMar w:top="1800" w:right="1440" w:bottom="1800" w:left="1440" w:header="720" w:footer="720" w:gutter="0"/>
          <w:pgNumType w:fmt="numberInDash"/>
          <w:cols w:space="720"/>
          <w:docGrid w:type="lines" w:linePitch="312"/>
        </w:sectPr>
      </w:pPr>
    </w:p>
    <w:tbl>
      <w:tblPr>
        <w:tblW w:w="13650" w:type="dxa"/>
        <w:tblInd w:w="93" w:type="dxa"/>
        <w:tblLook w:val="04A0"/>
      </w:tblPr>
      <w:tblGrid>
        <w:gridCol w:w="2624"/>
        <w:gridCol w:w="895"/>
        <w:gridCol w:w="881"/>
        <w:gridCol w:w="868"/>
        <w:gridCol w:w="1075"/>
        <w:gridCol w:w="972"/>
        <w:gridCol w:w="1242"/>
        <w:gridCol w:w="1010"/>
        <w:gridCol w:w="1010"/>
        <w:gridCol w:w="1010"/>
        <w:gridCol w:w="1075"/>
        <w:gridCol w:w="1419"/>
      </w:tblGrid>
      <w:tr w:rsidR="00477888">
        <w:trPr>
          <w:trHeight w:val="540"/>
        </w:trPr>
        <w:tc>
          <w:tcPr>
            <w:tcW w:w="13650" w:type="dxa"/>
            <w:gridSpan w:val="12"/>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44"/>
                <w:szCs w:val="44"/>
              </w:rPr>
            </w:pPr>
            <w:r>
              <w:rPr>
                <w:rFonts w:ascii="宋体" w:hAnsi="宋体" w:cs="宋体" w:hint="eastAsia"/>
                <w:color w:val="000000"/>
                <w:kern w:val="0"/>
                <w:sz w:val="44"/>
                <w:szCs w:val="44"/>
              </w:rPr>
              <w:lastRenderedPageBreak/>
              <w:t>一般公共预算财政拨款“三公”经费支出决算表</w:t>
            </w:r>
          </w:p>
        </w:tc>
      </w:tr>
      <w:tr w:rsidR="00477888">
        <w:trPr>
          <w:trHeight w:val="255"/>
        </w:trPr>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公开07表</w:t>
            </w:r>
          </w:p>
        </w:tc>
      </w:tr>
      <w:tr w:rsidR="00477888">
        <w:trPr>
          <w:trHeight w:val="255"/>
        </w:trPr>
        <w:tc>
          <w:tcPr>
            <w:tcW w:w="0" w:type="auto"/>
            <w:tcBorders>
              <w:top w:val="nil"/>
              <w:left w:val="nil"/>
              <w:bottom w:val="nil"/>
              <w:right w:val="nil"/>
            </w:tcBorders>
            <w:noWrap/>
            <w:vAlign w:val="bottom"/>
          </w:tcPr>
          <w:p w:rsidR="00477888" w:rsidRDefault="00EE123B">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单位：许昌市戏曲艺术发展中心</w:t>
            </w: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477888">
        <w:trPr>
          <w:trHeight w:val="308"/>
        </w:trPr>
        <w:tc>
          <w:tcPr>
            <w:tcW w:w="6465" w:type="dxa"/>
            <w:gridSpan w:val="6"/>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预算数</w:t>
            </w:r>
          </w:p>
        </w:tc>
        <w:tc>
          <w:tcPr>
            <w:tcW w:w="7185" w:type="dxa"/>
            <w:gridSpan w:val="6"/>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477888">
        <w:trPr>
          <w:trHeight w:val="308"/>
        </w:trPr>
        <w:tc>
          <w:tcPr>
            <w:tcW w:w="1185" w:type="dxa"/>
            <w:vMerge w:val="restart"/>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005"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3180" w:type="dxa"/>
            <w:gridSpan w:val="3"/>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095"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c>
          <w:tcPr>
            <w:tcW w:w="141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4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3495" w:type="dxa"/>
            <w:gridSpan w:val="3"/>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14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477888">
        <w:trPr>
          <w:trHeight w:val="615"/>
        </w:trPr>
        <w:tc>
          <w:tcPr>
            <w:tcW w:w="1185" w:type="dxa"/>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005"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99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97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121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1095"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1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1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14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14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公务用车购置费</w:t>
            </w:r>
          </w:p>
        </w:tc>
        <w:tc>
          <w:tcPr>
            <w:tcW w:w="121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公务用车运行费</w:t>
            </w:r>
          </w:p>
        </w:tc>
        <w:tc>
          <w:tcPr>
            <w:tcW w:w="11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08"/>
        </w:trPr>
        <w:tc>
          <w:tcPr>
            <w:tcW w:w="1185" w:type="dxa"/>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00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9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97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21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09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41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14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14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14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215"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140" w:type="dxa"/>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r>
      <w:tr w:rsidR="00477888">
        <w:trPr>
          <w:trHeight w:val="308"/>
        </w:trPr>
        <w:tc>
          <w:tcPr>
            <w:tcW w:w="0" w:type="auto"/>
            <w:tcBorders>
              <w:top w:val="nil"/>
              <w:left w:val="single" w:sz="4" w:space="0" w:color="000000"/>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12.85</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4.09</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4.09</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8.76</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12.35</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4.09</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4.09</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right"/>
              <w:textAlignment w:val="center"/>
              <w:rPr>
                <w:rFonts w:ascii="宋体" w:hAnsi="宋体" w:cs="宋体"/>
                <w:color w:val="000000"/>
                <w:sz w:val="22"/>
              </w:rPr>
            </w:pPr>
            <w:r>
              <w:rPr>
                <w:rFonts w:ascii="宋体" w:hAnsi="宋体" w:cs="宋体" w:hint="eastAsia"/>
                <w:color w:val="000000"/>
                <w:kern w:val="0"/>
                <w:sz w:val="22"/>
              </w:rPr>
              <w:t>8.26</w:t>
            </w:r>
          </w:p>
        </w:tc>
      </w:tr>
      <w:tr w:rsidR="00477888">
        <w:trPr>
          <w:trHeight w:val="615"/>
        </w:trPr>
        <w:tc>
          <w:tcPr>
            <w:tcW w:w="13650" w:type="dxa"/>
            <w:gridSpan w:val="12"/>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477888" w:rsidRDefault="00477888">
      <w:pPr>
        <w:rPr>
          <w:rFonts w:ascii="仿宋_GB2312" w:eastAsia="仿宋_GB2312" w:hAnsi="仿宋_GB2312" w:cs="仿宋_GB2312"/>
          <w:sz w:val="32"/>
          <w:szCs w:val="32"/>
        </w:rPr>
        <w:sectPr w:rsidR="00477888">
          <w:pgSz w:w="16838" w:h="11906" w:orient="landscape"/>
          <w:pgMar w:top="1800" w:right="1440" w:bottom="1800" w:left="1440" w:header="720" w:footer="720" w:gutter="0"/>
          <w:pgNumType w:fmt="numberInDash"/>
          <w:cols w:space="720"/>
          <w:docGrid w:type="lines" w:linePitch="312"/>
        </w:sectPr>
      </w:pPr>
    </w:p>
    <w:tbl>
      <w:tblPr>
        <w:tblW w:w="13560" w:type="dxa"/>
        <w:tblInd w:w="93" w:type="dxa"/>
        <w:tblLook w:val="04A0"/>
      </w:tblPr>
      <w:tblGrid>
        <w:gridCol w:w="3058"/>
        <w:gridCol w:w="225"/>
        <w:gridCol w:w="225"/>
        <w:gridCol w:w="1111"/>
        <w:gridCol w:w="1460"/>
        <w:gridCol w:w="1460"/>
        <w:gridCol w:w="1460"/>
        <w:gridCol w:w="1460"/>
        <w:gridCol w:w="1460"/>
        <w:gridCol w:w="1641"/>
      </w:tblGrid>
      <w:tr w:rsidR="00477888">
        <w:trPr>
          <w:trHeight w:val="390"/>
        </w:trPr>
        <w:tc>
          <w:tcPr>
            <w:tcW w:w="13560" w:type="dxa"/>
            <w:gridSpan w:val="10"/>
            <w:tcBorders>
              <w:top w:val="nil"/>
              <w:left w:val="nil"/>
              <w:bottom w:val="nil"/>
              <w:right w:val="nil"/>
            </w:tcBorders>
            <w:noWrap/>
            <w:vAlign w:val="bottom"/>
          </w:tcPr>
          <w:p w:rsidR="00477888" w:rsidRDefault="00EE123B">
            <w:pPr>
              <w:widowControl/>
              <w:jc w:val="center"/>
              <w:textAlignment w:val="bottom"/>
              <w:rPr>
                <w:rFonts w:ascii="宋体" w:hAnsi="宋体" w:cs="宋体"/>
                <w:color w:val="000000"/>
                <w:sz w:val="30"/>
                <w:szCs w:val="30"/>
              </w:rPr>
            </w:pPr>
            <w:r>
              <w:rPr>
                <w:rFonts w:ascii="宋体" w:hAnsi="宋体" w:cs="宋体" w:hint="eastAsia"/>
                <w:color w:val="000000"/>
                <w:kern w:val="0"/>
                <w:sz w:val="30"/>
                <w:szCs w:val="30"/>
              </w:rPr>
              <w:lastRenderedPageBreak/>
              <w:t>政府性基金预算财政拨款收入支出决算表</w:t>
            </w:r>
          </w:p>
        </w:tc>
      </w:tr>
      <w:tr w:rsidR="00477888">
        <w:trPr>
          <w:trHeight w:val="255"/>
        </w:trPr>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公开08表</w:t>
            </w:r>
          </w:p>
        </w:tc>
      </w:tr>
      <w:tr w:rsidR="00477888">
        <w:trPr>
          <w:trHeight w:val="255"/>
        </w:trPr>
        <w:tc>
          <w:tcPr>
            <w:tcW w:w="0" w:type="auto"/>
            <w:tcBorders>
              <w:top w:val="nil"/>
              <w:left w:val="nil"/>
              <w:bottom w:val="nil"/>
              <w:right w:val="nil"/>
            </w:tcBorders>
            <w:noWrap/>
            <w:vAlign w:val="bottom"/>
          </w:tcPr>
          <w:p w:rsidR="00477888" w:rsidRDefault="00EE123B">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rPr>
              <w:t>单位：许昌市戏曲艺术发展中心</w:t>
            </w: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477888">
            <w:pPr>
              <w:rPr>
                <w:rFonts w:ascii="Arial" w:hAnsi="Arial" w:cs="Arial"/>
                <w:color w:val="000000"/>
                <w:sz w:val="20"/>
                <w:szCs w:val="20"/>
              </w:rPr>
            </w:pPr>
          </w:p>
        </w:tc>
        <w:tc>
          <w:tcPr>
            <w:tcW w:w="0" w:type="auto"/>
            <w:tcBorders>
              <w:top w:val="nil"/>
              <w:left w:val="nil"/>
              <w:bottom w:val="nil"/>
              <w:right w:val="nil"/>
            </w:tcBorders>
            <w:noWrap/>
            <w:vAlign w:val="bottom"/>
          </w:tcPr>
          <w:p w:rsidR="00477888" w:rsidRDefault="00EE123B">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rPr>
              <w:t>金额单位：万元</w:t>
            </w:r>
          </w:p>
        </w:tc>
      </w:tr>
      <w:tr w:rsidR="00477888">
        <w:trPr>
          <w:trHeight w:val="308"/>
        </w:trPr>
        <w:tc>
          <w:tcPr>
            <w:tcW w:w="0" w:type="auto"/>
            <w:gridSpan w:val="4"/>
            <w:tcBorders>
              <w:top w:val="single" w:sz="4" w:space="0" w:color="000000"/>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1440"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1440"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4320" w:type="dxa"/>
            <w:gridSpan w:val="3"/>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1440" w:type="dxa"/>
            <w:vMerge w:val="restart"/>
            <w:tcBorders>
              <w:top w:val="single" w:sz="4" w:space="0" w:color="000000"/>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477888">
        <w:trPr>
          <w:trHeight w:val="312"/>
        </w:trPr>
        <w:tc>
          <w:tcPr>
            <w:tcW w:w="990" w:type="dxa"/>
            <w:gridSpan w:val="3"/>
            <w:vMerge w:val="restart"/>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功能分类科目编码</w:t>
            </w:r>
          </w:p>
        </w:tc>
        <w:tc>
          <w:tcPr>
            <w:tcW w:w="0" w:type="auto"/>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44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1440" w:type="dxa"/>
            <w:vMerge w:val="restart"/>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12"/>
        </w:trPr>
        <w:tc>
          <w:tcPr>
            <w:tcW w:w="990"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12"/>
        </w:trPr>
        <w:tc>
          <w:tcPr>
            <w:tcW w:w="990" w:type="dxa"/>
            <w:gridSpan w:val="3"/>
            <w:vMerge/>
            <w:tcBorders>
              <w:top w:val="nil"/>
              <w:left w:val="single" w:sz="4" w:space="0" w:color="000000"/>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0" w:type="auto"/>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nil"/>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c>
          <w:tcPr>
            <w:tcW w:w="1440" w:type="dxa"/>
            <w:vMerge/>
            <w:tcBorders>
              <w:top w:val="single" w:sz="4" w:space="0" w:color="000000"/>
              <w:left w:val="nil"/>
              <w:bottom w:val="single" w:sz="4" w:space="0" w:color="000000"/>
              <w:right w:val="single" w:sz="4" w:space="0" w:color="000000"/>
            </w:tcBorders>
            <w:noWrap/>
            <w:vAlign w:val="center"/>
          </w:tcPr>
          <w:p w:rsidR="00477888" w:rsidRDefault="00477888">
            <w:pPr>
              <w:jc w:val="center"/>
              <w:rPr>
                <w:rFonts w:ascii="宋体" w:hAnsi="宋体" w:cs="宋体"/>
                <w:color w:val="000000"/>
                <w:sz w:val="22"/>
              </w:rPr>
            </w:pPr>
          </w:p>
        </w:tc>
      </w:tr>
      <w:tr w:rsidR="00477888">
        <w:trPr>
          <w:trHeight w:val="308"/>
        </w:trPr>
        <w:tc>
          <w:tcPr>
            <w:tcW w:w="0" w:type="auto"/>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0" w:type="auto"/>
            <w:tcBorders>
              <w:top w:val="nil"/>
              <w:left w:val="nil"/>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6</w:t>
            </w:r>
          </w:p>
        </w:tc>
      </w:tr>
      <w:tr w:rsidR="00477888">
        <w:trPr>
          <w:trHeight w:val="308"/>
        </w:trPr>
        <w:tc>
          <w:tcPr>
            <w:tcW w:w="0" w:type="auto"/>
            <w:gridSpan w:val="4"/>
            <w:tcBorders>
              <w:top w:val="nil"/>
              <w:left w:val="single" w:sz="4" w:space="0" w:color="000000"/>
              <w:bottom w:val="single" w:sz="4" w:space="0" w:color="000000"/>
              <w:right w:val="single" w:sz="4" w:space="0" w:color="000000"/>
            </w:tcBorders>
            <w:noWrap/>
            <w:vAlign w:val="center"/>
          </w:tcPr>
          <w:p w:rsidR="00477888" w:rsidRDefault="00EE123B">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b/>
                <w:bCs/>
                <w:color w:val="000000"/>
                <w:sz w:val="22"/>
              </w:rPr>
            </w:pPr>
          </w:p>
        </w:tc>
      </w:tr>
      <w:tr w:rsidR="00477888">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gridSpan w:val="3"/>
            <w:tcBorders>
              <w:top w:val="nil"/>
              <w:left w:val="single" w:sz="4" w:space="0" w:color="000000"/>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lef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c>
          <w:tcPr>
            <w:tcW w:w="0" w:type="auto"/>
            <w:tcBorders>
              <w:top w:val="nil"/>
              <w:left w:val="nil"/>
              <w:bottom w:val="single" w:sz="4" w:space="0" w:color="000000"/>
              <w:right w:val="single" w:sz="4" w:space="0" w:color="000000"/>
            </w:tcBorders>
            <w:noWrap/>
            <w:vAlign w:val="center"/>
          </w:tcPr>
          <w:p w:rsidR="00477888" w:rsidRDefault="00477888">
            <w:pPr>
              <w:jc w:val="right"/>
              <w:rPr>
                <w:rFonts w:ascii="宋体" w:hAnsi="宋体" w:cs="宋体"/>
                <w:color w:val="000000"/>
                <w:sz w:val="22"/>
              </w:rPr>
            </w:pPr>
          </w:p>
        </w:tc>
      </w:tr>
      <w:tr w:rsidR="00477888">
        <w:trPr>
          <w:trHeight w:val="308"/>
        </w:trPr>
        <w:tc>
          <w:tcPr>
            <w:tcW w:w="0" w:type="auto"/>
            <w:gridSpan w:val="10"/>
            <w:tcBorders>
              <w:top w:val="nil"/>
              <w:left w:val="nil"/>
              <w:bottom w:val="nil"/>
              <w:right w:val="nil"/>
            </w:tcBorders>
            <w:noWrap/>
            <w:vAlign w:val="center"/>
          </w:tcPr>
          <w:p w:rsidR="00477888" w:rsidRDefault="00EE123B">
            <w:pPr>
              <w:widowControl/>
              <w:jc w:val="left"/>
              <w:textAlignment w:val="center"/>
              <w:rPr>
                <w:rFonts w:ascii="宋体" w:hAnsi="宋体" w:cs="宋体"/>
                <w:color w:val="000000"/>
                <w:sz w:val="22"/>
              </w:rPr>
            </w:pPr>
            <w:r>
              <w:rPr>
                <w:rFonts w:ascii="宋体" w:hAnsi="宋体" w:cs="宋体" w:hint="eastAsia"/>
                <w:color w:val="000000"/>
                <w:kern w:val="0"/>
                <w:sz w:val="22"/>
              </w:rPr>
              <w:t>注：本表反映单位本年度政府性基金预算财政拨款收入、支出及结转和结余情况。本表金额转换为万元时，因四舍五入可能存在尾差。</w:t>
            </w:r>
          </w:p>
        </w:tc>
      </w:tr>
    </w:tbl>
    <w:p w:rsidR="00477888" w:rsidRDefault="00EE123B">
      <w:pPr>
        <w:widowControl/>
        <w:spacing w:line="590" w:lineRule="exact"/>
        <w:jc w:val="left"/>
        <w:rPr>
          <w:rFonts w:ascii="仿宋_GB2312" w:eastAsia="仿宋_GB2312" w:hAnsi="仿宋_GB2312" w:cs="仿宋_GB2312"/>
          <w:sz w:val="32"/>
          <w:szCs w:val="32"/>
        </w:rPr>
        <w:sectPr w:rsidR="00477888">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主要原因：我单位2020年没有政府性基金收入，也没有使用政府性基金安排的支出。</w:t>
      </w: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EE123B">
      <w:pPr>
        <w:jc w:val="center"/>
        <w:outlineLvl w:val="0"/>
        <w:rPr>
          <w:rFonts w:ascii="黑体" w:eastAsia="黑体" w:hAnsi="黑体" w:cs="黑体"/>
          <w:sz w:val="48"/>
          <w:szCs w:val="48"/>
        </w:rPr>
      </w:pPr>
      <w:r>
        <w:rPr>
          <w:rFonts w:ascii="黑体" w:eastAsia="黑体" w:hAnsi="黑体" w:cs="黑体" w:hint="eastAsia"/>
          <w:sz w:val="48"/>
          <w:szCs w:val="48"/>
        </w:rPr>
        <w:t>第三部分 2021年度单位决算情况说明</w:t>
      </w:r>
    </w:p>
    <w:p w:rsidR="00477888" w:rsidRDefault="00477888">
      <w:pPr>
        <w:widowControl/>
        <w:jc w:val="left"/>
        <w:rPr>
          <w:rFonts w:ascii="黑体" w:eastAsia="黑体" w:hAnsi="黑体" w:cs="黑体"/>
          <w:sz w:val="48"/>
          <w:szCs w:val="48"/>
        </w:rPr>
        <w:sectPr w:rsidR="00477888">
          <w:pgSz w:w="11906" w:h="16838"/>
          <w:pgMar w:top="1440" w:right="1800" w:bottom="1440" w:left="1800" w:header="720" w:footer="720" w:gutter="0"/>
          <w:pgNumType w:fmt="numberInDash"/>
          <w:cols w:space="720"/>
          <w:docGrid w:type="lines" w:linePitch="312"/>
        </w:sectPr>
      </w:pP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477888" w:rsidRDefault="00EE123B">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年度收、支总计均为3313.29万元。与上年度相比，收、支总计各减少</w:t>
      </w:r>
      <w:r>
        <w:rPr>
          <w:rFonts w:ascii="仿宋_GB2312" w:eastAsia="仿宋_GB2312" w:hAnsi="仿宋_GB2312" w:hint="eastAsia"/>
          <w:sz w:val="32"/>
          <w:szCs w:val="24"/>
        </w:rPr>
        <w:t>503.99</w:t>
      </w:r>
      <w:r>
        <w:rPr>
          <w:rFonts w:ascii="仿宋_GB2312" w:eastAsia="仿宋_GB2312" w:hAnsi="仿宋_GB2312" w:cs="仿宋_GB2312" w:hint="eastAsia"/>
          <w:sz w:val="32"/>
          <w:szCs w:val="32"/>
        </w:rPr>
        <w:t>万元，下降13.2%。主要原因是受疫情影响部分新创剧目本年度未能创作排练，支出相应减少。</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477888" w:rsidRDefault="00EE123B">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年度收入合计2181.22万元，其中：财政拨款收入2080.63万元，占95.39%；上级补助收入0万元，占0%；事业收入100.59万元，占4.61%；经营收入0万元，占0%；附属单位上缴收入0万元，占0%；其他收入0万元，占0%。</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年度支出合计3264.25万元，其中：基本支出2572.73万元，占78.82%；项目支出691.51万元，占21.18%；上缴上级支出0万元，占0%；经营支出0万元，占0%；对附属单位补助支出0万元，占0%。</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年度财政拨款收、支总计均为3081.7万元。与上年度相比，财政拨款收、支总计各减少85.64万元，下降2.7%。主要原因是财政拨款专项支出减少。</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477888" w:rsidRDefault="00EE123B">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年度一般公共预算财政拨款支出3081.7万元，占支出合计的94.41%。与上年度相比，一般公共预算财政拨款支出增</w:t>
      </w:r>
      <w:r>
        <w:rPr>
          <w:rFonts w:ascii="仿宋_GB2312" w:eastAsia="仿宋_GB2312" w:hAnsi="仿宋_GB2312" w:cs="仿宋_GB2312" w:hint="eastAsia"/>
          <w:sz w:val="32"/>
          <w:szCs w:val="32"/>
        </w:rPr>
        <w:lastRenderedPageBreak/>
        <w:t>加560.49万元，增长22.23%。主要原因是支付人员经费及社会保障费用增加。</w:t>
      </w:r>
    </w:p>
    <w:p w:rsidR="00477888" w:rsidRDefault="00EE123B">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年度一般公共预算财政拨款支出3081.7万元，主要用于以下方面：文化旅游体育与传媒支出2619.39万元，占85%；社会保障和就业支出404.94万元，占13.1%；卫生健康支出57.37占1.9%。</w:t>
      </w:r>
    </w:p>
    <w:p w:rsidR="00477888" w:rsidRDefault="00EE123B">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年度一般公共预算财政拨款支出年初预算为1905.04万元，支出决算为3081.7万元，完成年初预算的161.77%。其中：</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1．文化旅游体育与传媒支出（类）文化和旅游（款）艺术表演团体（项）。</w:t>
      </w:r>
      <w:r>
        <w:rPr>
          <w:rFonts w:ascii="仿宋_GB2312" w:eastAsia="仿宋_GB2312" w:hAnsi="仿宋_GB2312" w:cs="仿宋_GB2312" w:hint="eastAsia"/>
          <w:sz w:val="32"/>
          <w:szCs w:val="32"/>
        </w:rPr>
        <w:t>年初预算为1436.7万元，支出决算为2098.99万元，完成年初预算的146.1%。决算数与年初预算数存在差异的主要原因是人员经费增加。</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2．文化旅游体育与传媒支出（类）文化和旅游（款）群众文化（项）。</w:t>
      </w:r>
      <w:r>
        <w:rPr>
          <w:rFonts w:ascii="仿宋_GB2312" w:eastAsia="仿宋_GB2312" w:hAnsi="仿宋_GB2312" w:cs="仿宋_GB2312" w:hint="eastAsia"/>
          <w:sz w:val="32"/>
          <w:szCs w:val="32"/>
        </w:rPr>
        <w:t>年初预算为0万元，支出决算为213.75万元.决算数与年初预算数存在差异的主要原因是舞台艺术送基层活动经费。</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3．文化旅游体育与传媒支出（类）文化和旅游（款）文化创作与保护（项）。</w:t>
      </w:r>
      <w:r>
        <w:rPr>
          <w:rFonts w:ascii="仿宋_GB2312" w:eastAsia="仿宋_GB2312" w:hAnsi="仿宋_GB2312" w:cs="仿宋_GB2312" w:hint="eastAsia"/>
          <w:sz w:val="32"/>
          <w:szCs w:val="32"/>
        </w:rPr>
        <w:t>年初预算为0万元，支出决算为54.89万元.决算数与年初预算数存在差异的主要原因是国家级非物质文化遗产越调艺术保护传承资金。</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4.文化旅游体育与传媒支出（类）文化和旅游（款）其他文化旅游体育与传媒支出（项）。</w:t>
      </w:r>
      <w:r>
        <w:rPr>
          <w:rFonts w:ascii="仿宋_GB2312" w:eastAsia="仿宋_GB2312" w:hAnsi="仿宋_GB2312" w:cs="仿宋_GB2312" w:hint="eastAsia"/>
          <w:sz w:val="32"/>
          <w:szCs w:val="32"/>
        </w:rPr>
        <w:t>年初预算为0万元，支出决算为125万元。决算数与年初预算数存在差异的主要原因是专项资金于2021年11月底拨付。</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5.社会保障和就业支出（类）行政事业单位养老支出（款）事业单位离退休（项）</w:t>
      </w:r>
      <w:r>
        <w:rPr>
          <w:rFonts w:ascii="仿宋_GB2312" w:eastAsia="仿宋_GB2312" w:hAnsi="仿宋_GB2312" w:cs="仿宋_GB2312" w:hint="eastAsia"/>
          <w:sz w:val="32"/>
          <w:szCs w:val="32"/>
        </w:rPr>
        <w:t>年初预算为266.6万元，支出决算为260.59万元，完成年初预算的97.75%。决算数与年初预算数存在差异的主要原因是2021年度存在退休死亡人员。</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6.社会保障和就业支出（类）行政事业单位养老支出（款）机关事业单位基本养老保险缴费支出（项）</w:t>
      </w:r>
      <w:r>
        <w:rPr>
          <w:rFonts w:ascii="仿宋_GB2312" w:eastAsia="仿宋_GB2312" w:hAnsi="仿宋_GB2312" w:cs="仿宋_GB2312" w:hint="eastAsia"/>
          <w:sz w:val="32"/>
          <w:szCs w:val="32"/>
        </w:rPr>
        <w:t>年初预算为132.9万元，支出决算为122.97万元，完成年初预算的92.53%。决算数与年初预算数存在差异的主要原因是在编人员变动。</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7.社会保障和就业支出（类）抚恤（款）死亡抚恤（项）</w:t>
      </w:r>
      <w:r>
        <w:rPr>
          <w:rFonts w:ascii="仿宋_GB2312" w:eastAsia="仿宋_GB2312" w:hAnsi="仿宋_GB2312" w:cs="仿宋_GB2312" w:hint="eastAsia"/>
          <w:sz w:val="32"/>
          <w:szCs w:val="32"/>
        </w:rPr>
        <w:t>年初预算为0万元，支出决算为21.38万元。决算数与年初预算数存在差异的主要原因是2021年度存在退休死亡人员。</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8.卫生健康支出（类）行政事业单位医疗（款）事业单位医疗（项）</w:t>
      </w:r>
      <w:r>
        <w:rPr>
          <w:rFonts w:ascii="仿宋_GB2312" w:eastAsia="仿宋_GB2312" w:hAnsi="仿宋_GB2312" w:cs="仿宋_GB2312" w:hint="eastAsia"/>
          <w:sz w:val="32"/>
          <w:szCs w:val="32"/>
        </w:rPr>
        <w:t>年初预算为60.7万元，支出决算为57.37万元，完成年初预算的94.51%。决算数与年初预算数存在差异的主要原因是在编人员变动。</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年度一般公共预算财政拨款基本支出2473.72万元。其中：人员经费2473.72万元，主要包括：基本工资、津贴补贴、奖金、绩效工资、机关事业单位基本养老保险缴费、职业</w:t>
      </w:r>
      <w:r>
        <w:rPr>
          <w:rFonts w:ascii="仿宋_GB2312" w:eastAsia="仿宋_GB2312" w:hAnsi="仿宋_GB2312" w:cs="仿宋_GB2312" w:hint="eastAsia"/>
          <w:sz w:val="32"/>
          <w:szCs w:val="32"/>
        </w:rPr>
        <w:lastRenderedPageBreak/>
        <w:t>年金缴费、职工基本医疗保险缴费、其他社会保障缴费、住房公积金、其他工资福利支出、退休费、抚恤金、生活补助。</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477888" w:rsidRDefault="00EE123B">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年度“三公”经费财政拨款支出预算为12.85万元，支出决算为12.35万元，完成预算的96.09%。</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年度“三公”经费支出决算数与预算数存在差异的主要原因是公务接待费用减少。</w:t>
      </w:r>
    </w:p>
    <w:p w:rsidR="00477888" w:rsidRDefault="00EE123B">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三公”经费财政拨款支出决算中，因公出国（境）费支出决算0万元；公务用车购置及运行费支出决算4.09万元，完成预算的100%，占33.12%；公务接待费支出决算8.26万元，完成预算的94.29%，占66.88%。具体情况如下：</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预算为0万元，支出决算为0万元。决算数与预算数不存在差异。因公出国（境）团组数0个，因公出国（境）人次数0人。</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预算为4.09万元，支出决算为4.09万元，完成预算的100%。决算数与预算数存在差异的主要原因是无。其中：</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为0万元，购置车辆0台。</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4.09万元。主要用于戏曲展演部演出用车。</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年期末，单位开支财政拨款的公务用车保有量为1辆。</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3.公务接待费</w:t>
      </w:r>
      <w:r>
        <w:rPr>
          <w:rFonts w:ascii="仿宋_GB2312" w:eastAsia="仿宋_GB2312" w:hAnsi="仿宋_GB2312" w:cs="仿宋_GB2312" w:hint="eastAsia"/>
          <w:sz w:val="32"/>
          <w:szCs w:val="32"/>
        </w:rPr>
        <w:t>预算为8.76万元，支出决算为8.26万元，完成预算的94.29%。决算数与预算数存在差异的主要原因是外请戏曲专家人员接待。其中：</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0万元。主要用于无。</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年共接待国（境）外来访团组0个、来访外宾0人次（不包括陪同人员）。来访人员主要包括：无。</w:t>
      </w:r>
    </w:p>
    <w:p w:rsidR="00477888" w:rsidRDefault="00EE123B">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8.26万元。主要用于创排戏剧生产剧目外请人员。</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年共接待国内来访团组5个、来宾26人次（不包括陪同人员）。</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年度政府性基金预算财政拨款支出年初预算为0万元，支出决算为0万元。主要原因：我单位2020年没有政府性基金收入，也没有使用政府性基金安排的支出。</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我单位不是行政机关，也不是参照公务员管理事业单位，没有机关运行经费支出。</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年度政府采购支出总额66.1万元，其中：政府采购货物支出46.6万元、政府采购工</w:t>
      </w:r>
      <w:bookmarkStart w:id="0" w:name="_GoBack"/>
      <w:bookmarkEnd w:id="0"/>
      <w:r>
        <w:rPr>
          <w:rFonts w:ascii="仿宋_GB2312" w:eastAsia="仿宋_GB2312" w:hAnsi="仿宋_GB2312" w:cs="仿宋_GB2312" w:hint="eastAsia"/>
          <w:sz w:val="32"/>
          <w:szCs w:val="32"/>
        </w:rPr>
        <w:t>程支出19.5万元、政府采购服务支出0万元。授予中小企业合同金额0万元，占政府采购支出总额的0%，其中：授予小微企业合同金额0万元，占政府采购支出总额的0%。</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477888" w:rsidRDefault="00EE123B">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Pr>
          <w:rFonts w:ascii="仿宋_GB2312" w:eastAsia="仿宋_GB2312" w:hAnsi="仿宋_GB2312" w:cs="仿宋_GB2312" w:hint="eastAsia"/>
          <w:sz w:val="32"/>
          <w:szCs w:val="32"/>
        </w:rPr>
        <w:t>年期末，我单位共有车辆4辆，其中：省级领导干部用车0辆、主要领导干部用车0辆、机要通信用车1辆、应急保障车0辆、执法执勤用车0辆、特种专业技术用车2辆、离退休干部用车0辆、其他用车1辆；单位价值50万元以上通用设备2台，单位价值100万元以上专用设备0台。</w:t>
      </w:r>
    </w:p>
    <w:p w:rsidR="00477888" w:rsidRDefault="00EE123B">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477888" w:rsidRDefault="00EE123B">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477888" w:rsidRDefault="00EE123B">
      <w:pPr>
        <w:widowControl/>
        <w:spacing w:line="360" w:lineRule="auto"/>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w:t>
      </w:r>
    </w:p>
    <w:p w:rsidR="00477888" w:rsidRDefault="00EE123B">
      <w:pPr>
        <w:widowControl/>
        <w:spacing w:line="360" w:lineRule="auto"/>
        <w:ind w:firstLineChars="200" w:firstLine="640"/>
        <w:rPr>
          <w:rFonts w:ascii="仿宋_GB2312" w:eastAsia="仿宋_GB2312" w:hAnsi="仿宋_GB2312" w:cs="仿宋_GB2312"/>
          <w:color w:val="0000FF"/>
          <w:sz w:val="32"/>
          <w:szCs w:val="32"/>
        </w:rPr>
      </w:pPr>
      <w:r>
        <w:rPr>
          <w:rFonts w:ascii="仿宋_GB2312" w:eastAsia="仿宋_GB2312" w:hAnsi="仿宋_GB2312" w:cs="仿宋_GB2312" w:hint="eastAsia"/>
          <w:sz w:val="32"/>
          <w:szCs w:val="32"/>
        </w:rPr>
        <w:t>我单位绩效管理工作制度建设明确、具体，形成《制度汇编》等0条制度。我单位认真收集资料，学习领会文件精神，明确分工，落实责任，不定期开展自评自查及绩效培训工作。</w:t>
      </w:r>
    </w:p>
    <w:p w:rsidR="00477888" w:rsidRDefault="00EE123B">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（二）单位整体和项目绩效自评结果。</w:t>
      </w:r>
    </w:p>
    <w:p w:rsidR="00477888" w:rsidRDefault="00EE123B">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按照《许昌市财政局关于开展2021年度市级预算绩效自评工作的通知》（许财效）〔202</w:t>
      </w:r>
      <w:r w:rsidR="0037551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〕1号）等文件精神，我单位对本单位整体绩效目标和项目支出绩效目标进行了自评。一是单位整体绩效自评情况</w:t>
      </w:r>
      <w:r>
        <w:rPr>
          <w:rFonts w:ascii="仿宋" w:eastAsia="仿宋" w:hAnsi="仿宋" w:cs="仿宋" w:hint="eastAsia"/>
          <w:sz w:val="32"/>
          <w:szCs w:val="40"/>
        </w:rPr>
        <w:t>绩效工作已全部完成，达到预期效果，为我市发展戏曲文化软实力给予新的力量</w:t>
      </w:r>
      <w:r>
        <w:rPr>
          <w:rFonts w:ascii="仿宋_GB2312" w:eastAsia="仿宋_GB2312" w:hAnsi="仿宋_GB2312" w:cs="仿宋_GB2312" w:hint="eastAsia"/>
          <w:sz w:val="32"/>
          <w:szCs w:val="32"/>
        </w:rPr>
        <w:t>。二是项目绩效自评情况。我单位共有0个项目批复了绩效目标，项目金额0万元。</w:t>
      </w:r>
    </w:p>
    <w:p w:rsidR="00477888" w:rsidRDefault="00EE123B">
      <w:pPr>
        <w:widowControl/>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基于项目预期目标的实现程度，对2021年度项目支出绩效进行自评，绩效自评平均得分为0分。其中：0个项目评价等</w:t>
      </w:r>
      <w:r>
        <w:rPr>
          <w:rFonts w:ascii="仿宋_GB2312" w:eastAsia="仿宋_GB2312" w:hAnsi="仿宋_GB2312" w:cs="仿宋_GB2312" w:hint="eastAsia"/>
          <w:sz w:val="32"/>
          <w:szCs w:val="32"/>
        </w:rPr>
        <w:lastRenderedPageBreak/>
        <w:t>级为“优”、0个项目评价等级为“良”、0个项目评价等级为“中”、0个项目评价等级为“差”。</w:t>
      </w:r>
    </w:p>
    <w:p w:rsidR="00477888" w:rsidRDefault="00EE123B">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477888" w:rsidRDefault="00EE123B">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2021年度我单位没有开展重点绩效评价的项目。</w:t>
      </w: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477888">
      <w:pPr>
        <w:widowControl/>
        <w:jc w:val="left"/>
        <w:rPr>
          <w:rFonts w:ascii="黑体" w:eastAsia="黑体" w:hAnsi="宋体" w:cs="宋体"/>
          <w:kern w:val="0"/>
          <w:sz w:val="28"/>
          <w:szCs w:val="28"/>
        </w:rPr>
      </w:pPr>
    </w:p>
    <w:p w:rsidR="00477888" w:rsidRDefault="00EE123B">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477888" w:rsidRDefault="00477888">
      <w:pPr>
        <w:jc w:val="center"/>
        <w:rPr>
          <w:rFonts w:ascii="黑体" w:eastAsia="黑体" w:hAnsi="黑体" w:cs="黑体"/>
          <w:sz w:val="48"/>
          <w:szCs w:val="48"/>
        </w:rPr>
      </w:pPr>
    </w:p>
    <w:p w:rsidR="00477888" w:rsidRDefault="00477888">
      <w:pPr>
        <w:jc w:val="center"/>
        <w:outlineLvl w:val="0"/>
        <w:rPr>
          <w:rFonts w:ascii="黑体" w:eastAsia="黑体" w:hAnsi="黑体" w:cs="黑体"/>
          <w:sz w:val="48"/>
          <w:szCs w:val="48"/>
        </w:rPr>
        <w:sectPr w:rsidR="00477888">
          <w:pgSz w:w="11906" w:h="16838"/>
          <w:pgMar w:top="1440" w:right="1531" w:bottom="1440" w:left="1587" w:header="850" w:footer="992" w:gutter="0"/>
          <w:pgNumType w:fmt="numberInDash"/>
          <w:cols w:space="720"/>
          <w:docGrid w:type="lines" w:linePitch="317"/>
        </w:sectPr>
      </w:pP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七、使用非财政拨款结余：指事业单位使用以前年度积累的非财政拨款结余弥补当年收支差额的金额。</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十、“三公”经费：纳入同级财政预决算管理“三公”经费，指单位使用财政拨款安排的因公出国（境）费、公务用车购置及运行费和公务接待费。其中，因公出国（境）费反映单位公务出</w:t>
      </w:r>
      <w:r>
        <w:rPr>
          <w:rFonts w:ascii="仿宋_GB2312" w:eastAsia="仿宋_GB2312" w:hAnsi="仿宋_GB2312" w:cs="仿宋_GB2312" w:hint="eastAsia"/>
          <w:sz w:val="32"/>
          <w:szCs w:val="32"/>
        </w:rPr>
        <w:lastRenderedPageBreak/>
        <w:t>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477888" w:rsidRDefault="00EE123B">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sectPr w:rsidR="00477888" w:rsidSect="00477888">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1B5" w:rsidRDefault="00E531B5" w:rsidP="00477888">
      <w:r>
        <w:separator/>
      </w:r>
    </w:p>
  </w:endnote>
  <w:endnote w:type="continuationSeparator" w:id="1">
    <w:p w:rsidR="00E531B5" w:rsidRDefault="00E531B5" w:rsidP="00477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88" w:rsidRDefault="0069249E">
    <w:pPr>
      <w:pStyle w:val="a4"/>
    </w:pPr>
    <w:r>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3;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filled="f" stroked="f">
          <v:textbox style="mso-fit-shape-to-text:t" inset="0,0,0,0">
            <w:txbxContent>
              <w:p w:rsidR="00477888" w:rsidRDefault="0069249E">
                <w:pPr>
                  <w:snapToGrid w:val="0"/>
                  <w:rPr>
                    <w:sz w:val="18"/>
                  </w:rPr>
                </w:pPr>
                <w:r>
                  <w:rPr>
                    <w:rFonts w:hint="eastAsia"/>
                    <w:sz w:val="18"/>
                  </w:rPr>
                  <w:fldChar w:fldCharType="begin"/>
                </w:r>
                <w:r w:rsidR="00EE123B">
                  <w:rPr>
                    <w:rFonts w:hint="eastAsia"/>
                    <w:sz w:val="18"/>
                  </w:rPr>
                  <w:instrText xml:space="preserve"> PAGE  \* MERGEFORMAT </w:instrText>
                </w:r>
                <w:r>
                  <w:rPr>
                    <w:rFonts w:hint="eastAsia"/>
                    <w:sz w:val="18"/>
                  </w:rPr>
                  <w:fldChar w:fldCharType="separate"/>
                </w:r>
                <w:r w:rsidR="00375510">
                  <w:rPr>
                    <w:noProof/>
                    <w:sz w:val="18"/>
                  </w:rPr>
                  <w:t>- 26 -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888" w:rsidRDefault="0069249E">
    <w:pPr>
      <w:pStyle w:val="a4"/>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477888" w:rsidRDefault="0069249E">
                <w:pPr>
                  <w:snapToGrid w:val="0"/>
                  <w:rPr>
                    <w:sz w:val="18"/>
                  </w:rPr>
                </w:pPr>
                <w:r>
                  <w:rPr>
                    <w:rFonts w:hint="eastAsia"/>
                    <w:sz w:val="18"/>
                  </w:rPr>
                  <w:fldChar w:fldCharType="begin"/>
                </w:r>
                <w:r w:rsidR="00EE123B">
                  <w:rPr>
                    <w:rFonts w:hint="eastAsia"/>
                    <w:sz w:val="18"/>
                  </w:rPr>
                  <w:instrText xml:space="preserve"> PAGE  \* MERGEFORMAT </w:instrText>
                </w:r>
                <w:r>
                  <w:rPr>
                    <w:rFonts w:hint="eastAsia"/>
                    <w:sz w:val="18"/>
                  </w:rPr>
                  <w:fldChar w:fldCharType="separate"/>
                </w:r>
                <w:r w:rsidR="00375510">
                  <w:rPr>
                    <w:noProof/>
                    <w:sz w:val="18"/>
                  </w:rPr>
                  <w:t>- 27 -</w:t>
                </w:r>
                <w:r>
                  <w:rPr>
                    <w:rFonts w:hint="eastAsia"/>
                    <w:sz w:val="18"/>
                  </w:rPr>
                  <w:fldChar w:fldCharType="end"/>
                </w:r>
              </w:p>
            </w:txbxContent>
          </v:textbox>
          <w10:wrap anchorx="margin"/>
        </v:shape>
      </w:pict>
    </w:r>
    <w:r>
      <w:pict>
        <v:shape id="文本框 1027" o:spid="_x0000_s1028"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477888" w:rsidRDefault="00477888"/>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1B5" w:rsidRDefault="00E531B5" w:rsidP="00477888">
      <w:r>
        <w:separator/>
      </w:r>
    </w:p>
  </w:footnote>
  <w:footnote w:type="continuationSeparator" w:id="1">
    <w:p w:rsidR="00E531B5" w:rsidRDefault="00E531B5" w:rsidP="00477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zIwZjk1MmQwOGVlNTZmMzA1YTUxOGUzYzlhZmUwM2MifQ=="/>
    <w:docVar w:name="KSO_WPS_MARK_KEY" w:val="1cff1a89-aa46-4599-8ec3-8e9edacc5174"/>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0183"/>
    <w:rsid w:val="00281114"/>
    <w:rsid w:val="00282C7F"/>
    <w:rsid w:val="00287811"/>
    <w:rsid w:val="00292B4B"/>
    <w:rsid w:val="002A6352"/>
    <w:rsid w:val="002B3F94"/>
    <w:rsid w:val="002C171D"/>
    <w:rsid w:val="002E6A86"/>
    <w:rsid w:val="00304D04"/>
    <w:rsid w:val="00305B88"/>
    <w:rsid w:val="00315FEB"/>
    <w:rsid w:val="00375510"/>
    <w:rsid w:val="0041489C"/>
    <w:rsid w:val="0042585F"/>
    <w:rsid w:val="00445CAC"/>
    <w:rsid w:val="00472E19"/>
    <w:rsid w:val="00477888"/>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249E"/>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531B5"/>
    <w:rsid w:val="00E60B05"/>
    <w:rsid w:val="00E629EA"/>
    <w:rsid w:val="00E6777C"/>
    <w:rsid w:val="00EB05A3"/>
    <w:rsid w:val="00ED38B7"/>
    <w:rsid w:val="00EE051D"/>
    <w:rsid w:val="00EE123B"/>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C2224E"/>
    <w:rsid w:val="053D4C0D"/>
    <w:rsid w:val="0557532E"/>
    <w:rsid w:val="07457C01"/>
    <w:rsid w:val="0799329C"/>
    <w:rsid w:val="07C0306C"/>
    <w:rsid w:val="08397436"/>
    <w:rsid w:val="086F16A7"/>
    <w:rsid w:val="0A0F7225"/>
    <w:rsid w:val="0A2B7D82"/>
    <w:rsid w:val="0ADC40E9"/>
    <w:rsid w:val="0ADE351F"/>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55345D"/>
    <w:rsid w:val="200333C0"/>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101621"/>
    <w:rsid w:val="33780472"/>
    <w:rsid w:val="33AF0905"/>
    <w:rsid w:val="33B14EC0"/>
    <w:rsid w:val="3469539C"/>
    <w:rsid w:val="355932F4"/>
    <w:rsid w:val="35611882"/>
    <w:rsid w:val="36746FC3"/>
    <w:rsid w:val="368763AE"/>
    <w:rsid w:val="374104FF"/>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36390C"/>
    <w:rsid w:val="48735039"/>
    <w:rsid w:val="492C684B"/>
    <w:rsid w:val="49500594"/>
    <w:rsid w:val="49E7604E"/>
    <w:rsid w:val="4BF67CDD"/>
    <w:rsid w:val="4D173441"/>
    <w:rsid w:val="4D603DD6"/>
    <w:rsid w:val="4EBF010F"/>
    <w:rsid w:val="4F471EB0"/>
    <w:rsid w:val="51331326"/>
    <w:rsid w:val="51740A7F"/>
    <w:rsid w:val="51A5541E"/>
    <w:rsid w:val="51C96242"/>
    <w:rsid w:val="53906AE1"/>
    <w:rsid w:val="54D35776"/>
    <w:rsid w:val="54F46F60"/>
    <w:rsid w:val="55A37BEA"/>
    <w:rsid w:val="56362CD2"/>
    <w:rsid w:val="5784687B"/>
    <w:rsid w:val="57846959"/>
    <w:rsid w:val="578E6A87"/>
    <w:rsid w:val="5AC2203A"/>
    <w:rsid w:val="5B4E6FEB"/>
    <w:rsid w:val="5CBB3334"/>
    <w:rsid w:val="5D115FAF"/>
    <w:rsid w:val="5DF72B16"/>
    <w:rsid w:val="610141C7"/>
    <w:rsid w:val="62811722"/>
    <w:rsid w:val="62E75A72"/>
    <w:rsid w:val="64571880"/>
    <w:rsid w:val="649125B6"/>
    <w:rsid w:val="652F4C1A"/>
    <w:rsid w:val="666D37F1"/>
    <w:rsid w:val="668138C4"/>
    <w:rsid w:val="67087D8F"/>
    <w:rsid w:val="671F687E"/>
    <w:rsid w:val="67F415F8"/>
    <w:rsid w:val="682640D1"/>
    <w:rsid w:val="684B73E5"/>
    <w:rsid w:val="6A047A2A"/>
    <w:rsid w:val="6E1F40EF"/>
    <w:rsid w:val="6EFB7548"/>
    <w:rsid w:val="6F3831C3"/>
    <w:rsid w:val="6F8B71C1"/>
    <w:rsid w:val="70244F4D"/>
    <w:rsid w:val="705E61DF"/>
    <w:rsid w:val="70753482"/>
    <w:rsid w:val="707B522A"/>
    <w:rsid w:val="73194D05"/>
    <w:rsid w:val="73A83B0E"/>
    <w:rsid w:val="744D3EF9"/>
    <w:rsid w:val="74794411"/>
    <w:rsid w:val="75867C40"/>
    <w:rsid w:val="75B10B26"/>
    <w:rsid w:val="76432199"/>
    <w:rsid w:val="76F44829"/>
    <w:rsid w:val="77550B81"/>
    <w:rsid w:val="77A267C0"/>
    <w:rsid w:val="78882278"/>
    <w:rsid w:val="78B118A6"/>
    <w:rsid w:val="79135044"/>
    <w:rsid w:val="7A7D0F99"/>
    <w:rsid w:val="7E4A0E7C"/>
    <w:rsid w:val="7EFD449D"/>
    <w:rsid w:val="7F8C1BA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77888"/>
    <w:rPr>
      <w:sz w:val="18"/>
      <w:szCs w:val="18"/>
      <w:lang/>
    </w:rPr>
  </w:style>
  <w:style w:type="paragraph" w:styleId="a4">
    <w:name w:val="footer"/>
    <w:basedOn w:val="a"/>
    <w:link w:val="Char0"/>
    <w:uiPriority w:val="99"/>
    <w:unhideWhenUsed/>
    <w:qFormat/>
    <w:rsid w:val="00477888"/>
    <w:pPr>
      <w:tabs>
        <w:tab w:val="center" w:pos="4153"/>
        <w:tab w:val="right" w:pos="8306"/>
      </w:tabs>
      <w:snapToGrid w:val="0"/>
      <w:jc w:val="left"/>
    </w:pPr>
    <w:rPr>
      <w:sz w:val="18"/>
      <w:szCs w:val="18"/>
      <w:lang/>
    </w:rPr>
  </w:style>
  <w:style w:type="paragraph" w:styleId="a5">
    <w:name w:val="header"/>
    <w:basedOn w:val="a"/>
    <w:link w:val="Char1"/>
    <w:uiPriority w:val="99"/>
    <w:unhideWhenUsed/>
    <w:rsid w:val="00477888"/>
    <w:pPr>
      <w:pBdr>
        <w:bottom w:val="single" w:sz="6" w:space="1" w:color="auto"/>
      </w:pBdr>
      <w:tabs>
        <w:tab w:val="center" w:pos="4153"/>
        <w:tab w:val="right" w:pos="8306"/>
      </w:tabs>
      <w:snapToGrid w:val="0"/>
      <w:jc w:val="center"/>
    </w:pPr>
    <w:rPr>
      <w:sz w:val="18"/>
      <w:szCs w:val="18"/>
      <w:lang/>
    </w:rPr>
  </w:style>
  <w:style w:type="table" w:styleId="a6">
    <w:name w:val="Table Grid"/>
    <w:basedOn w:val="a1"/>
    <w:uiPriority w:val="59"/>
    <w:qFormat/>
    <w:rsid w:val="004778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rsid w:val="00477888"/>
    <w:rPr>
      <w:color w:val="800080"/>
      <w:u w:val="single"/>
    </w:rPr>
  </w:style>
  <w:style w:type="character" w:styleId="a8">
    <w:name w:val="Hyperlink"/>
    <w:uiPriority w:val="99"/>
    <w:unhideWhenUsed/>
    <w:qFormat/>
    <w:rsid w:val="00477888"/>
    <w:rPr>
      <w:color w:val="0000FF"/>
      <w:u w:val="single"/>
    </w:rPr>
  </w:style>
  <w:style w:type="character" w:customStyle="1" w:styleId="Char">
    <w:name w:val="批注框文本 Char"/>
    <w:link w:val="a3"/>
    <w:uiPriority w:val="99"/>
    <w:semiHidden/>
    <w:rsid w:val="00477888"/>
    <w:rPr>
      <w:kern w:val="2"/>
      <w:sz w:val="18"/>
      <w:szCs w:val="18"/>
    </w:rPr>
  </w:style>
  <w:style w:type="character" w:customStyle="1" w:styleId="Char0">
    <w:name w:val="页脚 Char"/>
    <w:link w:val="a4"/>
    <w:uiPriority w:val="99"/>
    <w:qFormat/>
    <w:rsid w:val="00477888"/>
    <w:rPr>
      <w:kern w:val="2"/>
      <w:sz w:val="18"/>
      <w:szCs w:val="18"/>
    </w:rPr>
  </w:style>
  <w:style w:type="character" w:customStyle="1" w:styleId="Char1">
    <w:name w:val="页眉 Char"/>
    <w:link w:val="a5"/>
    <w:uiPriority w:val="99"/>
    <w:qFormat/>
    <w:rsid w:val="00477888"/>
    <w:rPr>
      <w:kern w:val="2"/>
      <w:sz w:val="18"/>
      <w:szCs w:val="18"/>
    </w:rPr>
  </w:style>
  <w:style w:type="character" w:customStyle="1" w:styleId="font01">
    <w:name w:val="font01"/>
    <w:qFormat/>
    <w:rsid w:val="00477888"/>
    <w:rPr>
      <w:rFonts w:ascii="宋体" w:eastAsia="宋体" w:hAnsi="宋体" w:cs="宋体" w:hint="eastAsia"/>
      <w:color w:val="000000"/>
      <w:sz w:val="22"/>
      <w:szCs w:val="22"/>
      <w:u w:val="none"/>
    </w:rPr>
  </w:style>
  <w:style w:type="character" w:customStyle="1" w:styleId="font21">
    <w:name w:val="font21"/>
    <w:qFormat/>
    <w:rsid w:val="00477888"/>
    <w:rPr>
      <w:rFonts w:ascii="宋体" w:eastAsia="宋体" w:hAnsi="宋体" w:cs="宋体" w:hint="eastAsia"/>
      <w:color w:val="000000"/>
      <w:sz w:val="22"/>
      <w:szCs w:val="22"/>
      <w:u w:val="none"/>
    </w:rPr>
  </w:style>
  <w:style w:type="character" w:customStyle="1" w:styleId="font51">
    <w:name w:val="font51"/>
    <w:qFormat/>
    <w:rsid w:val="00477888"/>
    <w:rPr>
      <w:rFonts w:ascii="宋体" w:eastAsia="宋体" w:hAnsi="宋体" w:cs="宋体" w:hint="eastAsia"/>
      <w:color w:val="000000"/>
      <w:sz w:val="24"/>
      <w:szCs w:val="24"/>
      <w:u w:val="none"/>
    </w:rPr>
  </w:style>
  <w:style w:type="character" w:customStyle="1" w:styleId="font11">
    <w:name w:val="font11"/>
    <w:qFormat/>
    <w:rsid w:val="00477888"/>
    <w:rPr>
      <w:rFonts w:ascii="宋体" w:eastAsia="宋体" w:hAnsi="宋体" w:cs="宋体" w:hint="eastAsia"/>
      <w:color w:val="000000"/>
      <w:sz w:val="20"/>
      <w:szCs w:val="20"/>
      <w:u w:val="none"/>
    </w:rPr>
  </w:style>
  <w:style w:type="character" w:customStyle="1" w:styleId="font41">
    <w:name w:val="font41"/>
    <w:rsid w:val="00477888"/>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1783</Words>
  <Characters>10165</Characters>
  <Application>Microsoft Office Word</Application>
  <DocSecurity>0</DocSecurity>
  <Lines>84</Lines>
  <Paragraphs>23</Paragraphs>
  <ScaleCrop>false</ScaleCrop>
  <Company>MS User</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31</cp:revision>
  <cp:lastPrinted>2018-07-24T10:50:00Z</cp:lastPrinted>
  <dcterms:created xsi:type="dcterms:W3CDTF">2007-11-29T03:41:00Z</dcterms:created>
  <dcterms:modified xsi:type="dcterms:W3CDTF">2023-05-09T09:30:00Z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B90C1D2C545643F09AF9B599B71B3AC2_13</vt:lpwstr>
  </property>
</Properties>
</file>