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center"/>
        <w:rPr>
          <w:rFonts w:hint="eastAsia" w:ascii="黑体" w:hAnsi="宋体" w:eastAsia="黑体" w:cs="宋体"/>
          <w:kern w:val="0"/>
          <w:sz w:val="28"/>
          <w:szCs w:val="28"/>
          <w:highlight w:val="none"/>
        </w:rPr>
      </w:pPr>
      <w:r>
        <w:rPr>
          <w:rFonts w:hint="eastAsia" w:ascii="黑体" w:hAnsi="黑体" w:eastAsia="黑体" w:cs="黑体"/>
          <w:sz w:val="52"/>
          <w:szCs w:val="52"/>
        </w:rPr>
        <w:t>2021年度</w:t>
      </w:r>
    </w:p>
    <w:p>
      <w:pPr>
        <w:widowControl/>
        <w:jc w:val="left"/>
        <w:rPr>
          <w:rFonts w:hint="eastAsia" w:ascii="黑体" w:hAnsi="宋体" w:eastAsia="黑体" w:cs="宋体"/>
          <w:kern w:val="0"/>
          <w:sz w:val="28"/>
          <w:szCs w:val="28"/>
          <w:highlight w:val="none"/>
        </w:rPr>
      </w:pPr>
      <w:r>
        <w:rPr>
          <w:rFonts w:hint="eastAsia" w:ascii="黑体" w:hAnsi="黑体" w:eastAsia="黑体" w:cs="黑体"/>
          <w:sz w:val="52"/>
          <w:szCs w:val="52"/>
        </w:rPr>
        <w:t>许昌市建设工程质量监督站</w:t>
      </w:r>
      <w:r>
        <w:rPr>
          <w:rFonts w:hint="eastAsia" w:ascii="黑体" w:hAnsi="黑体" w:eastAsia="黑体" w:cs="黑体"/>
          <w:sz w:val="52"/>
          <w:szCs w:val="52"/>
          <w:lang w:eastAsia="zh-CN"/>
        </w:rPr>
        <w:t>单位</w:t>
      </w:r>
      <w:r>
        <w:rPr>
          <w:rFonts w:hint="eastAsia" w:ascii="黑体" w:hAnsi="黑体" w:eastAsia="黑体" w:cs="黑体"/>
          <w:sz w:val="52"/>
          <w:szCs w:val="52"/>
        </w:rPr>
        <w:t>决算</w:t>
      </w:r>
    </w:p>
    <w:p>
      <w:pPr>
        <w:spacing w:line="360" w:lineRule="auto"/>
        <w:jc w:val="center"/>
        <w:rPr>
          <w:rFonts w:ascii="黑体" w:hAnsi="黑体" w:eastAsia="黑体" w:cs="黑体"/>
          <w:sz w:val="52"/>
          <w:szCs w:val="52"/>
        </w:rPr>
      </w:pPr>
    </w:p>
    <w:p>
      <w:pPr>
        <w:spacing w:line="360" w:lineRule="auto"/>
        <w:jc w:val="center"/>
        <w:rPr>
          <w:rFonts w:ascii="黑体" w:hAnsi="黑体" w:eastAsia="黑体" w:cs="黑体"/>
          <w:sz w:val="52"/>
          <w:szCs w:val="52"/>
        </w:rPr>
      </w:pP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spacing w:line="360" w:lineRule="auto"/>
        <w:jc w:val="left"/>
        <w:rPr>
          <w:rFonts w:ascii="楷体" w:hAnsi="楷体" w:eastAsia="楷体" w:cs="楷体"/>
          <w:sz w:val="32"/>
          <w:szCs w:val="32"/>
        </w:rPr>
      </w:pPr>
      <w:r>
        <w:rPr>
          <w:rFonts w:hint="eastAsia" w:ascii="黑体" w:hAnsi="黑体" w:eastAsia="黑体" w:cs="黑体"/>
          <w:sz w:val="32"/>
          <w:szCs w:val="32"/>
          <w:highlight w:val="none"/>
        </w:rPr>
        <w:t>第一部分</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rPr>
        <w:t>许昌市建设工程质量监督站概况</w:t>
      </w:r>
    </w:p>
    <w:p>
      <w:pPr>
        <w:numPr>
          <w:ilvl w:val="0"/>
          <w:numId w:val="0"/>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一、单位</w:t>
      </w:r>
      <w:r>
        <w:rPr>
          <w:rFonts w:hint="eastAsia" w:ascii="宋体" w:hAnsi="宋体" w:cs="宋体"/>
          <w:sz w:val="32"/>
          <w:szCs w:val="32"/>
          <w:highlight w:val="none"/>
        </w:rPr>
        <w:t>职责</w:t>
      </w:r>
    </w:p>
    <w:p>
      <w:pPr>
        <w:numPr>
          <w:ilvl w:val="0"/>
          <w:numId w:val="0"/>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二、</w:t>
      </w:r>
      <w:r>
        <w:rPr>
          <w:rFonts w:hint="eastAsia" w:ascii="宋体" w:hAnsi="宋体" w:cs="宋体"/>
          <w:sz w:val="32"/>
          <w:szCs w:val="32"/>
          <w:highlight w:val="none"/>
        </w:rPr>
        <w:t>机构设置</w:t>
      </w:r>
    </w:p>
    <w:p>
      <w:pPr>
        <w:spacing w:line="360" w:lineRule="auto"/>
        <w:jc w:val="left"/>
        <w:rPr>
          <w:rFonts w:ascii="黑体" w:hAnsi="黑体" w:eastAsia="黑体" w:cs="黑体"/>
          <w:sz w:val="32"/>
          <w:szCs w:val="32"/>
          <w:highlight w:val="none"/>
        </w:rPr>
      </w:pPr>
      <w:r>
        <w:rPr>
          <w:rFonts w:hint="eastAsia" w:ascii="黑体" w:hAnsi="黑体" w:eastAsia="黑体" w:cs="黑体"/>
          <w:sz w:val="32"/>
          <w:szCs w:val="32"/>
          <w:highlight w:val="none"/>
        </w:rPr>
        <w:t xml:space="preserve">第二部分  </w:t>
      </w:r>
      <w:r>
        <w:rPr>
          <w:rFonts w:hint="eastAsia" w:ascii="黑体" w:hAnsi="黑体" w:eastAsia="黑体" w:cs="黑体"/>
          <w:sz w:val="32"/>
          <w:szCs w:val="32"/>
        </w:rPr>
        <w:t>2021年度</w:t>
      </w:r>
      <w:r>
        <w:rPr>
          <w:rFonts w:hint="eastAsia" w:ascii="黑体" w:hAnsi="黑体" w:eastAsia="黑体" w:cs="黑体"/>
          <w:sz w:val="32"/>
          <w:szCs w:val="32"/>
          <w:lang w:eastAsia="zh-CN"/>
        </w:rPr>
        <w:t>单位</w:t>
      </w:r>
      <w:r>
        <w:rPr>
          <w:rFonts w:hint="eastAsia" w:ascii="黑体" w:hAnsi="黑体" w:eastAsia="黑体" w:cs="黑体"/>
          <w:sz w:val="32"/>
          <w:szCs w:val="32"/>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rPr>
        <w:t>2021年度</w:t>
      </w:r>
      <w:r>
        <w:rPr>
          <w:rFonts w:hint="eastAsia" w:ascii="黑体" w:hAnsi="黑体" w:eastAsia="黑体" w:cs="黑体"/>
          <w:sz w:val="32"/>
          <w:szCs w:val="32"/>
          <w:lang w:eastAsia="zh-CN"/>
        </w:rPr>
        <w:t>单位</w:t>
      </w:r>
      <w:r>
        <w:rPr>
          <w:rFonts w:hint="eastAsia" w:ascii="黑体" w:hAnsi="黑体" w:eastAsia="黑体" w:cs="黑体"/>
          <w:sz w:val="32"/>
          <w:szCs w:val="32"/>
        </w:rPr>
        <w:t>决算情况</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48"/>
          <w:szCs w:val="48"/>
          <w:highlight w:val="none"/>
        </w:rPr>
      </w:pPr>
      <w:r>
        <w:rPr>
          <w:rFonts w:hint="eastAsia" w:ascii="黑体" w:hAnsi="黑体" w:eastAsia="黑体" w:cs="黑体"/>
          <w:sz w:val="48"/>
          <w:szCs w:val="48"/>
          <w:highlight w:val="none"/>
        </w:rPr>
        <w:t xml:space="preserve">第一部分  </w:t>
      </w:r>
      <w:r>
        <w:rPr>
          <w:rFonts w:hint="default" w:ascii="黑体" w:hAnsi="黑体" w:eastAsia="黑体" w:cs="黑体"/>
          <w:sz w:val="48"/>
          <w:szCs w:val="48"/>
          <w:highlight w:val="none"/>
        </w:rPr>
        <w:t>许昌市建设工程质量监督站</w:t>
      </w:r>
      <w:r>
        <w:rPr>
          <w:rFonts w:hint="eastAsia" w:ascii="黑体" w:hAnsi="黑体" w:eastAsia="黑体" w:cs="黑体"/>
          <w:sz w:val="48"/>
          <w:szCs w:val="48"/>
          <w:highlight w:val="none"/>
        </w:rPr>
        <w:t>概况</w:t>
      </w:r>
    </w:p>
    <w:p>
      <w:pPr>
        <w:widowControl/>
        <w:ind w:firstLine="960" w:firstLineChars="200"/>
        <w:jc w:val="left"/>
        <w:outlineLvl w:val="1"/>
        <w:rPr>
          <w:rFonts w:ascii="黑体" w:hAnsi="黑体" w:eastAsia="黑体" w:cs="黑体"/>
          <w:kern w:val="0"/>
          <w:sz w:val="48"/>
          <w:szCs w:val="48"/>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widowControl/>
        <w:spacing w:line="59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许昌市建设工程质量监督站主要职责：承担对全市建设工程与市政基础设施工程项目的质量监督管理；把握全市建设工程质量动态；负责受理工程质量方面的投诉和参与建设工程质量事故处理；负责建设系统工程质量检查及各县(市)质量监督机构人员考核管理；负责对商砼生产企业，预拌砂浆生产企业，工程质量检测机构的管理；负责工程质量管理人员的业务培训。</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许昌市建设工程质量监督站</w:t>
      </w:r>
      <w:r>
        <w:rPr>
          <w:rFonts w:hint="eastAsia" w:ascii="仿宋_GB2312" w:hAnsi="仿宋_GB2312" w:eastAsia="仿宋_GB2312" w:cs="仿宋_GB2312"/>
          <w:kern w:val="0"/>
          <w:sz w:val="32"/>
          <w:szCs w:val="32"/>
        </w:rPr>
        <w:t>内设机构8个，包括：</w:t>
      </w:r>
      <w:r>
        <w:rPr>
          <w:rFonts w:hint="eastAsia" w:ascii="仿宋_GB2312" w:hAnsi="仿宋_GB2312" w:eastAsia="仿宋_GB2312" w:cs="仿宋_GB2312"/>
          <w:sz w:val="32"/>
          <w:szCs w:val="32"/>
        </w:rPr>
        <w:t>办公室、房屋工程监督一科、房屋工程监督二科、房屋工程监督三科、市政工程科、设备安装科、检测一科、检测二科。</w:t>
      </w:r>
    </w:p>
    <w:p>
      <w:pPr>
        <w:widowControl/>
        <w:spacing w:line="59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从决算单位构成看，</w:t>
      </w:r>
      <w:r>
        <w:rPr>
          <w:rFonts w:hint="eastAsia" w:ascii="仿宋_GB2312" w:hAnsi="仿宋_GB2312" w:eastAsia="仿宋_GB2312" w:cs="仿宋_GB2312"/>
          <w:sz w:val="32"/>
          <w:szCs w:val="32"/>
        </w:rPr>
        <w:t>许昌市建设工程质量监督站决算包括：本级决算</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rPr>
        <w:t>。</w:t>
      </w:r>
    </w:p>
    <w:p>
      <w:pPr>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纳入本</w:t>
      </w:r>
      <w:r>
        <w:rPr>
          <w:rFonts w:hint="eastAsia" w:ascii="仿宋_GB2312" w:hAnsi="宋体" w:eastAsia="仿宋_GB2312" w:cs="仿宋_GB2312"/>
          <w:sz w:val="32"/>
          <w:szCs w:val="32"/>
          <w:lang w:eastAsia="zh-CN"/>
        </w:rPr>
        <w:t>单位</w:t>
      </w:r>
      <w:r>
        <w:rPr>
          <w:rFonts w:hint="eastAsia" w:ascii="仿宋_GB2312" w:hAnsi="宋体" w:eastAsia="仿宋_GB2312" w:cs="仿宋_GB2312"/>
          <w:sz w:val="32"/>
          <w:szCs w:val="32"/>
        </w:rPr>
        <w:t>2021年度</w:t>
      </w:r>
      <w:r>
        <w:rPr>
          <w:rFonts w:hint="eastAsia" w:ascii="仿宋_GB2312" w:hAnsi="宋体" w:eastAsia="仿宋_GB2312" w:cs="仿宋_GB2312"/>
          <w:sz w:val="32"/>
          <w:szCs w:val="32"/>
          <w:lang w:eastAsia="zh-CN"/>
        </w:rPr>
        <w:t>单位</w:t>
      </w:r>
      <w:r>
        <w:rPr>
          <w:rFonts w:hint="eastAsia" w:ascii="仿宋_GB2312" w:hAnsi="宋体" w:eastAsia="仿宋_GB2312" w:cs="仿宋_GB2312"/>
          <w:sz w:val="32"/>
          <w:szCs w:val="32"/>
        </w:rPr>
        <w:t>决算编制范围的单位共1个，具体是：</w:t>
      </w:r>
    </w:p>
    <w:p>
      <w:pPr>
        <w:widowControl/>
        <w:spacing w:line="590" w:lineRule="exact"/>
        <w:ind w:firstLine="640" w:firstLineChars="200"/>
        <w:outlineLvl w:val="2"/>
        <w:rPr>
          <w:rFonts w:ascii="仿宋_GB2312" w:hAnsi="仿宋_GB2312" w:eastAsia="仿宋_GB2312" w:cs="仿宋_GB2312"/>
          <w:sz w:val="32"/>
          <w:szCs w:val="32"/>
        </w:rPr>
      </w:pP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许昌市</w:t>
      </w:r>
      <w:r>
        <w:rPr>
          <w:rFonts w:hint="eastAsia" w:ascii="仿宋_GB2312" w:hAnsi="仿宋_GB2312" w:eastAsia="仿宋_GB2312" w:cs="仿宋_GB2312"/>
          <w:sz w:val="32"/>
          <w:szCs w:val="32"/>
        </w:rPr>
        <w:t>建设工程质量监督站</w:t>
      </w:r>
    </w:p>
    <w:p>
      <w:pPr>
        <w:widowControl/>
        <w:jc w:val="left"/>
        <w:rPr>
          <w:rFonts w:ascii="黑体" w:hAnsi="宋体" w:eastAsia="黑体" w:cs="宋体"/>
          <w:kern w:val="0"/>
          <w:sz w:val="28"/>
          <w:szCs w:val="28"/>
        </w:rPr>
      </w:pP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center"/>
        <w:rPr>
          <w:rFonts w:hint="eastAsia" w:ascii="黑体" w:hAnsi="宋体" w:eastAsia="黑体" w:cs="宋体"/>
          <w:kern w:val="0"/>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48"/>
          <w:szCs w:val="4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39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4"/>
        <w:gridCol w:w="780"/>
        <w:gridCol w:w="1350"/>
        <w:gridCol w:w="4950"/>
        <w:gridCol w:w="1200"/>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84" w:type="dxa"/>
            <w:gridSpan w:val="6"/>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84" w:type="dxa"/>
            <w:gridSpan w:val="6"/>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424" w:type="dxa"/>
            <w:gridSpan w:val="5"/>
            <w:tcBorders>
              <w:top w:val="nil"/>
              <w:left w:val="nil"/>
              <w:bottom w:val="single" w:color="auto" w:sz="4" w:space="0"/>
              <w:right w:val="nil"/>
            </w:tcBorders>
            <w:noWrap/>
            <w:vAlign w:val="bottom"/>
          </w:tcPr>
          <w:p>
            <w:pPr>
              <w:keepNext w:val="0"/>
              <w:keepLines w:val="0"/>
              <w:pageBreakBefore w:val="0"/>
              <w:widowControl/>
              <w:kinsoku/>
              <w:wordWrap/>
              <w:overflowPunct/>
              <w:topLinePunct w:val="0"/>
              <w:autoSpaceDE/>
              <w:autoSpaceDN/>
              <w:bidi w:val="0"/>
              <w:adjustRightInd/>
              <w:snapToGrid w:val="0"/>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：许昌市建设工程质量监督站</w:t>
            </w:r>
          </w:p>
        </w:tc>
        <w:tc>
          <w:tcPr>
            <w:tcW w:w="1560" w:type="dxa"/>
            <w:tcBorders>
              <w:top w:val="nil"/>
              <w:left w:val="nil"/>
              <w:bottom w:val="single" w:color="auto" w:sz="4" w:space="0"/>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27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710"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5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3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78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564.67</w:t>
            </w:r>
          </w:p>
        </w:tc>
        <w:tc>
          <w:tcPr>
            <w:tcW w:w="495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20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56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0"/>
                <w:szCs w:val="20"/>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0"/>
                <w:szCs w:val="20"/>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0"/>
                <w:szCs w:val="20"/>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564.67</w:t>
            </w: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78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5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106.19</w:t>
            </w:r>
          </w:p>
        </w:tc>
        <w:tc>
          <w:tcPr>
            <w:tcW w:w="495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120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56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12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5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670.86</w:t>
            </w:r>
          </w:p>
        </w:tc>
        <w:tc>
          <w:tcPr>
            <w:tcW w:w="4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2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5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84" w:type="dxa"/>
            <w:gridSpan w:val="6"/>
            <w:tcBorders>
              <w:top w:val="single" w:color="auto" w:sz="4" w:space="0"/>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pPr w:leftFromText="180" w:rightFromText="180" w:vertAnchor="text" w:horzAnchor="page" w:tblpX="1539" w:tblpY="12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43"/>
        <w:gridCol w:w="3846"/>
        <w:gridCol w:w="1536"/>
        <w:gridCol w:w="1536"/>
        <w:gridCol w:w="1143"/>
        <w:gridCol w:w="1125"/>
        <w:gridCol w:w="1155"/>
        <w:gridCol w:w="960"/>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4174"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644" w:type="dxa"/>
            <w:gridSpan w:val="8"/>
            <w:tcBorders>
              <w:top w:val="nil"/>
              <w:left w:val="nil"/>
              <w:bottom w:val="nil"/>
              <w:right w:val="nil"/>
            </w:tcBorders>
            <w:noWrap/>
            <w:vAlign w:val="bottom"/>
          </w:tcPr>
          <w:p>
            <w:pPr>
              <w:jc w:val="center"/>
              <w:rPr>
                <w:rFonts w:hint="eastAsia" w:ascii="Arial" w:hAnsi="Arial" w:cs="Arial"/>
                <w:i w:val="0"/>
                <w:iCs w:val="0"/>
                <w:color w:val="000000"/>
                <w:sz w:val="20"/>
                <w:szCs w:val="20"/>
                <w:u w:val="none"/>
              </w:rPr>
            </w:pPr>
          </w:p>
        </w:tc>
        <w:tc>
          <w:tcPr>
            <w:tcW w:w="153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684" w:type="dxa"/>
            <w:gridSpan w:val="7"/>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：许昌市建设工程质量监督站</w:t>
            </w:r>
          </w:p>
        </w:tc>
        <w:tc>
          <w:tcPr>
            <w:tcW w:w="960" w:type="dxa"/>
            <w:tcBorders>
              <w:top w:val="nil"/>
              <w:left w:val="nil"/>
              <w:bottom w:val="single" w:color="auto" w:sz="4" w:space="0"/>
              <w:right w:val="nil"/>
            </w:tcBorders>
            <w:noWrap/>
            <w:vAlign w:val="bottom"/>
          </w:tcPr>
          <w:p>
            <w:pPr>
              <w:keepNext w:val="0"/>
              <w:keepLines w:val="0"/>
              <w:widowControl/>
              <w:suppressLineNumbers w:val="0"/>
              <w:jc w:val="both"/>
              <w:textAlignment w:val="bottom"/>
            </w:pPr>
            <w:r>
              <w:rPr>
                <w:rFonts w:hint="default" w:ascii="Arial" w:hAnsi="Arial" w:eastAsia="宋体" w:cs="Arial"/>
                <w:i w:val="0"/>
                <w:iCs w:val="0"/>
                <w:color w:val="000000"/>
                <w:kern w:val="0"/>
                <w:sz w:val="20"/>
                <w:szCs w:val="20"/>
                <w:u w:val="none"/>
                <w:lang w:val="en-US" w:eastAsia="zh-CN" w:bidi="ar"/>
              </w:rPr>
              <w:t>　</w:t>
            </w:r>
          </w:p>
        </w:tc>
        <w:tc>
          <w:tcPr>
            <w:tcW w:w="1530" w:type="dxa"/>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8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w:t>
            </w:r>
          </w:p>
        </w:tc>
        <w:tc>
          <w:tcPr>
            <w:tcW w:w="153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本年收入合计</w:t>
            </w:r>
          </w:p>
        </w:tc>
        <w:tc>
          <w:tcPr>
            <w:tcW w:w="153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财政拨款收入</w:t>
            </w:r>
          </w:p>
        </w:tc>
        <w:tc>
          <w:tcPr>
            <w:tcW w:w="1143"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上级补助收入</w:t>
            </w:r>
          </w:p>
        </w:tc>
        <w:tc>
          <w:tcPr>
            <w:tcW w:w="1125"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事业收入</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经营收入</w:t>
            </w:r>
          </w:p>
        </w:tc>
        <w:tc>
          <w:tcPr>
            <w:tcW w:w="9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附属单位上缴收入</w:t>
            </w:r>
          </w:p>
        </w:tc>
        <w:tc>
          <w:tcPr>
            <w:tcW w:w="153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13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功能分类科目编码</w:t>
            </w:r>
          </w:p>
        </w:tc>
        <w:tc>
          <w:tcPr>
            <w:tcW w:w="38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科目名称</w:t>
            </w:r>
          </w:p>
        </w:tc>
        <w:tc>
          <w:tcPr>
            <w:tcW w:w="153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53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14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12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5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栏次</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1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564.67</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564.67</w:t>
            </w:r>
          </w:p>
        </w:tc>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w:t>
            </w:r>
          </w:p>
        </w:tc>
        <w:tc>
          <w:tcPr>
            <w:tcW w:w="38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20129</w:t>
            </w:r>
          </w:p>
        </w:tc>
        <w:tc>
          <w:tcPr>
            <w:tcW w:w="38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群众团体事务</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5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2012906</w:t>
            </w:r>
          </w:p>
        </w:tc>
        <w:tc>
          <w:tcPr>
            <w:tcW w:w="38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5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38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87.53</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87.53</w:t>
            </w:r>
          </w:p>
        </w:tc>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5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38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82.08</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82.08</w:t>
            </w:r>
          </w:p>
        </w:tc>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5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2080502</w:t>
            </w:r>
          </w:p>
        </w:tc>
        <w:tc>
          <w:tcPr>
            <w:tcW w:w="38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32.09</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32.09</w:t>
            </w:r>
          </w:p>
        </w:tc>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5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38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49.98</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49.98</w:t>
            </w:r>
          </w:p>
        </w:tc>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5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w:t>
            </w:r>
          </w:p>
        </w:tc>
        <w:tc>
          <w:tcPr>
            <w:tcW w:w="38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5.45</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5.45</w:t>
            </w:r>
          </w:p>
        </w:tc>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5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2080801</w:t>
            </w:r>
          </w:p>
        </w:tc>
        <w:tc>
          <w:tcPr>
            <w:tcW w:w="38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5.45</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5.45</w:t>
            </w:r>
          </w:p>
        </w:tc>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5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38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20.65</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20.65</w:t>
            </w:r>
          </w:p>
        </w:tc>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5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38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20.65</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20.65</w:t>
            </w:r>
          </w:p>
        </w:tc>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5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2101102</w:t>
            </w:r>
          </w:p>
        </w:tc>
        <w:tc>
          <w:tcPr>
            <w:tcW w:w="38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20.65</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20.65</w:t>
            </w:r>
          </w:p>
        </w:tc>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5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38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453.19</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453.19</w:t>
            </w:r>
          </w:p>
        </w:tc>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5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21206</w:t>
            </w:r>
          </w:p>
        </w:tc>
        <w:tc>
          <w:tcPr>
            <w:tcW w:w="38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建设市场管理与监督</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453.19</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453.19</w:t>
            </w:r>
          </w:p>
        </w:tc>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5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2120601</w:t>
            </w:r>
          </w:p>
        </w:tc>
        <w:tc>
          <w:tcPr>
            <w:tcW w:w="38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建设市场管理与监督</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453.19</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453.19</w:t>
            </w:r>
          </w:p>
        </w:tc>
        <w:tc>
          <w:tcPr>
            <w:tcW w:w="11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5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174" w:type="dxa"/>
            <w:gridSpan w:val="9"/>
            <w:tcBorders>
              <w:top w:val="single" w:color="auto" w:sz="4" w:space="0"/>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70"/>
        <w:gridCol w:w="3843"/>
        <w:gridCol w:w="1784"/>
        <w:gridCol w:w="1305"/>
        <w:gridCol w:w="1125"/>
        <w:gridCol w:w="1290"/>
        <w:gridCol w:w="1140"/>
        <w:gridCol w:w="1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14190"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4190" w:type="dxa"/>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14190" w:type="dxa"/>
            <w:gridSpan w:val="8"/>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 xml:space="preserve">：许昌市建设工程质量监督站                                                                                             </w:t>
            </w:r>
            <w:r>
              <w:rPr>
                <w:rFonts w:hint="default" w:ascii="宋体" w:hAnsi="宋体" w:cs="宋体"/>
                <w:i w:val="0"/>
                <w:iCs w:val="0"/>
                <w:color w:val="000000"/>
                <w:kern w:val="0"/>
                <w:sz w:val="20"/>
                <w:szCs w:val="20"/>
                <w:u w:val="none"/>
                <w:lang w:eastAsia="zh-CN" w:bidi="ar"/>
              </w:rPr>
              <w:t xml:space="preserve">   </w:t>
            </w: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81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w:t>
            </w:r>
          </w:p>
        </w:tc>
        <w:tc>
          <w:tcPr>
            <w:tcW w:w="1784"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本年支出合计</w:t>
            </w:r>
          </w:p>
        </w:tc>
        <w:tc>
          <w:tcPr>
            <w:tcW w:w="1305"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基本支出</w:t>
            </w:r>
          </w:p>
        </w:tc>
        <w:tc>
          <w:tcPr>
            <w:tcW w:w="11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项目支出</w:t>
            </w:r>
          </w:p>
        </w:tc>
        <w:tc>
          <w:tcPr>
            <w:tcW w:w="129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上缴上级支出</w:t>
            </w:r>
          </w:p>
        </w:tc>
        <w:tc>
          <w:tcPr>
            <w:tcW w:w="114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经营支出</w:t>
            </w:r>
          </w:p>
        </w:tc>
        <w:tc>
          <w:tcPr>
            <w:tcW w:w="173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功能分类科目编码</w:t>
            </w:r>
          </w:p>
        </w:tc>
        <w:tc>
          <w:tcPr>
            <w:tcW w:w="3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科目名称</w:t>
            </w:r>
          </w:p>
        </w:tc>
        <w:tc>
          <w:tcPr>
            <w:tcW w:w="1784"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8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栏次</w:t>
            </w:r>
          </w:p>
        </w:tc>
        <w:tc>
          <w:tcPr>
            <w:tcW w:w="1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670.86</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670.86</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9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w:t>
            </w:r>
          </w:p>
        </w:tc>
        <w:tc>
          <w:tcPr>
            <w:tcW w:w="38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9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20129</w:t>
            </w:r>
          </w:p>
        </w:tc>
        <w:tc>
          <w:tcPr>
            <w:tcW w:w="38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群众团体事务</w:t>
            </w:r>
          </w:p>
        </w:tc>
        <w:tc>
          <w:tcPr>
            <w:tcW w:w="1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9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2012906</w:t>
            </w:r>
          </w:p>
        </w:tc>
        <w:tc>
          <w:tcPr>
            <w:tcW w:w="38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9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38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100.1</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100.1</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9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38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94.65</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94.65</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9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2080502</w:t>
            </w:r>
          </w:p>
        </w:tc>
        <w:tc>
          <w:tcPr>
            <w:tcW w:w="38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33.8</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33.8</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9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38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60.86</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60.86</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9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w:t>
            </w:r>
          </w:p>
        </w:tc>
        <w:tc>
          <w:tcPr>
            <w:tcW w:w="38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1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5.45</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5.45</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9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2080801</w:t>
            </w:r>
          </w:p>
        </w:tc>
        <w:tc>
          <w:tcPr>
            <w:tcW w:w="38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5.45</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5.45</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9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38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25.42</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25.42</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9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38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25.42</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25.42</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9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2101102</w:t>
            </w:r>
          </w:p>
        </w:tc>
        <w:tc>
          <w:tcPr>
            <w:tcW w:w="38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25.42</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25.42</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9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38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1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542.04</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542.04</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9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21206</w:t>
            </w:r>
          </w:p>
        </w:tc>
        <w:tc>
          <w:tcPr>
            <w:tcW w:w="38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建设市场管理与监督</w:t>
            </w:r>
          </w:p>
        </w:tc>
        <w:tc>
          <w:tcPr>
            <w:tcW w:w="1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542.04</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542.04</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9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2120601</w:t>
            </w:r>
          </w:p>
        </w:tc>
        <w:tc>
          <w:tcPr>
            <w:tcW w:w="38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建设市场管理与监督</w:t>
            </w:r>
          </w:p>
        </w:tc>
        <w:tc>
          <w:tcPr>
            <w:tcW w:w="178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542.04</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542.04</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17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190" w:type="dxa"/>
            <w:gridSpan w:val="8"/>
            <w:tcBorders>
              <w:top w:val="single" w:color="auto" w:sz="4" w:space="0"/>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tbl>
      <w:tblPr>
        <w:tblStyle w:val="5"/>
        <w:tblpPr w:leftFromText="180" w:rightFromText="180" w:vertAnchor="text" w:horzAnchor="page" w:tblpX="1584" w:tblpY="-74"/>
        <w:tblOverlap w:val="never"/>
        <w:tblW w:w="13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76"/>
        <w:gridCol w:w="443"/>
        <w:gridCol w:w="1141"/>
        <w:gridCol w:w="3440"/>
        <w:gridCol w:w="705"/>
        <w:gridCol w:w="930"/>
        <w:gridCol w:w="1125"/>
        <w:gridCol w:w="1035"/>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384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3845" w:type="dxa"/>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3845" w:type="dxa"/>
            <w:gridSpan w:val="9"/>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：许昌市建设工程质量监督站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60"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185"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307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4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4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44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0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30"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03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95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30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44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1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564.67</w:t>
            </w: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100.10</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100.10</w:t>
            </w: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25.42</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25.42</w:t>
            </w: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542.04</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542.04</w:t>
            </w: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bCs/>
                <w:i w:val="0"/>
                <w:iCs w:val="0"/>
                <w:color w:val="000000"/>
                <w:sz w:val="20"/>
                <w:szCs w:val="20"/>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0"/>
                <w:szCs w:val="20"/>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0"/>
                <w:szCs w:val="20"/>
                <w:u w:val="none"/>
              </w:rPr>
            </w:pP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564.67</w:t>
            </w: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670.86</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670.86</w:t>
            </w: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106.19</w:t>
            </w: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106.19</w:t>
            </w: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670.86</w:t>
            </w:r>
          </w:p>
        </w:tc>
        <w:tc>
          <w:tcPr>
            <w:tcW w:w="3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670.86</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670.86</w:t>
            </w:r>
          </w:p>
        </w:tc>
        <w:tc>
          <w:tcPr>
            <w:tcW w:w="1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3845" w:type="dxa"/>
            <w:gridSpan w:val="9"/>
            <w:tcBorders>
              <w:top w:val="single" w:color="auto" w:sz="4" w:space="0"/>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39"/>
        <w:gridCol w:w="4020"/>
        <w:gridCol w:w="2220"/>
        <w:gridCol w:w="2460"/>
        <w:gridCol w:w="2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13639"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939" w:type="dxa"/>
            <w:gridSpan w:val="4"/>
            <w:tcBorders>
              <w:top w:val="nil"/>
              <w:left w:val="nil"/>
              <w:bottom w:val="nil"/>
              <w:right w:val="nil"/>
            </w:tcBorders>
            <w:noWrap/>
            <w:vAlign w:val="bottom"/>
          </w:tcPr>
          <w:p>
            <w:pPr>
              <w:jc w:val="center"/>
              <w:rPr>
                <w:rFonts w:hint="eastAsia" w:ascii="Arial" w:hAnsi="Arial" w:cs="Arial"/>
                <w:i w:val="0"/>
                <w:iCs w:val="0"/>
                <w:color w:val="000000"/>
                <w:sz w:val="20"/>
                <w:szCs w:val="20"/>
                <w:u w:val="none"/>
              </w:rPr>
            </w:pPr>
          </w:p>
        </w:tc>
        <w:tc>
          <w:tcPr>
            <w:tcW w:w="270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939" w:type="dxa"/>
            <w:gridSpan w:val="4"/>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：许昌市建设工程质量监督站</w:t>
            </w:r>
          </w:p>
        </w:tc>
        <w:tc>
          <w:tcPr>
            <w:tcW w:w="2700" w:type="dxa"/>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25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38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020"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4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7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22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402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2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24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27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402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2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24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27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25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25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670.86</w:t>
            </w:r>
          </w:p>
        </w:tc>
        <w:tc>
          <w:tcPr>
            <w:tcW w:w="24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670.86</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24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24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24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100.10</w:t>
            </w:r>
          </w:p>
        </w:tc>
        <w:tc>
          <w:tcPr>
            <w:tcW w:w="24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100.10</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94.65</w:t>
            </w:r>
          </w:p>
        </w:tc>
        <w:tc>
          <w:tcPr>
            <w:tcW w:w="24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94.65</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33.80</w:t>
            </w:r>
          </w:p>
        </w:tc>
        <w:tc>
          <w:tcPr>
            <w:tcW w:w="24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33.80</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60.86</w:t>
            </w:r>
          </w:p>
        </w:tc>
        <w:tc>
          <w:tcPr>
            <w:tcW w:w="24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60.86</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w:t>
            </w:r>
          </w:p>
        </w:tc>
        <w:tc>
          <w:tcPr>
            <w:tcW w:w="24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w:t>
            </w:r>
          </w:p>
        </w:tc>
        <w:tc>
          <w:tcPr>
            <w:tcW w:w="24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25.42</w:t>
            </w:r>
          </w:p>
        </w:tc>
        <w:tc>
          <w:tcPr>
            <w:tcW w:w="24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25.42</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25.42</w:t>
            </w:r>
          </w:p>
        </w:tc>
        <w:tc>
          <w:tcPr>
            <w:tcW w:w="24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25.42</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25.42</w:t>
            </w:r>
          </w:p>
        </w:tc>
        <w:tc>
          <w:tcPr>
            <w:tcW w:w="24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25.42</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542.04</w:t>
            </w:r>
          </w:p>
        </w:tc>
        <w:tc>
          <w:tcPr>
            <w:tcW w:w="24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542.04</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21206</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建设市场管理与监督</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542.04</w:t>
            </w:r>
          </w:p>
        </w:tc>
        <w:tc>
          <w:tcPr>
            <w:tcW w:w="24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542.04</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2120601</w:t>
            </w:r>
          </w:p>
        </w:tc>
        <w:tc>
          <w:tcPr>
            <w:tcW w:w="40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建设市场管理与监督</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542.04</w:t>
            </w:r>
          </w:p>
        </w:tc>
        <w:tc>
          <w:tcPr>
            <w:tcW w:w="24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542.04</w:t>
            </w:r>
          </w:p>
        </w:tc>
        <w:tc>
          <w:tcPr>
            <w:tcW w:w="27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639" w:type="dxa"/>
            <w:gridSpan w:val="5"/>
            <w:tcBorders>
              <w:top w:val="single" w:color="auto" w:sz="4" w:space="0"/>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4"/>
        <w:gridCol w:w="3345"/>
        <w:gridCol w:w="945"/>
        <w:gridCol w:w="825"/>
        <w:gridCol w:w="2295"/>
        <w:gridCol w:w="1065"/>
        <w:gridCol w:w="870"/>
        <w:gridCol w:w="2865"/>
        <w:gridCol w:w="9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081" w:type="dxa"/>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公开0</w:t>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081" w:type="dxa"/>
            <w:gridSpan w:val="9"/>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：许昌市建设工程质量监督站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6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8917"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34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4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29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7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86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9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334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4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22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28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591.64</w:t>
            </w: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38.01</w:t>
            </w: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87.81</w:t>
            </w: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191.62</w:t>
            </w: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32.51</w:t>
            </w: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90.79</w:t>
            </w: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60.86</w:t>
            </w: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10.14</w:t>
            </w: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25.42</w:t>
            </w: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信息网络及软件购置更新</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86.75</w:t>
            </w: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因公出国（境）费用</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41.21</w:t>
            </w: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33.80</w:t>
            </w: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w:t>
            </w: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对民间非营利组织和群众性自治组织补贴</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w:t>
            </w: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33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2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其他商品和服务支出</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8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28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1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632.85</w:t>
            </w:r>
          </w:p>
        </w:tc>
        <w:tc>
          <w:tcPr>
            <w:tcW w:w="7920"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81" w:type="dxa"/>
            <w:gridSpan w:val="9"/>
            <w:tcBorders>
              <w:top w:val="single" w:color="auto" w:sz="4" w:space="0"/>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6"/>
        <w:gridCol w:w="1096"/>
        <w:gridCol w:w="902"/>
        <w:gridCol w:w="1110"/>
        <w:gridCol w:w="1152"/>
        <w:gridCol w:w="972"/>
        <w:gridCol w:w="1096"/>
        <w:gridCol w:w="1096"/>
        <w:gridCol w:w="1096"/>
        <w:gridCol w:w="1188"/>
        <w:gridCol w:w="1226"/>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646"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030" w:type="dxa"/>
            <w:gridSpan w:val="11"/>
            <w:tcBorders>
              <w:top w:val="nil"/>
              <w:left w:val="nil"/>
              <w:bottom w:val="nil"/>
              <w:right w:val="nil"/>
            </w:tcBorders>
            <w:noWrap/>
            <w:vAlign w:val="bottom"/>
          </w:tcPr>
          <w:p>
            <w:pPr>
              <w:jc w:val="center"/>
              <w:rPr>
                <w:rFonts w:hint="eastAsia" w:ascii="Arial" w:hAnsi="Arial" w:cs="Arial"/>
                <w:i w:val="0"/>
                <w:iCs w:val="0"/>
                <w:color w:val="000000"/>
                <w:sz w:val="20"/>
                <w:szCs w:val="20"/>
                <w:u w:val="none"/>
              </w:rPr>
            </w:pPr>
          </w:p>
        </w:tc>
        <w:tc>
          <w:tcPr>
            <w:tcW w:w="161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804" w:type="dxa"/>
            <w:gridSpan w:val="10"/>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：许昌市建设工程质量监督站</w:t>
            </w:r>
          </w:p>
        </w:tc>
        <w:tc>
          <w:tcPr>
            <w:tcW w:w="1226" w:type="dxa"/>
            <w:tcBorders>
              <w:top w:val="nil"/>
              <w:left w:val="nil"/>
              <w:bottom w:val="single" w:color="auto" w:sz="4" w:space="0"/>
              <w:right w:val="nil"/>
            </w:tcBorders>
            <w:noWrap/>
            <w:vAlign w:val="bottom"/>
          </w:tcPr>
          <w:p>
            <w:pPr>
              <w:rPr>
                <w:rFonts w:hint="default" w:ascii="Arial" w:hAnsi="Arial" w:cs="Arial"/>
                <w:i w:val="0"/>
                <w:iCs w:val="0"/>
                <w:color w:val="000000"/>
                <w:sz w:val="20"/>
                <w:szCs w:val="20"/>
                <w:u w:val="none"/>
              </w:rPr>
            </w:pPr>
          </w:p>
        </w:tc>
        <w:tc>
          <w:tcPr>
            <w:tcW w:w="1616" w:type="dxa"/>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328"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318"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16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97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09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1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61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9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09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97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09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09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61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0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iCs w:val="0"/>
                <w:color w:val="000000"/>
                <w:sz w:val="22"/>
                <w:szCs w:val="22"/>
                <w:u w:val="none"/>
              </w:rPr>
            </w:pPr>
          </w:p>
        </w:tc>
        <w:tc>
          <w:tcPr>
            <w:tcW w:w="90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iCs w:val="0"/>
                <w:color w:val="000000"/>
                <w:sz w:val="22"/>
                <w:szCs w:val="22"/>
                <w:u w:val="none"/>
              </w:rPr>
            </w:pPr>
          </w:p>
        </w:tc>
        <w:tc>
          <w:tcPr>
            <w:tcW w:w="115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iCs w:val="0"/>
                <w:color w:val="000000"/>
                <w:sz w:val="22"/>
                <w:szCs w:val="22"/>
                <w:u w:val="none"/>
              </w:rPr>
            </w:pPr>
          </w:p>
        </w:tc>
        <w:tc>
          <w:tcPr>
            <w:tcW w:w="10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0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iCs w:val="0"/>
                <w:color w:val="000000"/>
                <w:sz w:val="22"/>
                <w:szCs w:val="22"/>
                <w:u w:val="none"/>
              </w:rPr>
            </w:pPr>
          </w:p>
        </w:tc>
        <w:tc>
          <w:tcPr>
            <w:tcW w:w="10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iCs w:val="0"/>
                <w:color w:val="000000"/>
                <w:sz w:val="22"/>
                <w:szCs w:val="22"/>
                <w:u w:val="none"/>
              </w:rPr>
            </w:pPr>
          </w:p>
        </w:tc>
        <w:tc>
          <w:tcPr>
            <w:tcW w:w="12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6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3646" w:type="dxa"/>
            <w:gridSpan w:val="12"/>
            <w:tcBorders>
              <w:top w:val="single" w:color="auto" w:sz="4" w:space="0"/>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25"/>
        <w:gridCol w:w="1193"/>
        <w:gridCol w:w="912"/>
        <w:gridCol w:w="1055"/>
        <w:gridCol w:w="1305"/>
        <w:gridCol w:w="975"/>
        <w:gridCol w:w="1905"/>
        <w:gridCol w:w="2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70" w:type="dxa"/>
            <w:gridSpan w:val="7"/>
            <w:tcBorders>
              <w:top w:val="nil"/>
              <w:left w:val="nil"/>
              <w:bottom w:val="nil"/>
              <w:right w:val="nil"/>
            </w:tcBorders>
            <w:noWrap/>
            <w:vAlign w:val="bottom"/>
          </w:tcPr>
          <w:p>
            <w:pPr>
              <w:jc w:val="center"/>
              <w:rPr>
                <w:rFonts w:hint="eastAsia" w:ascii="Arial" w:hAnsi="Arial" w:cs="Arial"/>
                <w:i w:val="0"/>
                <w:iCs w:val="0"/>
                <w:color w:val="000000"/>
                <w:sz w:val="20"/>
                <w:szCs w:val="20"/>
                <w:u w:val="none"/>
              </w:rPr>
            </w:pPr>
          </w:p>
        </w:tc>
        <w:tc>
          <w:tcPr>
            <w:tcW w:w="2511"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70" w:type="dxa"/>
            <w:gridSpan w:val="7"/>
            <w:tcBorders>
              <w:top w:val="nil"/>
              <w:left w:val="nil"/>
              <w:bottom w:val="single" w:color="auto" w:sz="4" w:space="0"/>
              <w:right w:val="nil"/>
            </w:tcBorders>
            <w:noWrap/>
            <w:vAlign w:val="bottom"/>
          </w:tcPr>
          <w:p>
            <w:pPr>
              <w:jc w:val="left"/>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：许昌市建设工程质量监督站</w:t>
            </w:r>
          </w:p>
        </w:tc>
        <w:tc>
          <w:tcPr>
            <w:tcW w:w="2511" w:type="dxa"/>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41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1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05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51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193"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30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90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51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19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9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251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19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9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251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41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41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000000"/>
                <w:sz w:val="22"/>
                <w:szCs w:val="22"/>
                <w:u w:val="none"/>
              </w:rPr>
            </w:pPr>
          </w:p>
        </w:tc>
        <w:tc>
          <w:tcPr>
            <w:tcW w:w="10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000000"/>
                <w:sz w:val="22"/>
                <w:szCs w:val="22"/>
                <w:u w:val="none"/>
              </w:rPr>
            </w:pP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000000"/>
                <w:sz w:val="22"/>
                <w:szCs w:val="22"/>
                <w:u w:val="none"/>
              </w:rPr>
            </w:pPr>
          </w:p>
        </w:tc>
        <w:tc>
          <w:tcPr>
            <w:tcW w:w="9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000000"/>
                <w:sz w:val="22"/>
                <w:szCs w:val="22"/>
                <w:u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000000"/>
                <w:sz w:val="22"/>
                <w:szCs w:val="22"/>
                <w:u w:val="none"/>
              </w:rPr>
            </w:pPr>
          </w:p>
        </w:tc>
        <w:tc>
          <w:tcPr>
            <w:tcW w:w="25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119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9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9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25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119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9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9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25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119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9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9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25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119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9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9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25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119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9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9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25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119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9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9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25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81" w:type="dxa"/>
            <w:gridSpan w:val="8"/>
            <w:tcBorders>
              <w:top w:val="single" w:color="auto" w:sz="4" w:space="0"/>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keepNext w:val="0"/>
        <w:keepLines w:val="0"/>
        <w:pageBreakBefore w:val="0"/>
        <w:kinsoku/>
        <w:wordWrap/>
        <w:overflowPunct/>
        <w:topLinePunct w:val="0"/>
        <w:autoSpaceDE/>
        <w:autoSpaceDN/>
        <w:bidi w:val="0"/>
        <w:adjustRightInd/>
        <w:snapToGrid w:val="0"/>
        <w:spacing w:line="360" w:lineRule="auto"/>
        <w:jc w:val="left"/>
        <w:rPr>
          <w:rFonts w:hint="eastAsia" w:ascii="宋体" w:hAnsi="宋体" w:eastAsia="宋体" w:cs="宋体"/>
          <w:i w:val="0"/>
          <w:iCs w:val="0"/>
          <w:color w:val="000000"/>
          <w:kern w:val="0"/>
          <w:sz w:val="30"/>
          <w:szCs w:val="30"/>
          <w:u w:val="none"/>
          <w:lang w:val="en-US" w:eastAsia="zh-CN" w:bidi="ar"/>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0"/>
          <w:szCs w:val="30"/>
        </w:rPr>
        <w:t>说明：我</w:t>
      </w:r>
      <w:r>
        <w:rPr>
          <w:rFonts w:hint="eastAsia" w:ascii="仿宋_GB2312" w:hAnsi="仿宋_GB2312" w:eastAsia="仿宋_GB2312" w:cs="仿宋_GB2312"/>
          <w:sz w:val="30"/>
          <w:szCs w:val="30"/>
          <w:lang w:eastAsia="zh-CN"/>
        </w:rPr>
        <w:t>单位</w:t>
      </w:r>
      <w:r>
        <w:rPr>
          <w:rFonts w:hint="eastAsia" w:ascii="仿宋_GB2312" w:hAnsi="仿宋_GB2312" w:eastAsia="仿宋_GB2312" w:cs="仿宋_GB2312"/>
          <w:sz w:val="30"/>
          <w:szCs w:val="30"/>
        </w:rPr>
        <w:t>没有政府性基金收入，也没有使用政府性基金安排的支出，故本表无数据。</w:t>
      </w: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ind w:left="2880" w:hanging="2880" w:hangingChars="600"/>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60" w:lineRule="exact"/>
        <w:ind w:firstLine="640" w:firstLineChars="200"/>
        <w:rPr>
          <w:rFonts w:ascii="楷体" w:hAnsi="楷体" w:eastAsia="楷体" w:cs="楷体"/>
          <w:b/>
          <w:bCs/>
          <w:color w:val="FF0000"/>
          <w:kern w:val="0"/>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年度收、支总计均为670.86万元。与上年度相比，收、支总计各减少105.37万元，下降13.57%。主要原因是在职人员调离1人，退休人员去世1人，人员经费减少。</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6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年度收入合计564.67万元，其中：财政拨款收入564.67万元，占100.00%；上级补助收入0.00万元，占0.00%；事业收入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万元，占0.00%；经营收入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万元，占0.00%；附属单位上缴收入0.00万元，占0.00%；其他收入0.00万元，占0.00%。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6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年度支出合计670.86万元，其中：基本支出670.86万元，占100.00%；项目支出0.00万元，占0.00%；上缴上级支出0.00万元，占0.00%；经营支出0.00万元，占0.00%；对附属单位补助支出0.00万元，占0.00%。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60" w:lineRule="exact"/>
        <w:ind w:firstLine="640" w:firstLineChars="200"/>
        <w:rPr>
          <w:rFonts w:ascii="楷体" w:hAnsi="楷体" w:eastAsia="楷体" w:cs="楷体"/>
          <w:b/>
          <w:bCs/>
          <w:color w:val="FF0000"/>
          <w:kern w:val="0"/>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年度财政拨款收、支总计均为670.86万元。与上年度相比，财政拨款收、支总计各减少105.37万元，下降13.57%。主要原因是在职人员调离1人，退休人员去世1人，人员经费减少。</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2021年度一般公共预算财政拨款支出670.86万元，占支出合计的100.00%。与上年度相比，一般公共预算财政拨款支出增加21.09万元，增长3.25%。主要原因是人员工资及养老基数调整。</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60" w:lineRule="exact"/>
        <w:ind w:firstLine="640" w:firstLineChars="200"/>
        <w:rPr>
          <w:rFonts w:ascii="楷体" w:hAnsi="楷体" w:eastAsia="楷体" w:cs="楷体"/>
          <w:b/>
          <w:bCs/>
          <w:color w:val="FF0000"/>
          <w:kern w:val="0"/>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年度一般公共预算财政拨款支出670.86万元，主要用于以下方面：一般公共服务（类）支出3.30万元，占0.49%；社会保障和就业（类）支出100.10万元，占14.92%；卫生健康（类) 支出25.42万元，占3.79%；城乡社区（类）支出542.04万元，80.80%。</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年度一般公共预算财政拨款支出年初预算为647.07万元，支出决算为670.86万元，完成年初预算的103.68%。其中：</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1．一般公共服务支出（类）群众团体事务（款）工会事务（项）。</w:t>
      </w:r>
      <w:r>
        <w:rPr>
          <w:rFonts w:hint="eastAsia" w:ascii="仿宋_GB2312" w:hAnsi="仿宋_GB2312" w:eastAsia="仿宋_GB2312" w:cs="仿宋_GB2312"/>
          <w:sz w:val="32"/>
          <w:szCs w:val="32"/>
        </w:rPr>
        <w:t>年初预算为3.30万元，支出决算为3.30万元，完成年初预算的100.00%。决算数与年初预算无差异。</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2．社会保障和就业支出（类）行政事业单位养老支出（款）事业单位离退休（项）。</w:t>
      </w:r>
      <w:r>
        <w:rPr>
          <w:rFonts w:hint="eastAsia" w:ascii="仿宋_GB2312" w:hAnsi="仿宋_GB2312" w:eastAsia="仿宋_GB2312" w:cs="仿宋_GB2312"/>
          <w:sz w:val="32"/>
          <w:szCs w:val="32"/>
        </w:rPr>
        <w:t>年初预算为29.59万元，支出决算为33.80万元，完成年初预算的114.23%。决算数与年初预算数存在差异的主要原因是根据单位实际情况，统筹使用上年结转资金。</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3.社会保障和就业支出（类）行政事业单位养老支出（款）机关事业单位基本养老保险缴费支出（项）。</w:t>
      </w:r>
      <w:r>
        <w:rPr>
          <w:rFonts w:hint="eastAsia" w:ascii="仿宋_GB2312" w:hAnsi="仿宋_GB2312" w:eastAsia="仿宋_GB2312" w:cs="仿宋_GB2312"/>
          <w:sz w:val="32"/>
          <w:szCs w:val="32"/>
        </w:rPr>
        <w:t>年初预算为40.25万元，支出决算为60.86万元，完成年初预算的151.20%。决算数与年初预算数存在差异的主要原因是养老基数调整。</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4.社会保障和就业支出（类）抚恤（款）死亡抚恤（项）。</w:t>
      </w:r>
      <w:r>
        <w:rPr>
          <w:rFonts w:hint="eastAsia" w:ascii="仿宋_GB2312" w:hAnsi="仿宋_GB2312" w:eastAsia="仿宋_GB2312" w:cs="仿宋_GB2312"/>
          <w:sz w:val="32"/>
          <w:szCs w:val="32"/>
        </w:rPr>
        <w:t>年初预算为0.00万元，支出决算为5.45万元。决算数与年初预算数存在差异的原因当年退休去世1人，年中追加预算。</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5.卫生健康支出（类）行政事业单位医疗（款）事业单位医疗（项）。</w:t>
      </w:r>
      <w:r>
        <w:rPr>
          <w:rFonts w:hint="eastAsia" w:ascii="仿宋_GB2312" w:hAnsi="仿宋_GB2312" w:eastAsia="仿宋_GB2312" w:cs="仿宋_GB2312"/>
          <w:sz w:val="32"/>
          <w:szCs w:val="32"/>
        </w:rPr>
        <w:t>年初预算为18.93万元，支出决算为25.42万元，完成年初预算的134.28%。决算数与年初预算数存在差异的主要原因是医疗基数调整。</w:t>
      </w:r>
    </w:p>
    <w:p>
      <w:pPr>
        <w:widowControl/>
        <w:spacing w:line="560" w:lineRule="exact"/>
        <w:ind w:firstLine="643" w:firstLineChars="200"/>
        <w:rPr>
          <w:rFonts w:ascii="楷体" w:hAnsi="楷体" w:eastAsia="楷体" w:cs="楷体"/>
          <w:b/>
          <w:bCs/>
          <w:color w:val="FF0000"/>
          <w:sz w:val="32"/>
          <w:szCs w:val="32"/>
        </w:rPr>
      </w:pPr>
      <w:r>
        <w:rPr>
          <w:rFonts w:hint="eastAsia" w:ascii="仿宋_GB2312" w:hAnsi="仿宋_GB2312" w:eastAsia="仿宋_GB2312" w:cs="仿宋_GB2312"/>
          <w:b/>
          <w:bCs/>
          <w:sz w:val="32"/>
          <w:szCs w:val="32"/>
        </w:rPr>
        <w:t>6.城乡社区支出（类）建设市场管理与监督（款）建设市场管理与监督（项）。</w:t>
      </w:r>
      <w:r>
        <w:rPr>
          <w:rFonts w:hint="eastAsia" w:ascii="仿宋_GB2312" w:hAnsi="仿宋_GB2312" w:eastAsia="仿宋_GB2312" w:cs="仿宋_GB2312"/>
          <w:sz w:val="32"/>
          <w:szCs w:val="32"/>
        </w:rPr>
        <w:t>年初预算为555.00万元，支出决算为542.04万元，完成年初预算的97.66%。决算数与年初预算数存在差异的主要原因是在职人员调离1人。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670.86万元。其中：人员经费632.85万元，主要包括：基本工资、津贴补贴、绩效工资、机关事业单位基本养老保险缴费、职业年金缴费、其他社会保障缴费、退休费、抚恤金、生活补助、住房公积金、其他对个人和家庭的补助支出等；公用经费38.01万元，主要包括：办公费、印刷费、咨询费、邮电费、差旅费、维修（护）费、会议费、培训费、劳务费、委托业务费、工会经费、福利费、公务用车运行维护费、其他交通费用、其他商品和服务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6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年度“三公”经费财政拨款支出预算为3.00万元，支出决算为3.00万元，完成预算的100.00%。</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年度“三公”经费支出决算数与预算数不存在差异。</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60" w:lineRule="exact"/>
        <w:ind w:firstLine="640" w:firstLineChars="200"/>
        <w:rPr>
          <w:rFonts w:ascii="仿宋_GB2312" w:hAnsi="仿宋_GB2312" w:eastAsia="仿宋_GB2312" w:cs="仿宋_GB2312"/>
          <w:b/>
          <w:bCs/>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年度“三公”经费财政拨款支出决算中，因公出国（境）费支出决算0.00万元，占0.00%；公务用车购置及运行费支出决算3.00万元，完成预算的100.00%，占100.00%；公务接待费支出决算0.00万元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占0.00%。具体情况如下：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预算为0.00万元，支出决算为0.00万元。决算数与预算数不存在差异。</w:t>
      </w:r>
      <w:r>
        <w:rPr>
          <w:rFonts w:hint="eastAsia" w:ascii="仿宋_GB2312" w:hAnsi="仿宋_GB2312" w:eastAsia="仿宋_GB2312" w:cs="仿宋_GB2312"/>
          <w:sz w:val="32"/>
          <w:szCs w:val="32"/>
          <w:highlight w:val="none"/>
          <w:lang w:eastAsia="zh-CN"/>
        </w:rPr>
        <w:t>全年因公出国（境）团组</w:t>
      </w:r>
      <w:r>
        <w:rPr>
          <w:rFonts w:hint="eastAsia" w:ascii="仿宋_GB2312" w:hAnsi="仿宋_GB2312" w:eastAsia="仿宋_GB2312" w:cs="仿宋_GB2312"/>
          <w:sz w:val="32"/>
          <w:szCs w:val="32"/>
          <w:highlight w:val="none"/>
          <w:lang w:val="en-US" w:eastAsia="zh-CN"/>
        </w:rPr>
        <w:t>0个，累计0人次。</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预算为3.00万元，支出决算为3.00万元，完成预算的100.00%。决算数与预算数不存在差异。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其中：</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为0.00万元，购置车辆0台。</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3.00万元。主要用于车辆运行、维修维护、车辆保险。</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年期末，单位开支财政拨款的公务用车保有量为3辆。</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预算为0.00万元，支出决算为0.00万元。决算数与预算数不存在差异。其中：</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年共接待国内来访团组0个、来宾0人次（不包括陪同人员）。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60" w:lineRule="exact"/>
        <w:ind w:firstLine="640" w:firstLineChars="200"/>
        <w:rPr>
          <w:rFonts w:ascii="黑体" w:hAnsi="黑体" w:eastAsia="黑体" w:cs="仿宋_GB2312"/>
          <w:b/>
          <w:bCs/>
          <w:color w:val="FF0000"/>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年度政府性基金预算财政拨款支出预算为0.00万元，支出决算为0.00万元。</w:t>
      </w:r>
      <w:r>
        <w:rPr>
          <w:rFonts w:hint="eastAsia" w:ascii="仿宋_GB2312" w:hAnsi="仿宋_GB2312" w:eastAsia="仿宋_GB2312" w:cs="仿宋_GB2312"/>
          <w:sz w:val="32"/>
          <w:szCs w:val="32"/>
          <w:lang w:eastAsia="zh-CN"/>
        </w:rPr>
        <w:t>不存在项目年末结转和结余资金数额较大。情况说明：</w:t>
      </w:r>
      <w:r>
        <w:rPr>
          <w:rFonts w:hint="eastAsia" w:ascii="仿宋_GB2312" w:hAnsi="仿宋_GB2312" w:eastAsia="仿宋_GB2312" w:cs="仿宋_GB2312"/>
          <w:sz w:val="32"/>
          <w:szCs w:val="32"/>
        </w:rPr>
        <w:t>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60" w:lineRule="exact"/>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我单位不是行政机关，也不是参照公务员管理事业单位，没有机关运行经费支出</w:t>
      </w:r>
      <w:r>
        <w:rPr>
          <w:rFonts w:hint="eastAsia" w:ascii="仿宋_GB2312" w:hAnsi="仿宋_GB2312" w:eastAsia="仿宋_GB2312" w:cs="仿宋_GB2312"/>
          <w:bCs/>
          <w:sz w:val="32"/>
          <w:szCs w:val="32"/>
          <w:lang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其中：授予小微企业合同金额0.00万元。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bookmarkStart w:id="0" w:name="_GoBack"/>
      <w:bookmarkEnd w:id="0"/>
    </w:p>
    <w:p>
      <w:pPr>
        <w:widowControl/>
        <w:spacing w:line="560" w:lineRule="exact"/>
        <w:ind w:firstLine="640" w:firstLineChars="200"/>
        <w:rPr>
          <w:rFonts w:ascii="楷体_GB2312" w:hAnsi="楷体_GB2312" w:eastAsia="楷体_GB2312" w:cs="楷体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3辆，其中：省级领导干部用车0辆、主要领导干部用车0辆、机要通信用车0辆、应急保障车0辆、执法执勤用车0辆、特种专业技术用车0辆、离退休干部用车0辆、其他用车3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482" w:firstLineChars="15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tabs>
          <w:tab w:val="left" w:pos="640"/>
        </w:tabs>
        <w:spacing w:line="560" w:lineRule="exact"/>
        <w:ind w:firstLine="640" w:firstLineChars="200"/>
        <w:rPr>
          <w:rFonts w:ascii="楷体" w:hAnsi="楷体" w:eastAsia="楷体" w:cs="楷体"/>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2021年度我单位按照财政部门的要求，采取事前申报绩效目标和指标、事中开展绩效日常监督，事后进行绩效评价的方式，建立了贯穿支出全过程绩效监管等管理模式，并将每年绩效结果运用到以后预算编制，使单位所有收支纳入预算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财政资金支出严格履行完整的审批程序和手续，资金使用符合预算批复用途合理合规，严格遵守绩效管理各项制度，圆满完成2021年度预算绩效目标。 </w:t>
      </w:r>
    </w:p>
    <w:p>
      <w:pPr>
        <w:keepNext w:val="0"/>
        <w:keepLines w:val="0"/>
        <w:pageBreakBefore w:val="0"/>
        <w:widowControl/>
        <w:kinsoku/>
        <w:wordWrap/>
        <w:overflowPunct/>
        <w:topLinePunct w:val="0"/>
        <w:autoSpaceDE/>
        <w:autoSpaceDN/>
        <w:bidi w:val="0"/>
        <w:adjustRightInd/>
        <w:snapToGrid/>
        <w:spacing w:line="360" w:lineRule="auto"/>
        <w:ind w:right="0" w:rightChars="0" w:firstLine="482" w:firstLineChars="15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tabs>
          <w:tab w:val="left" w:pos="64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年度市级预算绩效自评工作的通知》（许财效〔202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号）等文件精神，我单位对本单位整体绩效目标和项目支出绩效目标进行了自评。一是单位整体绩效自评情况：我单位将严格履行整体绩效管理工作，以整体绩效为导向做好绩效运行监控，提升绩效整体自评质量，不断提高绩效管理水平，充分发挥财政资金使用效率。二是项目绩效自评情况。我单位共有0个项目批复了绩效目标,项目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rPr>
        <w:t>基于项目预期目标的实现程度，对2021年度项目支出绩效进行自评。其中0个项目评价等级为“优”，0个项目评价等级为“良”,0个项目评价等级“中”，0个项目评价等级为“差”。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321" w:firstLineChars="1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spacing w:line="560" w:lineRule="exact"/>
        <w:ind w:firstLine="640" w:firstLineChars="200"/>
        <w:rPr>
          <w:rFonts w:hint="eastAsia" w:ascii="黑体" w:hAnsi="黑体" w:eastAsia="黑体" w:cs="黑体"/>
          <w:sz w:val="48"/>
          <w:szCs w:val="48"/>
          <w:highlight w:val="none"/>
        </w:rPr>
      </w:pPr>
      <w:r>
        <w:rPr>
          <w:rFonts w:hint="eastAsia" w:ascii="仿宋_GB2312" w:hAnsi="仿宋_GB2312" w:eastAsia="仿宋_GB2312" w:cs="仿宋_GB2312"/>
          <w:sz w:val="32"/>
          <w:szCs w:val="32"/>
        </w:rPr>
        <w:t>2021年度我单位没有开展重点绩效评价的项目。</w:t>
      </w: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b w:val="0"/>
          <w:bCs w:val="0"/>
          <w:kern w:val="2"/>
          <w:sz w:val="32"/>
          <w:szCs w:val="32"/>
          <w:lang w:val="en-US" w:eastAsia="zh-CN" w:bidi="ar"/>
        </w:rPr>
        <w:t>一、财政拨款收入：</w:t>
      </w:r>
      <w:r>
        <w:rPr>
          <w:rFonts w:hint="default" w:ascii="仿宋_GB2312" w:hAnsi="Times New Roman" w:eastAsia="仿宋_GB2312" w:cs="仿宋_GB2312"/>
          <w:kern w:val="2"/>
          <w:sz w:val="32"/>
          <w:szCs w:val="32"/>
          <w:lang w:val="en-US" w:eastAsia="zh-CN" w:bidi="ar"/>
        </w:rPr>
        <w:t>单位从同级政府财政部门取得的财政预算资金。</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二、事业收入：事业单位开展专业业务活动及其辅助活动取得的收入。</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三、上级补助收入：事业单位从主管部门和上级单位取得的非财政补助收入。</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四、附属单位上缴收入：事业单位取得附属独立核算单位根据有关规定上缴的收入。</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五、经营收入：事业单位在专业业务活动及其辅助活动之外开展非独立核算经营活动取得的收入。</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六、其他收入：单位取得的除“财政拨款收入”、“事业收入”、“上级补助收入”、“附属单位上缴收入”、“经营收入”以外的各项收入。</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八、基本支出：为保障机构正常运转、完成日常工作任务而发生的人员支出和公用支出。</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九、项目支出：基本支出之外为完成特定行政任务和事业发展目标所发生的支出。</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十二、工资福利支出：单位支付给在职职工和编制外长期聘用人员的各类劳动报酬，以及为上述人员缴纳的各项社会保险费等。</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十三、商品和服务支出：单位购买商品和服务的支出。</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十四、对个人和家庭的补助支出：单位用于对个人和家庭的补助支出。</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十五、年末结转：本年度或以前年度预算安排，已执行但尚未完成或因客观条件发生变化无法按原计划实施，需延迟到以后年度按有关规定继续使用的资金。</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十六、年末结余：本年度或以前年度预算安排，已执行完毕或因客观条件发生变化无法按原预算安排实施，不需要再使用或无法按原预算安排继续使用的资金</w:t>
      </w:r>
      <w:r>
        <w:rPr>
          <w:rFonts w:hint="default" w:ascii="仿宋_GB2312" w:eastAsia="仿宋_GB2312" w:cs="仿宋_GB2312"/>
          <w:kern w:val="2"/>
          <w:sz w:val="32"/>
          <w:szCs w:val="32"/>
          <w:lang w:eastAsia="zh-CN" w:bidi="ar"/>
        </w:rPr>
        <w:t>。</w:t>
      </w:r>
    </w:p>
    <w:p>
      <w:pPr>
        <w:widowControl/>
        <w:spacing w:line="590" w:lineRule="exact"/>
        <w:ind w:firstLine="640" w:firstLineChars="200"/>
        <w:jc w:val="left"/>
        <w:rPr>
          <w:rFonts w:hint="eastAsia" w:ascii="仿宋_GB2312" w:hAnsi="仿宋_GB2312" w:eastAsia="仿宋_GB2312" w:cs="仿宋_GB2312"/>
          <w:sz w:val="32"/>
          <w:szCs w:val="32"/>
          <w:highlight w:val="none"/>
        </w:rPr>
      </w:pPr>
    </w:p>
    <w:sectPr>
      <w:pgSz w:w="11906" w:h="16838"/>
      <w:pgMar w:top="1417" w:right="1474" w:bottom="1701" w:left="158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4ZTIzYjkxODllZDYwN2I0ZTE2OGU4NmFhNjhkODcifQ=="/>
    <w:docVar w:name="KSO_WPS_MARK_KEY" w:val="26e0e977-772f-4d37-b520-b2aa4861edb2"/>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2641"/>
    <w:rsid w:val="00A02FF4"/>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1E7525B"/>
    <w:rsid w:val="028C3F41"/>
    <w:rsid w:val="02A3489A"/>
    <w:rsid w:val="02CA138D"/>
    <w:rsid w:val="033646FC"/>
    <w:rsid w:val="03C75F80"/>
    <w:rsid w:val="0478364D"/>
    <w:rsid w:val="05301B71"/>
    <w:rsid w:val="053D4C0D"/>
    <w:rsid w:val="0557532E"/>
    <w:rsid w:val="0799329C"/>
    <w:rsid w:val="08397436"/>
    <w:rsid w:val="086F16A7"/>
    <w:rsid w:val="0A0F7225"/>
    <w:rsid w:val="0A2B7D82"/>
    <w:rsid w:val="0ADC40E9"/>
    <w:rsid w:val="0AE607F4"/>
    <w:rsid w:val="0B386127"/>
    <w:rsid w:val="0B451598"/>
    <w:rsid w:val="0BEC73F4"/>
    <w:rsid w:val="0C0A5C1C"/>
    <w:rsid w:val="0C392698"/>
    <w:rsid w:val="0C7E3FEC"/>
    <w:rsid w:val="0E545297"/>
    <w:rsid w:val="1075283F"/>
    <w:rsid w:val="10BD36F6"/>
    <w:rsid w:val="11BF0649"/>
    <w:rsid w:val="123E3E08"/>
    <w:rsid w:val="133212F4"/>
    <w:rsid w:val="13D22E22"/>
    <w:rsid w:val="161C2DFF"/>
    <w:rsid w:val="16373578"/>
    <w:rsid w:val="16D3336B"/>
    <w:rsid w:val="17200028"/>
    <w:rsid w:val="17441DA1"/>
    <w:rsid w:val="17806C36"/>
    <w:rsid w:val="17A74F62"/>
    <w:rsid w:val="18A47774"/>
    <w:rsid w:val="19724628"/>
    <w:rsid w:val="1A8D28EB"/>
    <w:rsid w:val="1A9F2D78"/>
    <w:rsid w:val="1B2E6FD8"/>
    <w:rsid w:val="1B877D21"/>
    <w:rsid w:val="1BD91083"/>
    <w:rsid w:val="1C4319A9"/>
    <w:rsid w:val="1DFB9730"/>
    <w:rsid w:val="1E443B4B"/>
    <w:rsid w:val="1E8C45D9"/>
    <w:rsid w:val="1E994F4A"/>
    <w:rsid w:val="1EAF0224"/>
    <w:rsid w:val="1F2230A4"/>
    <w:rsid w:val="1FAF7185"/>
    <w:rsid w:val="20210932"/>
    <w:rsid w:val="202448E0"/>
    <w:rsid w:val="205C2F72"/>
    <w:rsid w:val="20D24C44"/>
    <w:rsid w:val="20F614FE"/>
    <w:rsid w:val="21302EEA"/>
    <w:rsid w:val="22376FB5"/>
    <w:rsid w:val="23E152D7"/>
    <w:rsid w:val="23EE2489"/>
    <w:rsid w:val="24C17CF1"/>
    <w:rsid w:val="255D43C8"/>
    <w:rsid w:val="25DD7EED"/>
    <w:rsid w:val="26714EF8"/>
    <w:rsid w:val="26876BDD"/>
    <w:rsid w:val="26D424B5"/>
    <w:rsid w:val="2714632A"/>
    <w:rsid w:val="27541E73"/>
    <w:rsid w:val="27B0539E"/>
    <w:rsid w:val="27FE8A3B"/>
    <w:rsid w:val="29365CF8"/>
    <w:rsid w:val="299469B3"/>
    <w:rsid w:val="2A805789"/>
    <w:rsid w:val="2ADC0D75"/>
    <w:rsid w:val="2B4A0E52"/>
    <w:rsid w:val="2C975890"/>
    <w:rsid w:val="2CA827A7"/>
    <w:rsid w:val="2DEF21BB"/>
    <w:rsid w:val="2E4A2F05"/>
    <w:rsid w:val="2EB79A32"/>
    <w:rsid w:val="2ECC1061"/>
    <w:rsid w:val="2F4B3782"/>
    <w:rsid w:val="2FA476AD"/>
    <w:rsid w:val="2FCE4E84"/>
    <w:rsid w:val="2FDFA4ED"/>
    <w:rsid w:val="2FED4302"/>
    <w:rsid w:val="2FEF3AFB"/>
    <w:rsid w:val="2FFF4BB4"/>
    <w:rsid w:val="303F7540"/>
    <w:rsid w:val="31AFCDBE"/>
    <w:rsid w:val="31DD00BF"/>
    <w:rsid w:val="3293174C"/>
    <w:rsid w:val="32BB38D4"/>
    <w:rsid w:val="32C9376D"/>
    <w:rsid w:val="33780472"/>
    <w:rsid w:val="33A37A3D"/>
    <w:rsid w:val="33AF0905"/>
    <w:rsid w:val="349E5F29"/>
    <w:rsid w:val="355932F4"/>
    <w:rsid w:val="35611882"/>
    <w:rsid w:val="36746FC3"/>
    <w:rsid w:val="368763AE"/>
    <w:rsid w:val="36AC716F"/>
    <w:rsid w:val="395D59E7"/>
    <w:rsid w:val="39A93932"/>
    <w:rsid w:val="3A915562"/>
    <w:rsid w:val="3ABD1AB8"/>
    <w:rsid w:val="3B8D4765"/>
    <w:rsid w:val="3BE66B02"/>
    <w:rsid w:val="3C000DBA"/>
    <w:rsid w:val="3C70279B"/>
    <w:rsid w:val="3D2F79C5"/>
    <w:rsid w:val="3DC045D3"/>
    <w:rsid w:val="3DCE6BEA"/>
    <w:rsid w:val="3DCF3811"/>
    <w:rsid w:val="3DF34622"/>
    <w:rsid w:val="3E504FFB"/>
    <w:rsid w:val="3E615CD0"/>
    <w:rsid w:val="3E7F9D79"/>
    <w:rsid w:val="3E9C47F6"/>
    <w:rsid w:val="3F8B0112"/>
    <w:rsid w:val="3FAB3095"/>
    <w:rsid w:val="3FB7DE1A"/>
    <w:rsid w:val="3FCFA17A"/>
    <w:rsid w:val="3FE45947"/>
    <w:rsid w:val="3FFDC7CE"/>
    <w:rsid w:val="40E2473B"/>
    <w:rsid w:val="41242965"/>
    <w:rsid w:val="435671EA"/>
    <w:rsid w:val="43802790"/>
    <w:rsid w:val="440809E9"/>
    <w:rsid w:val="442407A6"/>
    <w:rsid w:val="44805EA1"/>
    <w:rsid w:val="453F23D2"/>
    <w:rsid w:val="45710696"/>
    <w:rsid w:val="45CC5DB5"/>
    <w:rsid w:val="46142B1B"/>
    <w:rsid w:val="477D32CE"/>
    <w:rsid w:val="47D04EB0"/>
    <w:rsid w:val="47E60DD0"/>
    <w:rsid w:val="48735039"/>
    <w:rsid w:val="492C684B"/>
    <w:rsid w:val="49500594"/>
    <w:rsid w:val="499254E1"/>
    <w:rsid w:val="49E7604E"/>
    <w:rsid w:val="4BF67CDD"/>
    <w:rsid w:val="4D173441"/>
    <w:rsid w:val="4D603DD6"/>
    <w:rsid w:val="4EBF010F"/>
    <w:rsid w:val="4F405286"/>
    <w:rsid w:val="4F471EB0"/>
    <w:rsid w:val="4FAD4DDE"/>
    <w:rsid w:val="51331326"/>
    <w:rsid w:val="51740A7F"/>
    <w:rsid w:val="51A5541E"/>
    <w:rsid w:val="51C96242"/>
    <w:rsid w:val="53906AE1"/>
    <w:rsid w:val="54F46F60"/>
    <w:rsid w:val="55A37BEA"/>
    <w:rsid w:val="56362CD2"/>
    <w:rsid w:val="5784687B"/>
    <w:rsid w:val="57846959"/>
    <w:rsid w:val="578E6A87"/>
    <w:rsid w:val="57EBE076"/>
    <w:rsid w:val="57EFC92B"/>
    <w:rsid w:val="57FD24A5"/>
    <w:rsid w:val="595B6346"/>
    <w:rsid w:val="5AC2203A"/>
    <w:rsid w:val="5B3C46B5"/>
    <w:rsid w:val="5CBB3334"/>
    <w:rsid w:val="5CFEBC20"/>
    <w:rsid w:val="5D115FAF"/>
    <w:rsid w:val="5D8F29DD"/>
    <w:rsid w:val="5DDB1383"/>
    <w:rsid w:val="5E582BF7"/>
    <w:rsid w:val="5F9DAAF2"/>
    <w:rsid w:val="606C7CAC"/>
    <w:rsid w:val="617D1895"/>
    <w:rsid w:val="62811722"/>
    <w:rsid w:val="62E75A72"/>
    <w:rsid w:val="637B1B4E"/>
    <w:rsid w:val="63AC1EBC"/>
    <w:rsid w:val="64571880"/>
    <w:rsid w:val="649125B6"/>
    <w:rsid w:val="652F4C1A"/>
    <w:rsid w:val="666D37F1"/>
    <w:rsid w:val="66B466D5"/>
    <w:rsid w:val="67087D8F"/>
    <w:rsid w:val="671F687E"/>
    <w:rsid w:val="67627252"/>
    <w:rsid w:val="67636F01"/>
    <w:rsid w:val="67B92401"/>
    <w:rsid w:val="67F415F8"/>
    <w:rsid w:val="682640D1"/>
    <w:rsid w:val="68454795"/>
    <w:rsid w:val="684B73E5"/>
    <w:rsid w:val="696C43B8"/>
    <w:rsid w:val="6A047A2A"/>
    <w:rsid w:val="6B6A39BF"/>
    <w:rsid w:val="6BF7B838"/>
    <w:rsid w:val="6D9263B7"/>
    <w:rsid w:val="6E7598D7"/>
    <w:rsid w:val="6E843F52"/>
    <w:rsid w:val="6EF64759"/>
    <w:rsid w:val="6EF8C86E"/>
    <w:rsid w:val="6EFB7548"/>
    <w:rsid w:val="6F297E15"/>
    <w:rsid w:val="6F3831C3"/>
    <w:rsid w:val="6F8B71C1"/>
    <w:rsid w:val="6FD17D5F"/>
    <w:rsid w:val="70753482"/>
    <w:rsid w:val="707B522A"/>
    <w:rsid w:val="71233648"/>
    <w:rsid w:val="728C2ABF"/>
    <w:rsid w:val="73194D05"/>
    <w:rsid w:val="739B7059"/>
    <w:rsid w:val="73A83B0E"/>
    <w:rsid w:val="73B37A8C"/>
    <w:rsid w:val="73ED2CEF"/>
    <w:rsid w:val="744D3EF9"/>
    <w:rsid w:val="74794411"/>
    <w:rsid w:val="747F005B"/>
    <w:rsid w:val="75456D46"/>
    <w:rsid w:val="757EC0C3"/>
    <w:rsid w:val="75867C40"/>
    <w:rsid w:val="759F2F40"/>
    <w:rsid w:val="75B10B26"/>
    <w:rsid w:val="75FB9984"/>
    <w:rsid w:val="76432199"/>
    <w:rsid w:val="76F44829"/>
    <w:rsid w:val="76FF71F9"/>
    <w:rsid w:val="777CF3B3"/>
    <w:rsid w:val="77A267C0"/>
    <w:rsid w:val="77F70C64"/>
    <w:rsid w:val="77FF259B"/>
    <w:rsid w:val="78882278"/>
    <w:rsid w:val="78B118A6"/>
    <w:rsid w:val="79135044"/>
    <w:rsid w:val="79C9A361"/>
    <w:rsid w:val="7A4D1ACD"/>
    <w:rsid w:val="7A4E3577"/>
    <w:rsid w:val="7A7D0F99"/>
    <w:rsid w:val="7AF36F1D"/>
    <w:rsid w:val="7B7AFBCD"/>
    <w:rsid w:val="7B7FB42B"/>
    <w:rsid w:val="7BB7C234"/>
    <w:rsid w:val="7C3C4042"/>
    <w:rsid w:val="7CF60652"/>
    <w:rsid w:val="7CFEB192"/>
    <w:rsid w:val="7D415AB3"/>
    <w:rsid w:val="7E4A0E7C"/>
    <w:rsid w:val="7E5E42FF"/>
    <w:rsid w:val="7EFD449D"/>
    <w:rsid w:val="7EFEB3A2"/>
    <w:rsid w:val="7F414ADB"/>
    <w:rsid w:val="7F5B67C7"/>
    <w:rsid w:val="7F7A068B"/>
    <w:rsid w:val="7FBE1C22"/>
    <w:rsid w:val="7FDF8FD5"/>
    <w:rsid w:val="7FDFC35E"/>
    <w:rsid w:val="7FED6341"/>
    <w:rsid w:val="7FF43533"/>
    <w:rsid w:val="7FFE28AD"/>
    <w:rsid w:val="7FFFD3C2"/>
    <w:rsid w:val="8F3F15A1"/>
    <w:rsid w:val="9EFF236E"/>
    <w:rsid w:val="9F8F04CA"/>
    <w:rsid w:val="A2DFB16A"/>
    <w:rsid w:val="BAFDC526"/>
    <w:rsid w:val="BCF70F83"/>
    <w:rsid w:val="BDF79782"/>
    <w:rsid w:val="BF676CD3"/>
    <w:rsid w:val="BFF7F1C1"/>
    <w:rsid w:val="BFFB2DA4"/>
    <w:rsid w:val="C58F2C4B"/>
    <w:rsid w:val="C9FFA330"/>
    <w:rsid w:val="CDF525DD"/>
    <w:rsid w:val="CFBFB55A"/>
    <w:rsid w:val="D06FBF62"/>
    <w:rsid w:val="D2BFD829"/>
    <w:rsid w:val="D4EF4B62"/>
    <w:rsid w:val="DAB52574"/>
    <w:rsid w:val="DC261D4E"/>
    <w:rsid w:val="DDBA07B0"/>
    <w:rsid w:val="DEEC9F2D"/>
    <w:rsid w:val="DFBFB166"/>
    <w:rsid w:val="DFF6F169"/>
    <w:rsid w:val="E6EF105C"/>
    <w:rsid w:val="E7C81B72"/>
    <w:rsid w:val="EF7F5805"/>
    <w:rsid w:val="EFAFB1E7"/>
    <w:rsid w:val="EFBF7CE3"/>
    <w:rsid w:val="F0DC754A"/>
    <w:rsid w:val="F3FD861B"/>
    <w:rsid w:val="F45FA1AF"/>
    <w:rsid w:val="F4BD2B4D"/>
    <w:rsid w:val="F5BFDE9A"/>
    <w:rsid w:val="F6ED7AEC"/>
    <w:rsid w:val="F73F94A6"/>
    <w:rsid w:val="F9CDBA01"/>
    <w:rsid w:val="FB263718"/>
    <w:rsid w:val="FB3F56F6"/>
    <w:rsid w:val="FBCF6B92"/>
    <w:rsid w:val="FBD64DCB"/>
    <w:rsid w:val="FBDF2C6E"/>
    <w:rsid w:val="FBEB07E6"/>
    <w:rsid w:val="FD231279"/>
    <w:rsid w:val="FDFF2FD7"/>
    <w:rsid w:val="FEFD86AA"/>
    <w:rsid w:val="FEFE4086"/>
    <w:rsid w:val="FF3F02F2"/>
    <w:rsid w:val="FF6EA0FB"/>
    <w:rsid w:val="FF769FA7"/>
    <w:rsid w:val="FFAF3AD6"/>
    <w:rsid w:val="FFD74DE6"/>
    <w:rsid w:val="FFFB1C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7944</Words>
  <Characters>9698</Characters>
  <Lines>60</Lines>
  <Paragraphs>16</Paragraphs>
  <TotalTime>2</TotalTime>
  <ScaleCrop>false</ScaleCrop>
  <LinksUpToDate>false</LinksUpToDate>
  <CharactersWithSpaces>10339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2007-12-01T03:41:00Z</dcterms:created>
  <dc:creator>管理者</dc:creator>
  <cp:lastModifiedBy>ahui</cp:lastModifiedBy>
  <cp:lastPrinted>2018-07-26T10:50:00Z</cp:lastPrinted>
  <dcterms:modified xsi:type="dcterms:W3CDTF">2023-09-12T09:40:28Z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83C0DA4B424E4954981067616D9E9314_13</vt:lpwstr>
  </property>
</Properties>
</file>