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许昌市建设工程招标投标服务中心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许昌市建设工程招标投标服务中心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许昌市建设工程招标投标</w:t>
      </w: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eastAsia="zh-CN"/>
        </w:rPr>
        <w:t>服务中心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贯彻落实国家、省、市有关建设工程招标投标法律法规及方针政策；协助市住建局做好依法监督建设工程招标投标活动；协助查处招标投标活动中的违法违规行为；为建设工程招投标各方交易主体提供指导服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许昌市建设工程招标投标服务中心</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eastAsia="zh-CN"/>
        </w:rPr>
        <w:t>办公室</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从决算单位构成看，许昌市建设工程招标投标服务中心</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决算包括：本</w:t>
      </w:r>
      <w:r>
        <w:rPr>
          <w:rFonts w:hint="eastAsia" w:ascii="仿宋_GB2312" w:hAnsi="仿宋_GB2312" w:eastAsia="仿宋_GB2312" w:cs="仿宋_GB2312"/>
          <w:color w:val="auto"/>
          <w:kern w:val="0"/>
          <w:sz w:val="32"/>
          <w:szCs w:val="32"/>
          <w:lang w:val="en-US" w:eastAsia="zh-CN"/>
        </w:rPr>
        <w:t>级</w:t>
      </w:r>
      <w:r>
        <w:rPr>
          <w:rFonts w:hint="eastAsia" w:ascii="仿宋_GB2312" w:hAnsi="仿宋_GB2312" w:eastAsia="仿宋_GB2312" w:cs="仿宋_GB2312"/>
          <w:color w:val="auto"/>
          <w:kern w:val="0"/>
          <w:sz w:val="32"/>
          <w:szCs w:val="32"/>
        </w:rPr>
        <w:t>决算</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1个</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纳入本</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决算编制范围的单位共1个，具体是：</w:t>
      </w:r>
    </w:p>
    <w:p>
      <w:pPr>
        <w:widowControl/>
        <w:ind w:firstLine="640" w:firstLineChars="200"/>
        <w:jc w:val="left"/>
        <w:rPr>
          <w:rFonts w:hint="eastAsia"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r>
        <w:rPr>
          <w:rFonts w:hint="default" w:ascii="仿宋_GB2312" w:hAnsi="仿宋_GB2312" w:eastAsia="仿宋_GB2312" w:cs="仿宋_GB2312"/>
          <w:color w:val="auto"/>
          <w:kern w:val="0"/>
          <w:sz w:val="32"/>
          <w:szCs w:val="32"/>
          <w:lang w:val="en-US"/>
        </w:rPr>
        <w:t>1.</w:t>
      </w:r>
      <w:r>
        <w:rPr>
          <w:rFonts w:hint="eastAsia" w:ascii="仿宋_GB2312" w:hAnsi="仿宋_GB2312" w:eastAsia="仿宋_GB2312" w:cs="仿宋_GB2312"/>
          <w:color w:val="auto"/>
          <w:kern w:val="0"/>
          <w:sz w:val="32"/>
          <w:szCs w:val="32"/>
        </w:rPr>
        <w:t>许昌市建设工程招标投标服务中心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default"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3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6"/>
        <w:gridCol w:w="793"/>
        <w:gridCol w:w="859"/>
        <w:gridCol w:w="4222"/>
        <w:gridCol w:w="1099"/>
        <w:gridCol w:w="2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9"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59" w:type="dxa"/>
            <w:gridSpan w:val="5"/>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54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59" w:type="dxa"/>
            <w:gridSpan w:val="5"/>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：许昌市建设工程招标投标服务中心</w:t>
            </w:r>
          </w:p>
        </w:tc>
        <w:tc>
          <w:tcPr>
            <w:tcW w:w="254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13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693" w:type="dxa"/>
            <w:gridSpan w:val="3"/>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46.61</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20"/>
                <w:szCs w:val="20"/>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0"/>
                <w:szCs w:val="20"/>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0"/>
                <w:szCs w:val="20"/>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0"/>
                <w:szCs w:val="20"/>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0"/>
                <w:szCs w:val="20"/>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0"/>
                <w:szCs w:val="20"/>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46.61</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86"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3" w:type="dxa"/>
            <w:tcBorders>
              <w:top w:val="nil"/>
              <w:left w:val="nil"/>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55.15</w:t>
            </w:r>
          </w:p>
        </w:tc>
        <w:tc>
          <w:tcPr>
            <w:tcW w:w="422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3"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54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99" w:type="dxa"/>
            <w:gridSpan w:val="6"/>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4"/>
        <w:gridCol w:w="4005"/>
        <w:gridCol w:w="1605"/>
        <w:gridCol w:w="1560"/>
        <w:gridCol w:w="1260"/>
        <w:gridCol w:w="1200"/>
        <w:gridCol w:w="1140"/>
        <w:gridCol w:w="1028"/>
        <w:gridCol w:w="1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5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84" w:type="dxa"/>
            <w:gridSpan w:val="6"/>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7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84" w:type="dxa"/>
            <w:gridSpan w:val="6"/>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：许昌市建设工程招标投标服务中心</w:t>
            </w:r>
          </w:p>
        </w:tc>
        <w:tc>
          <w:tcPr>
            <w:tcW w:w="327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28"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05" w:type="dxa"/>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2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0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4005"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2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0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4005"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2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0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59"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2"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59"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46.61</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46.61</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0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60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w:t>
            </w: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054" w:type="dxa"/>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02"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4" w:type="dxa"/>
            <w:gridSpan w:val="9"/>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4" w:type="dxa"/>
            <w:gridSpan w:val="9"/>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sectPr>
          <w:pgSz w:w="16838" w:h="11906" w:orient="landscape"/>
          <w:pgMar w:top="1701" w:right="1440" w:bottom="1701" w:left="1440" w:header="720" w:footer="720" w:gutter="0"/>
          <w:pgNumType w:fmt="numberInDash"/>
          <w:cols w:space="720" w:num="1"/>
          <w:docGrid w:type="lines" w:linePitch="312" w:charSpace="0"/>
        </w:sectPr>
      </w:pPr>
    </w:p>
    <w:tbl>
      <w:tblPr>
        <w:tblStyle w:val="5"/>
        <w:tblpPr w:leftFromText="180" w:rightFromText="180" w:vertAnchor="text" w:horzAnchor="page" w:tblpX="1621" w:tblpY="488"/>
        <w:tblOverlap w:val="never"/>
        <w:tblW w:w="13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7"/>
        <w:gridCol w:w="3990"/>
        <w:gridCol w:w="1560"/>
        <w:gridCol w:w="1545"/>
        <w:gridCol w:w="1230"/>
        <w:gridCol w:w="1305"/>
        <w:gridCol w:w="132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3912"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11227" w:type="dxa"/>
            <w:gridSpan w:val="6"/>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68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27" w:type="dxa"/>
            <w:gridSpan w:val="6"/>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：许昌市建设工程招标投标服务中心</w:t>
            </w:r>
          </w:p>
        </w:tc>
        <w:tc>
          <w:tcPr>
            <w:tcW w:w="268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8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90" w:type="dxa"/>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3990"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9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3990"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5587"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87"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55.15</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55.15</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9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9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5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1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12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12" w:type="dxa"/>
            <w:gridSpan w:val="8"/>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701" w:right="1440" w:bottom="1701" w:left="1440" w:header="720" w:footer="720" w:gutter="0"/>
          <w:pgNumType w:fmt="numberInDash"/>
          <w:cols w:space="720" w:num="1"/>
          <w:docGrid w:type="lines" w:linePitch="312" w:charSpace="0"/>
        </w:sectPr>
      </w:pPr>
    </w:p>
    <w:tbl>
      <w:tblPr>
        <w:tblStyle w:val="5"/>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6"/>
        <w:gridCol w:w="443"/>
        <w:gridCol w:w="1035"/>
        <w:gridCol w:w="3690"/>
        <w:gridCol w:w="630"/>
        <w:gridCol w:w="766"/>
        <w:gridCol w:w="1306"/>
        <w:gridCol w:w="1164"/>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5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31"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31"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：许昌市建设工程招标投标服务中心</w:t>
            </w:r>
          </w:p>
        </w:tc>
        <w:tc>
          <w:tcPr>
            <w:tcW w:w="23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660" w:type="dxa"/>
            <w:gridSpan w:val="6"/>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8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3"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9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59"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81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443"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35"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369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63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59"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55.15</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954" w:type="dxa"/>
            <w:gridSpan w:val="9"/>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9"/>
        <w:gridCol w:w="4050"/>
        <w:gridCol w:w="2490"/>
        <w:gridCol w:w="2625"/>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24"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6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24"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：许昌市建设工程招标投标服务中心</w:t>
            </w:r>
          </w:p>
        </w:tc>
        <w:tc>
          <w:tcPr>
            <w:tcW w:w="276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10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75"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50" w:type="dxa"/>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9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2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6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05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4050"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49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625"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76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4050" w:type="dxa"/>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49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625"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76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109"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109"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55.15</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55.15</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05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0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249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26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43.36</w:t>
            </w:r>
          </w:p>
        </w:tc>
        <w:tc>
          <w:tcPr>
            <w:tcW w:w="276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keepNext w:val="0"/>
        <w:keepLines w:val="0"/>
        <w:pageBreakBefore w:val="0"/>
        <w:kinsoku/>
        <w:wordWrap/>
        <w:overflowPunct/>
        <w:topLinePunct w:val="0"/>
        <w:autoSpaceDE/>
        <w:autoSpaceDN/>
        <w:bidi w:val="0"/>
        <w:adjustRightInd/>
        <w:snapToGrid w:val="0"/>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4"/>
        <w:gridCol w:w="3150"/>
        <w:gridCol w:w="878"/>
        <w:gridCol w:w="832"/>
        <w:gridCol w:w="2685"/>
        <w:gridCol w:w="930"/>
        <w:gridCol w:w="825"/>
        <w:gridCol w:w="3000"/>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default" w:ascii="宋体" w:hAnsi="宋体" w:cs="宋体"/>
                <w:i w:val="0"/>
                <w:iCs w:val="0"/>
                <w:color w:val="000000"/>
                <w:kern w:val="0"/>
                <w:sz w:val="30"/>
                <w:szCs w:val="30"/>
                <w:u w:val="none"/>
                <w:lang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144"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3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44"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：许昌市建设工程招标投标服务中心</w:t>
            </w:r>
          </w:p>
        </w:tc>
        <w:tc>
          <w:tcPr>
            <w:tcW w:w="393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09" w:type="dxa"/>
            <w:gridSpan w:val="6"/>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5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8"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32"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8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00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7"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315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878"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832"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2685"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3000"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7"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公务用车运行维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护费</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00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30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15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3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30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4" w:type="dxa"/>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315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878"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83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68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其他商品和服务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c>
          <w:tcPr>
            <w:tcW w:w="930"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825"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3000"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37"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94"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7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42.23</w:t>
            </w:r>
          </w:p>
        </w:tc>
        <w:tc>
          <w:tcPr>
            <w:tcW w:w="8272" w:type="dxa"/>
            <w:gridSpan w:val="5"/>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3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9"/>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7"/>
        <w:gridCol w:w="1320"/>
        <w:gridCol w:w="930"/>
        <w:gridCol w:w="1290"/>
        <w:gridCol w:w="1245"/>
        <w:gridCol w:w="975"/>
        <w:gridCol w:w="1020"/>
        <w:gridCol w:w="1185"/>
        <w:gridCol w:w="1065"/>
        <w:gridCol w:w="1125"/>
        <w:gridCol w:w="111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77"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02" w:type="dxa"/>
            <w:gridSpan w:val="11"/>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02" w:type="dxa"/>
            <w:gridSpan w:val="11"/>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：许昌市建设工程招标投标服务中心</w:t>
            </w:r>
          </w:p>
        </w:tc>
        <w:tc>
          <w:tcPr>
            <w:tcW w:w="15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80"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3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2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7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00"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5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9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4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75"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5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3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37" w:type="dxa"/>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777"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default"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default" w:ascii="仿宋_GB2312" w:hAnsi="仿宋_GB2312" w:eastAsia="仿宋_GB2312" w:cs="仿宋_GB2312"/>
          <w:sz w:val="32"/>
          <w:szCs w:val="32"/>
          <w:highlight w:val="none"/>
        </w:rPr>
        <w:t>说明：我单位没有预算安排的三公经费，也没有预算安排的三公支出，故本表无数据。</w:t>
      </w:r>
    </w:p>
    <w:tbl>
      <w:tblPr>
        <w:tblStyle w:val="5"/>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1096"/>
        <w:gridCol w:w="1530"/>
        <w:gridCol w:w="1306"/>
        <w:gridCol w:w="1306"/>
        <w:gridCol w:w="1306"/>
        <w:gridCol w:w="1306"/>
        <w:gridCol w:w="1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10"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7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10" w:type="dxa"/>
            <w:gridSpan w:val="7"/>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：许昌市建设工程招标投标服务中心</w:t>
            </w:r>
          </w:p>
        </w:tc>
        <w:tc>
          <w:tcPr>
            <w:tcW w:w="187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918"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74"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0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0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7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87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6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306" w:type="dxa"/>
            <w:vMerge w:val="continue"/>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87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c>
          <w:tcPr>
            <w:tcW w:w="1874" w:type="dxa"/>
            <w:tcBorders>
              <w:top w:val="nil"/>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default"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default" w:ascii="仿宋_GB2312" w:hAnsi="仿宋_GB2312" w:eastAsia="仿宋_GB2312" w:cs="仿宋_GB2312"/>
          <w:sz w:val="32"/>
          <w:szCs w:val="32"/>
          <w:highlight w:val="none"/>
        </w:rPr>
        <w:t>说明：我单位没有政府性基金收入，也没有使用政府性基金安排的支出，故本表无数据。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default"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55.15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22.89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29.33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在职人员减少</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46.61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46.61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55.15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55.15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55.15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22.89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29.33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在职人员减少</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default" w:ascii="仿宋_GB2312" w:hAnsi="仿宋_GB2312" w:eastAsia="仿宋_GB2312" w:cs="仿宋_GB2312"/>
          <w:sz w:val="32"/>
          <w:szCs w:val="32"/>
          <w:highlight w:val="none"/>
          <w:lang w:val="en" w:eastAsia="zh-CN"/>
        </w:rPr>
        <w:t>55.15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%。与上年度相比，一般公共预算财政拨款支出减少</w:t>
      </w:r>
      <w:r>
        <w:rPr>
          <w:rFonts w:hint="default" w:ascii="仿宋_GB2312" w:hAnsi="仿宋_GB2312" w:eastAsia="仿宋_GB2312" w:cs="仿宋_GB2312"/>
          <w:sz w:val="32"/>
          <w:szCs w:val="32"/>
          <w:highlight w:val="none"/>
          <w:lang w:val="en" w:eastAsia="zh-CN"/>
        </w:rPr>
        <w:t>13.70</w:t>
      </w:r>
      <w:r>
        <w:rPr>
          <w:rFonts w:hint="eastAsia" w:ascii="仿宋_GB2312" w:hAnsi="仿宋_GB2312" w:eastAsia="仿宋_GB2312" w:cs="仿宋_GB2312"/>
          <w:sz w:val="32"/>
          <w:szCs w:val="32"/>
          <w:highlight w:val="none"/>
        </w:rPr>
        <w:t>万元，下降</w:t>
      </w:r>
      <w:r>
        <w:rPr>
          <w:rFonts w:hint="default" w:ascii="仿宋_GB2312" w:hAnsi="仿宋_GB2312" w:eastAsia="仿宋_GB2312" w:cs="仿宋_GB2312"/>
          <w:sz w:val="32"/>
          <w:szCs w:val="32"/>
          <w:highlight w:val="none"/>
          <w:lang w:val="en" w:eastAsia="zh-CN"/>
        </w:rPr>
        <w:t>19.90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在职人员减少</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default" w:ascii="仿宋_GB2312" w:hAnsi="仿宋_GB2312" w:eastAsia="仿宋_GB2312" w:cs="仿宋_GB2312"/>
          <w:sz w:val="32"/>
          <w:szCs w:val="32"/>
          <w:highlight w:val="none"/>
          <w:lang w:val="en" w:eastAsia="zh-CN"/>
        </w:rPr>
        <w:t>55.15</w:t>
      </w:r>
      <w:r>
        <w:rPr>
          <w:rFonts w:hint="eastAsia" w:ascii="仿宋_GB2312" w:hAnsi="仿宋_GB2312" w:eastAsia="仿宋_GB2312" w:cs="仿宋_GB2312"/>
          <w:sz w:val="32"/>
          <w:szCs w:val="32"/>
          <w:highlight w:val="none"/>
        </w:rPr>
        <w:t>万元，主要用于以下方面：一般公共服务（类）支出</w:t>
      </w:r>
      <w:r>
        <w:rPr>
          <w:rFonts w:hint="default" w:ascii="仿宋_GB2312" w:hAnsi="仿宋_GB2312" w:eastAsia="仿宋_GB2312" w:cs="仿宋_GB2312"/>
          <w:sz w:val="32"/>
          <w:szCs w:val="32"/>
          <w:highlight w:val="none"/>
          <w:lang w:val="en"/>
        </w:rPr>
        <w:t>0.20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占</w:t>
      </w:r>
      <w:r>
        <w:rPr>
          <w:rFonts w:hint="default" w:ascii="仿宋_GB2312" w:hAnsi="仿宋_GB2312" w:eastAsia="仿宋_GB2312" w:cs="仿宋_GB2312"/>
          <w:color w:val="auto"/>
          <w:sz w:val="32"/>
          <w:szCs w:val="32"/>
          <w:highlight w:val="none"/>
          <w:lang w:val="en"/>
        </w:rPr>
        <w:t>0.36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社会保障和就业（类）支出</w:t>
      </w:r>
      <w:r>
        <w:rPr>
          <w:rFonts w:hint="default" w:ascii="仿宋_GB2312" w:hAnsi="仿宋_GB2312" w:eastAsia="仿宋_GB2312" w:cs="仿宋_GB2312"/>
          <w:sz w:val="32"/>
          <w:szCs w:val="32"/>
          <w:lang w:val="en"/>
        </w:rPr>
        <w:t>10.42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default" w:ascii="仿宋_GB2312" w:hAnsi="仿宋_GB2312" w:eastAsia="仿宋_GB2312" w:cs="仿宋_GB2312"/>
          <w:color w:val="auto"/>
          <w:sz w:val="32"/>
          <w:szCs w:val="32"/>
          <w:lang w:val="en"/>
        </w:rPr>
        <w:t>18.90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；卫生健康（类）支出</w:t>
      </w:r>
      <w:r>
        <w:rPr>
          <w:rFonts w:hint="default" w:ascii="仿宋_GB2312" w:hAnsi="仿宋_GB2312" w:eastAsia="仿宋_GB2312" w:cs="仿宋_GB2312"/>
          <w:sz w:val="32"/>
          <w:szCs w:val="32"/>
          <w:lang w:val="en"/>
        </w:rPr>
        <w:t>1.17</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default" w:ascii="仿宋_GB2312" w:hAnsi="仿宋_GB2312" w:eastAsia="仿宋_GB2312" w:cs="仿宋_GB2312"/>
          <w:color w:val="auto"/>
          <w:sz w:val="32"/>
          <w:szCs w:val="32"/>
          <w:lang w:val="en"/>
        </w:rPr>
        <w:t>2.12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；城乡社区（类）支出</w:t>
      </w:r>
      <w:r>
        <w:rPr>
          <w:rFonts w:hint="default" w:ascii="仿宋_GB2312" w:hAnsi="仿宋_GB2312" w:eastAsia="仿宋_GB2312" w:cs="仿宋_GB2312"/>
          <w:sz w:val="32"/>
          <w:szCs w:val="32"/>
          <w:lang w:val="en"/>
        </w:rPr>
        <w:t>43.36</w:t>
      </w:r>
      <w:r>
        <w:rPr>
          <w:rFonts w:hint="eastAsia" w:ascii="仿宋_GB2312" w:hAnsi="仿宋_GB2312" w:eastAsia="仿宋_GB2312" w:cs="仿宋_GB2312"/>
          <w:sz w:val="32"/>
          <w:szCs w:val="32"/>
        </w:rPr>
        <w:t>万，占</w:t>
      </w:r>
      <w:r>
        <w:rPr>
          <w:rFonts w:hint="default" w:ascii="仿宋_GB2312" w:hAnsi="仿宋_GB2312" w:eastAsia="仿宋_GB2312" w:cs="仿宋_GB2312"/>
          <w:color w:val="auto"/>
          <w:sz w:val="32"/>
          <w:szCs w:val="32"/>
          <w:lang w:val="en"/>
        </w:rPr>
        <w:t>78.62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
        </w:rPr>
        <w:t>47.39</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
        </w:rPr>
        <w:t>55.15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default" w:ascii="仿宋_GB2312" w:hAnsi="仿宋_GB2312" w:eastAsia="仿宋_GB2312" w:cs="仿宋_GB2312"/>
          <w:sz w:val="32"/>
          <w:szCs w:val="32"/>
          <w:highlight w:val="none"/>
          <w:lang w:val="en"/>
        </w:rPr>
        <w:t>116.37</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年初预算为0.2</w:t>
      </w:r>
      <w:r>
        <w:rPr>
          <w:rFonts w:hint="default" w:ascii="仿宋_GB2312" w:hAnsi="仿宋_GB2312" w:eastAsia="仿宋_GB2312" w:cs="仿宋_GB2312"/>
          <w:sz w:val="32"/>
          <w:szCs w:val="32"/>
          <w:lang w:val="en"/>
        </w:rPr>
        <w:t>0</w:t>
      </w:r>
      <w:r>
        <w:rPr>
          <w:rFonts w:hint="eastAsia" w:ascii="仿宋_GB2312" w:hAnsi="仿宋_GB2312" w:eastAsia="仿宋_GB2312" w:cs="仿宋_GB2312"/>
          <w:sz w:val="32"/>
          <w:szCs w:val="32"/>
        </w:rPr>
        <w:t>万元，支出决算为0.2</w:t>
      </w:r>
      <w:r>
        <w:rPr>
          <w:rFonts w:hint="default" w:ascii="仿宋_GB2312" w:hAnsi="仿宋_GB2312" w:eastAsia="仿宋_GB2312" w:cs="仿宋_GB2312"/>
          <w:sz w:val="32"/>
          <w:szCs w:val="32"/>
          <w:lang w:val="en"/>
        </w:rPr>
        <w:t>0</w:t>
      </w:r>
      <w:r>
        <w:rPr>
          <w:rFonts w:hint="eastAsia" w:ascii="仿宋_GB2312" w:hAnsi="仿宋_GB2312" w:eastAsia="仿宋_GB2312" w:cs="仿宋_GB2312"/>
          <w:sz w:val="32"/>
          <w:szCs w:val="32"/>
        </w:rPr>
        <w:t>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2．社会保障和就业支出（类）行业事业单位养老支出（款）行政单位离退休（项）。</w:t>
      </w:r>
      <w:r>
        <w:rPr>
          <w:rFonts w:hint="eastAsia" w:ascii="仿宋_GB2312" w:hAnsi="仿宋_GB2312" w:eastAsia="仿宋_GB2312" w:cs="仿宋_GB2312"/>
          <w:sz w:val="32"/>
          <w:szCs w:val="32"/>
        </w:rPr>
        <w:t>年初预算为</w:t>
      </w:r>
      <w:r>
        <w:rPr>
          <w:rFonts w:hint="default" w:ascii="仿宋_GB2312" w:hAnsi="仿宋_GB2312" w:eastAsia="仿宋_GB2312" w:cs="仿宋_GB2312"/>
          <w:color w:val="auto"/>
          <w:sz w:val="32"/>
          <w:szCs w:val="32"/>
          <w:lang w:val="en"/>
        </w:rPr>
        <w:t>0.04</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color w:val="auto"/>
          <w:sz w:val="32"/>
          <w:szCs w:val="32"/>
        </w:rPr>
        <w:t>为</w:t>
      </w:r>
      <w:r>
        <w:rPr>
          <w:rFonts w:hint="default" w:ascii="仿宋_GB2312" w:hAnsi="仿宋_GB2312" w:eastAsia="仿宋_GB2312" w:cs="仿宋_GB2312"/>
          <w:color w:val="auto"/>
          <w:sz w:val="32"/>
          <w:szCs w:val="32"/>
          <w:lang w:val="en"/>
        </w:rPr>
        <w:t>0.04</w:t>
      </w:r>
      <w:r>
        <w:rPr>
          <w:rFonts w:hint="eastAsia" w:ascii="仿宋_GB2312" w:hAnsi="仿宋_GB2312" w:eastAsia="仿宋_GB2312" w:cs="仿宋_GB2312"/>
          <w:sz w:val="32"/>
          <w:szCs w:val="32"/>
        </w:rPr>
        <w:t>万元。决算数与年初预算数不存在差异。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default" w:ascii="仿宋_GB2312" w:hAnsi="仿宋_GB2312" w:eastAsia="仿宋_GB2312" w:cs="仿宋_GB2312"/>
          <w:b/>
          <w:bCs/>
          <w:sz w:val="32"/>
          <w:szCs w:val="32"/>
          <w:lang w:val="en"/>
        </w:rPr>
        <w:t>3</w:t>
      </w:r>
      <w:r>
        <w:rPr>
          <w:rFonts w:hint="eastAsia" w:ascii="仿宋_GB2312" w:hAnsi="仿宋_GB2312" w:eastAsia="仿宋_GB2312" w:cs="仿宋_GB2312"/>
          <w:b/>
          <w:bCs/>
          <w:sz w:val="32"/>
          <w:szCs w:val="32"/>
        </w:rPr>
        <w:t>．社会保障和就业支出（类）行业事业单位养老支出（款）</w:t>
      </w:r>
      <w:r>
        <w:rPr>
          <w:rFonts w:hint="eastAsia" w:ascii="仿宋_GB2312" w:hAnsi="仿宋_GB2312" w:eastAsia="仿宋_GB2312" w:cs="仿宋_GB2312"/>
          <w:b/>
          <w:bCs/>
          <w:sz w:val="32"/>
          <w:szCs w:val="32"/>
          <w:lang w:eastAsia="zh-CN"/>
        </w:rPr>
        <w:t>事业</w:t>
      </w:r>
      <w:r>
        <w:rPr>
          <w:rFonts w:hint="eastAsia" w:ascii="仿宋_GB2312" w:hAnsi="仿宋_GB2312" w:eastAsia="仿宋_GB2312" w:cs="仿宋_GB2312"/>
          <w:b/>
          <w:bCs/>
          <w:sz w:val="32"/>
          <w:szCs w:val="32"/>
        </w:rPr>
        <w:t>单位离退休（项）。</w:t>
      </w:r>
      <w:r>
        <w:rPr>
          <w:rFonts w:hint="eastAsia" w:ascii="仿宋_GB2312" w:hAnsi="仿宋_GB2312" w:eastAsia="仿宋_GB2312" w:cs="仿宋_GB2312"/>
          <w:sz w:val="32"/>
          <w:szCs w:val="32"/>
        </w:rPr>
        <w:t>年初预算</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6.5</w:t>
      </w:r>
      <w:r>
        <w:rPr>
          <w:rFonts w:hint="default" w:ascii="仿宋_GB2312" w:hAnsi="仿宋_GB2312" w:eastAsia="仿宋_GB2312" w:cs="仿宋_GB2312"/>
          <w:color w:val="auto"/>
          <w:sz w:val="32"/>
          <w:szCs w:val="32"/>
          <w:lang w:val="en" w:eastAsia="zh-CN"/>
        </w:rPr>
        <w:t>3</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7.52</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11</w:t>
      </w:r>
      <w:r>
        <w:rPr>
          <w:rFonts w:hint="default" w:ascii="仿宋_GB2312" w:hAnsi="仿宋_GB2312" w:eastAsia="仿宋_GB2312" w:cs="仿宋_GB2312"/>
          <w:color w:val="auto"/>
          <w:sz w:val="32"/>
          <w:szCs w:val="32"/>
          <w:lang w:val="en" w:eastAsia="zh-CN"/>
        </w:rPr>
        <w:t>5.16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highlight w:val="none"/>
          <w:lang w:eastAsia="zh-CN"/>
        </w:rPr>
        <w:t>补发退休人员养老保险清算费用</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．社会保障和就业支出（类）行业事业单位养老支出（款）机关事业单位基本养老保险缴费支出（项）。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2.32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123.28</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sz w:val="32"/>
          <w:szCs w:val="32"/>
          <w:lang w:eastAsia="zh-CN"/>
        </w:rPr>
        <w:t>统</w:t>
      </w:r>
      <w:r>
        <w:rPr>
          <w:rFonts w:hint="eastAsia" w:ascii="仿宋_GB2312" w:hAnsi="仿宋_GB2312" w:eastAsia="仿宋_GB2312" w:cs="仿宋_GB2312"/>
          <w:sz w:val="32"/>
          <w:szCs w:val="32"/>
          <w:lang w:val="en-US" w:eastAsia="zh-CN"/>
        </w:rPr>
        <w:t>筹使用上年</w:t>
      </w:r>
      <w:r>
        <w:rPr>
          <w:rFonts w:hint="eastAsia" w:ascii="仿宋_GB2312" w:hAnsi="仿宋_GB2312" w:eastAsia="仿宋_GB2312" w:cs="仿宋_GB2312"/>
          <w:sz w:val="32"/>
          <w:szCs w:val="32"/>
        </w:rPr>
        <w:t>结转资金。</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万元，完成年初预算的10</w:t>
      </w:r>
      <w:r>
        <w:rPr>
          <w:rFonts w:hint="eastAsia" w:ascii="仿宋_GB2312" w:hAnsi="仿宋_GB2312" w:eastAsia="仿宋_GB2312" w:cs="仿宋_GB2312"/>
          <w:sz w:val="32"/>
          <w:szCs w:val="32"/>
          <w:lang w:val="en-US" w:eastAsia="zh-CN"/>
        </w:rPr>
        <w:t>7.34</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color w:val="auto"/>
          <w:sz w:val="32"/>
          <w:szCs w:val="32"/>
        </w:rPr>
        <w:t>是</w:t>
      </w:r>
      <w:r>
        <w:rPr>
          <w:rFonts w:hint="default" w:ascii="仿宋_GB2312" w:hAnsi="仿宋_GB2312" w:eastAsia="仿宋_GB2312" w:cs="仿宋_GB2312"/>
          <w:color w:val="auto"/>
          <w:sz w:val="32"/>
          <w:szCs w:val="32"/>
        </w:rPr>
        <w:t>根据实际统筹使用上年结转资金</w:t>
      </w:r>
      <w:r>
        <w:rPr>
          <w:rFonts w:hint="eastAsia" w:ascii="仿宋_GB2312" w:hAnsi="仿宋_GB2312" w:eastAsia="仿宋_GB2312" w:cs="仿宋_GB2312"/>
          <w:color w:val="auto"/>
          <w:sz w:val="32"/>
          <w:szCs w:val="32"/>
        </w:rPr>
        <w:t>。</w:t>
      </w:r>
    </w:p>
    <w:p>
      <w:pPr>
        <w:widowControl/>
        <w:spacing w:line="590" w:lineRule="exact"/>
        <w:ind w:firstLine="643" w:firstLineChars="200"/>
        <w:outlineLvl w:val="1"/>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．城乡社区支出（类）城乡社区管理事务（款）其他城乡社区管理事务支出（项）。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37.21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43.36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116.53</w:t>
      </w:r>
      <w:r>
        <w:rPr>
          <w:rFonts w:hint="eastAsia" w:ascii="仿宋_GB2312" w:hAnsi="仿宋_GB2312" w:eastAsia="仿宋_GB2312" w:cs="仿宋_GB2312"/>
          <w:sz w:val="32"/>
          <w:szCs w:val="32"/>
        </w:rPr>
        <w:t>%。决算数与年初预算数存在差异的主要原因是202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年度人员正常增资</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55.1</w:t>
      </w:r>
      <w:r>
        <w:rPr>
          <w:rFonts w:hint="default" w:ascii="仿宋_GB2312" w:hAnsi="仿宋_GB2312" w:eastAsia="仿宋_GB2312" w:cs="仿宋_GB2312"/>
          <w:color w:val="auto"/>
          <w:sz w:val="32"/>
          <w:szCs w:val="32"/>
          <w:highlight w:val="none"/>
          <w:lang w:val="en" w:eastAsia="zh-CN"/>
        </w:rPr>
        <w:t>5</w:t>
      </w:r>
      <w:r>
        <w:rPr>
          <w:rFonts w:hint="eastAsia" w:ascii="仿宋_GB2312" w:hAnsi="仿宋_GB2312" w:eastAsia="仿宋_GB2312" w:cs="仿宋_GB2312"/>
          <w:sz w:val="32"/>
          <w:szCs w:val="32"/>
          <w:highlight w:val="none"/>
        </w:rPr>
        <w:t>万元。其中：人员经</w:t>
      </w:r>
      <w:r>
        <w:rPr>
          <w:rFonts w:hint="eastAsia" w:ascii="仿宋_GB2312" w:hAnsi="仿宋_GB2312" w:eastAsia="仿宋_GB2312" w:cs="仿宋_GB2312"/>
          <w:color w:val="auto"/>
          <w:sz w:val="32"/>
          <w:szCs w:val="32"/>
          <w:highlight w:val="none"/>
        </w:rPr>
        <w:t>费</w:t>
      </w:r>
      <w:r>
        <w:rPr>
          <w:rFonts w:hint="eastAsia" w:ascii="仿宋_GB2312" w:hAnsi="仿宋_GB2312" w:eastAsia="仿宋_GB2312" w:cs="仿宋_GB2312"/>
          <w:color w:val="auto"/>
          <w:sz w:val="32"/>
          <w:szCs w:val="32"/>
          <w:highlight w:val="none"/>
          <w:lang w:val="en-US" w:eastAsia="zh-CN"/>
        </w:rPr>
        <w:t>42.23</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sz w:val="32"/>
          <w:szCs w:val="32"/>
          <w:highlight w:val="none"/>
        </w:rPr>
        <w:t>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color w:val="auto"/>
          <w:sz w:val="32"/>
          <w:szCs w:val="32"/>
          <w:highlight w:val="none"/>
          <w:shd w:val="clear" w:color="auto" w:fill="auto"/>
          <w:lang w:val="en-US" w:eastAsia="zh-CN"/>
        </w:rPr>
        <w:t>职工基本医疗保险缴费、</w:t>
      </w:r>
      <w:r>
        <w:rPr>
          <w:rFonts w:hint="eastAsia" w:ascii="仿宋_GB2312" w:hAnsi="仿宋_GB2312" w:eastAsia="仿宋_GB2312" w:cs="仿宋_GB2312"/>
          <w:sz w:val="32"/>
          <w:szCs w:val="32"/>
          <w:highlight w:val="none"/>
        </w:rPr>
        <w:t>其他社会保障缴费、其他工资福利支出、住房公积金、退休费支出；公用经</w:t>
      </w:r>
      <w:r>
        <w:rPr>
          <w:rFonts w:hint="eastAsia" w:ascii="仿宋_GB2312" w:hAnsi="仿宋_GB2312" w:eastAsia="仿宋_GB2312" w:cs="仿宋_GB2312"/>
          <w:color w:val="auto"/>
          <w:sz w:val="32"/>
          <w:szCs w:val="32"/>
          <w:highlight w:val="none"/>
        </w:rPr>
        <w:t>费</w:t>
      </w:r>
      <w:r>
        <w:rPr>
          <w:rFonts w:hint="eastAsia" w:ascii="仿宋_GB2312" w:hAnsi="仿宋_GB2312" w:eastAsia="仿宋_GB2312" w:cs="仿宋_GB2312"/>
          <w:color w:val="auto"/>
          <w:sz w:val="32"/>
          <w:szCs w:val="32"/>
          <w:highlight w:val="none"/>
          <w:lang w:val="en-US" w:eastAsia="zh-CN"/>
        </w:rPr>
        <w:t>12.93</w:t>
      </w:r>
      <w:r>
        <w:rPr>
          <w:rFonts w:hint="eastAsia" w:ascii="仿宋_GB2312" w:hAnsi="仿宋_GB2312" w:eastAsia="仿宋_GB2312" w:cs="仿宋_GB2312"/>
          <w:sz w:val="32"/>
          <w:szCs w:val="32"/>
          <w:highlight w:val="none"/>
        </w:rPr>
        <w:t>万元，主要包括：办公费、印刷费、咨询费、邮电费、差旅费、培训费、劳务费、工会经费、福利费、其他商品和服务支出。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numPr>
          <w:ilvl w:val="0"/>
          <w:numId w:val="0"/>
        </w:numPr>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w:t>
      </w:r>
      <w:r>
        <w:rPr>
          <w:rFonts w:ascii="仿宋_GB2312" w:hAnsi="仿宋_GB2312" w:eastAsia="仿宋_GB2312" w:cs="仿宋_GB2312"/>
          <w:sz w:val="32"/>
          <w:szCs w:val="32"/>
          <w:highlight w:val="none"/>
        </w:rPr>
        <w:t>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w:t>
      </w:r>
      <w:r>
        <w:rPr>
          <w:rFonts w:hint="default"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numPr>
          <w:ilvl w:val="0"/>
          <w:numId w:val="2"/>
        </w:numPr>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在实际工作中，我单位高度重视，积极开展预算绩效管理工作，将绩效目标作为日常开展工作的重要参考，严格执行相关预算绩效管理文件之规定，进一步促进2021年绩效管理工作圆满完成。</w:t>
      </w:r>
      <w:r>
        <w:rPr>
          <w:rFonts w:hint="default" w:ascii="仿宋_GB2312" w:hAnsi="仿宋_GB2312" w:eastAsia="仿宋_GB2312" w:cs="仿宋_GB2312"/>
          <w:color w:val="auto"/>
          <w:sz w:val="32"/>
          <w:szCs w:val="32"/>
          <w:highlight w:val="none"/>
          <w:lang w:val="en"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bookmarkStart w:id="0" w:name="_GoBack"/>
      <w:bookmarkEnd w:id="0"/>
      <w:r>
        <w:rPr>
          <w:rFonts w:hint="eastAsia" w:ascii="仿宋_GB2312" w:hAnsi="仿宋_GB2312" w:eastAsia="仿宋_GB2312" w:cs="仿宋_GB2312"/>
          <w:color w:val="auto"/>
          <w:sz w:val="32"/>
          <w:szCs w:val="32"/>
          <w:highlight w:val="none"/>
          <w:lang w:val="en-US" w:eastAsia="zh-CN"/>
        </w:rPr>
        <w:t>（许财效〔202</w:t>
      </w: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情况如下：2021年度单位预算资金全部拨付到位，资金支付方面严格按照预算批复用途使用，资金方面基本按照预期要求完成支付，总体效果良好，指标完成率较好。二是项目绩效自评情况。我单位共有0个项目批复了绩效目标</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黑体" w:cs="宋体"/>
          <w:kern w:val="0"/>
          <w:sz w:val="28"/>
          <w:szCs w:val="28"/>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ascii="仿宋_GB2312" w:hAnsi="仿宋_GB2312" w:eastAsia="仿宋_GB2312" w:cs="仿宋_GB2312"/>
          <w:sz w:val="32"/>
          <w:szCs w:val="32"/>
        </w:rPr>
        <w:t>我单位</w:t>
      </w:r>
      <w:r>
        <w:rPr>
          <w:rFonts w:hint="eastAsia" w:ascii="仿宋_GB2312" w:hAnsi="仿宋_GB2312" w:eastAsia="仿宋_GB2312" w:cs="仿宋_GB2312"/>
          <w:sz w:val="32"/>
          <w:szCs w:val="32"/>
        </w:rPr>
        <w:t>没有开展</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绩效评价</w:t>
      </w:r>
      <w:r>
        <w:rPr>
          <w:rFonts w:hint="eastAsia" w:ascii="仿宋_GB2312" w:hAnsi="仿宋_GB2312" w:eastAsia="仿宋_GB2312" w:cs="仿宋_GB2312"/>
          <w:sz w:val="32"/>
          <w:szCs w:val="32"/>
          <w:lang w:eastAsia="zh-CN"/>
        </w:rPr>
        <w:t>的项目</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default"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B6571"/>
    <w:multiLevelType w:val="singleLevel"/>
    <w:tmpl w:val="F7FB6571"/>
    <w:lvl w:ilvl="0" w:tentative="0">
      <w:start w:val="11"/>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3D5A92"/>
    <w:rsid w:val="0799329C"/>
    <w:rsid w:val="07BF1EFE"/>
    <w:rsid w:val="08397436"/>
    <w:rsid w:val="086F16A7"/>
    <w:rsid w:val="0A0F7225"/>
    <w:rsid w:val="0A2B7D82"/>
    <w:rsid w:val="0ADC40E9"/>
    <w:rsid w:val="0AE607F4"/>
    <w:rsid w:val="0B386127"/>
    <w:rsid w:val="0B451598"/>
    <w:rsid w:val="0BEC73F4"/>
    <w:rsid w:val="0C392698"/>
    <w:rsid w:val="104821C6"/>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1F8FF7AC"/>
    <w:rsid w:val="20210932"/>
    <w:rsid w:val="202448E0"/>
    <w:rsid w:val="20F614FE"/>
    <w:rsid w:val="21302EEA"/>
    <w:rsid w:val="21FB85B6"/>
    <w:rsid w:val="22376FB5"/>
    <w:rsid w:val="23E152D7"/>
    <w:rsid w:val="23EE2489"/>
    <w:rsid w:val="255D43C8"/>
    <w:rsid w:val="26714EF8"/>
    <w:rsid w:val="26876BDD"/>
    <w:rsid w:val="2714632A"/>
    <w:rsid w:val="27541E73"/>
    <w:rsid w:val="277B736B"/>
    <w:rsid w:val="277FD5C5"/>
    <w:rsid w:val="27B0539E"/>
    <w:rsid w:val="29365CF8"/>
    <w:rsid w:val="299469B3"/>
    <w:rsid w:val="2A805789"/>
    <w:rsid w:val="2ADC0D75"/>
    <w:rsid w:val="2B4A0E52"/>
    <w:rsid w:val="2C975890"/>
    <w:rsid w:val="2DEF21BB"/>
    <w:rsid w:val="2E4A2F05"/>
    <w:rsid w:val="2E9FB5D5"/>
    <w:rsid w:val="2ECC1061"/>
    <w:rsid w:val="2F9F758D"/>
    <w:rsid w:val="2FA476AD"/>
    <w:rsid w:val="2FFE92D9"/>
    <w:rsid w:val="303F7540"/>
    <w:rsid w:val="3116023C"/>
    <w:rsid w:val="31DD00BF"/>
    <w:rsid w:val="3293174C"/>
    <w:rsid w:val="32BB38D4"/>
    <w:rsid w:val="32C9376D"/>
    <w:rsid w:val="33780472"/>
    <w:rsid w:val="33AF0905"/>
    <w:rsid w:val="355932F4"/>
    <w:rsid w:val="35611882"/>
    <w:rsid w:val="36746FC3"/>
    <w:rsid w:val="368763AE"/>
    <w:rsid w:val="395D59E7"/>
    <w:rsid w:val="39A93932"/>
    <w:rsid w:val="3A915562"/>
    <w:rsid w:val="3B8D4765"/>
    <w:rsid w:val="3BCFF506"/>
    <w:rsid w:val="3C000DBA"/>
    <w:rsid w:val="3DC045D3"/>
    <w:rsid w:val="3E504FFB"/>
    <w:rsid w:val="3E615CD0"/>
    <w:rsid w:val="3E9C47F6"/>
    <w:rsid w:val="3F760608"/>
    <w:rsid w:val="3F8B0112"/>
    <w:rsid w:val="3F9ECF1C"/>
    <w:rsid w:val="3F9F9115"/>
    <w:rsid w:val="3FAB3095"/>
    <w:rsid w:val="3FE45947"/>
    <w:rsid w:val="41242965"/>
    <w:rsid w:val="41FA23C4"/>
    <w:rsid w:val="435671EA"/>
    <w:rsid w:val="440809E9"/>
    <w:rsid w:val="442407A6"/>
    <w:rsid w:val="44805EA1"/>
    <w:rsid w:val="45710696"/>
    <w:rsid w:val="46142B1B"/>
    <w:rsid w:val="47E60DD0"/>
    <w:rsid w:val="48735039"/>
    <w:rsid w:val="492C684B"/>
    <w:rsid w:val="49500594"/>
    <w:rsid w:val="49BC1EF7"/>
    <w:rsid w:val="49E7604E"/>
    <w:rsid w:val="4BBBBD46"/>
    <w:rsid w:val="4BDF5D97"/>
    <w:rsid w:val="4BF67CDD"/>
    <w:rsid w:val="4D173441"/>
    <w:rsid w:val="4D603DD6"/>
    <w:rsid w:val="4DFF2136"/>
    <w:rsid w:val="4EBF010F"/>
    <w:rsid w:val="4F471EB0"/>
    <w:rsid w:val="51331326"/>
    <w:rsid w:val="51740A7F"/>
    <w:rsid w:val="51A5541E"/>
    <w:rsid w:val="51C96242"/>
    <w:rsid w:val="53906AE1"/>
    <w:rsid w:val="54F46F60"/>
    <w:rsid w:val="55A37BEA"/>
    <w:rsid w:val="56362CD2"/>
    <w:rsid w:val="576C0114"/>
    <w:rsid w:val="577CC5C4"/>
    <w:rsid w:val="5784687B"/>
    <w:rsid w:val="57846959"/>
    <w:rsid w:val="578E6A87"/>
    <w:rsid w:val="5AC2203A"/>
    <w:rsid w:val="5B6504F7"/>
    <w:rsid w:val="5B7A36BE"/>
    <w:rsid w:val="5CB57601"/>
    <w:rsid w:val="5CBB3334"/>
    <w:rsid w:val="5D115FAF"/>
    <w:rsid w:val="5D7D9FE0"/>
    <w:rsid w:val="5DCF2D3D"/>
    <w:rsid w:val="5EAFE3D5"/>
    <w:rsid w:val="5FB9ADBB"/>
    <w:rsid w:val="5FF63B96"/>
    <w:rsid w:val="62811722"/>
    <w:rsid w:val="62E75A72"/>
    <w:rsid w:val="64571880"/>
    <w:rsid w:val="646A6233"/>
    <w:rsid w:val="649125B6"/>
    <w:rsid w:val="64FFBB7C"/>
    <w:rsid w:val="652F4C1A"/>
    <w:rsid w:val="666D37F1"/>
    <w:rsid w:val="66BE278B"/>
    <w:rsid w:val="67087D8F"/>
    <w:rsid w:val="671F687E"/>
    <w:rsid w:val="67F415F8"/>
    <w:rsid w:val="682640D1"/>
    <w:rsid w:val="684B73E5"/>
    <w:rsid w:val="6A047A2A"/>
    <w:rsid w:val="6AFF056B"/>
    <w:rsid w:val="6BFFF4F0"/>
    <w:rsid w:val="6DFA4893"/>
    <w:rsid w:val="6EFB7548"/>
    <w:rsid w:val="6F25EFB6"/>
    <w:rsid w:val="6F3831C3"/>
    <w:rsid w:val="6F8B71C1"/>
    <w:rsid w:val="6FF7F2D7"/>
    <w:rsid w:val="6FFB6529"/>
    <w:rsid w:val="70753482"/>
    <w:rsid w:val="707B522A"/>
    <w:rsid w:val="73194D05"/>
    <w:rsid w:val="73A83B0E"/>
    <w:rsid w:val="744D3EF9"/>
    <w:rsid w:val="74794411"/>
    <w:rsid w:val="75867C40"/>
    <w:rsid w:val="75B10B26"/>
    <w:rsid w:val="76432199"/>
    <w:rsid w:val="766785FD"/>
    <w:rsid w:val="76BF8DD5"/>
    <w:rsid w:val="76DD79B6"/>
    <w:rsid w:val="76DFE441"/>
    <w:rsid w:val="76F44829"/>
    <w:rsid w:val="77A267C0"/>
    <w:rsid w:val="77BF2447"/>
    <w:rsid w:val="77F51B00"/>
    <w:rsid w:val="78882278"/>
    <w:rsid w:val="78B118A6"/>
    <w:rsid w:val="79135044"/>
    <w:rsid w:val="798F058A"/>
    <w:rsid w:val="7A4720F7"/>
    <w:rsid w:val="7A7D0F99"/>
    <w:rsid w:val="7ABAE67A"/>
    <w:rsid w:val="7AFC899A"/>
    <w:rsid w:val="7B7EEC55"/>
    <w:rsid w:val="7BBDEEDF"/>
    <w:rsid w:val="7BDEBC0B"/>
    <w:rsid w:val="7BF7AF09"/>
    <w:rsid w:val="7CE369DC"/>
    <w:rsid w:val="7DCE8494"/>
    <w:rsid w:val="7DF3EAF4"/>
    <w:rsid w:val="7DFDF66A"/>
    <w:rsid w:val="7E4A0E7C"/>
    <w:rsid w:val="7E9FB177"/>
    <w:rsid w:val="7ECF81CC"/>
    <w:rsid w:val="7EF3E50F"/>
    <w:rsid w:val="7EFB7193"/>
    <w:rsid w:val="7EFD449D"/>
    <w:rsid w:val="7EFF7654"/>
    <w:rsid w:val="7F63ACD3"/>
    <w:rsid w:val="7F79B9D6"/>
    <w:rsid w:val="7FCFAE25"/>
    <w:rsid w:val="7FD34E42"/>
    <w:rsid w:val="7FEE2115"/>
    <w:rsid w:val="7FF3AB32"/>
    <w:rsid w:val="7FF57813"/>
    <w:rsid w:val="7FFB7E0F"/>
    <w:rsid w:val="87AD0B9B"/>
    <w:rsid w:val="8ED73100"/>
    <w:rsid w:val="992D5BF3"/>
    <w:rsid w:val="9B1F2D57"/>
    <w:rsid w:val="9BF6654E"/>
    <w:rsid w:val="A69B744B"/>
    <w:rsid w:val="ABFFDEB3"/>
    <w:rsid w:val="AEF5FFE8"/>
    <w:rsid w:val="B3995953"/>
    <w:rsid w:val="B3D55674"/>
    <w:rsid w:val="B9F36F1A"/>
    <w:rsid w:val="BB7E56AF"/>
    <w:rsid w:val="BBFCB056"/>
    <w:rsid w:val="BD4E89C8"/>
    <w:rsid w:val="BE7BE373"/>
    <w:rsid w:val="BF1AA2E3"/>
    <w:rsid w:val="BFF4A736"/>
    <w:rsid w:val="BFF9EADB"/>
    <w:rsid w:val="BFFD30B1"/>
    <w:rsid w:val="BFFDBDD7"/>
    <w:rsid w:val="BFFDD7B4"/>
    <w:rsid w:val="BFFDF3A0"/>
    <w:rsid w:val="C5ED560A"/>
    <w:rsid w:val="CF4FF918"/>
    <w:rsid w:val="CF6DDA3B"/>
    <w:rsid w:val="CF77A6E5"/>
    <w:rsid w:val="CFFE7581"/>
    <w:rsid w:val="D7FF7C9C"/>
    <w:rsid w:val="DCB58D2A"/>
    <w:rsid w:val="DDDF636D"/>
    <w:rsid w:val="DDF8EA06"/>
    <w:rsid w:val="DF2CE96F"/>
    <w:rsid w:val="DFBF51C7"/>
    <w:rsid w:val="DFBF88DA"/>
    <w:rsid w:val="DFD74309"/>
    <w:rsid w:val="DFF854BE"/>
    <w:rsid w:val="DFFE895E"/>
    <w:rsid w:val="DFFFEDC2"/>
    <w:rsid w:val="E6DC158C"/>
    <w:rsid w:val="E7F9A5E4"/>
    <w:rsid w:val="EB76C8E9"/>
    <w:rsid w:val="EB918B06"/>
    <w:rsid w:val="EBB64CD1"/>
    <w:rsid w:val="EBCB7108"/>
    <w:rsid w:val="ED7FF1E9"/>
    <w:rsid w:val="EF9F008E"/>
    <w:rsid w:val="EFBF12BF"/>
    <w:rsid w:val="EFE7C6D6"/>
    <w:rsid w:val="EFF7AC03"/>
    <w:rsid w:val="EFFF3D05"/>
    <w:rsid w:val="F35FEA3B"/>
    <w:rsid w:val="F3EDC90D"/>
    <w:rsid w:val="F56F08A7"/>
    <w:rsid w:val="F5B37741"/>
    <w:rsid w:val="F6DD9BF1"/>
    <w:rsid w:val="F7DA76E0"/>
    <w:rsid w:val="F7EB1153"/>
    <w:rsid w:val="F7EF8FA2"/>
    <w:rsid w:val="F7FF36C8"/>
    <w:rsid w:val="F9DF14CA"/>
    <w:rsid w:val="FBB4431C"/>
    <w:rsid w:val="FBFCC1D2"/>
    <w:rsid w:val="FC77850B"/>
    <w:rsid w:val="FCBF1DE6"/>
    <w:rsid w:val="FD6F4C9C"/>
    <w:rsid w:val="FF356610"/>
    <w:rsid w:val="FF6B6D52"/>
    <w:rsid w:val="FF7FFF06"/>
    <w:rsid w:val="FFDFBEFE"/>
    <w:rsid w:val="FFDFD9F0"/>
    <w:rsid w:val="FFDFF091"/>
    <w:rsid w:val="FFF7E2AE"/>
    <w:rsid w:val="FFFF2CA7"/>
    <w:rsid w:val="FFFF9EC0"/>
    <w:rsid w:val="FFFFBC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7521</Words>
  <Characters>9044</Characters>
  <Lines>60</Lines>
  <Paragraphs>16</Paragraphs>
  <TotalTime>7</TotalTime>
  <ScaleCrop>false</ScaleCrop>
  <LinksUpToDate>false</LinksUpToDate>
  <CharactersWithSpaces>9259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2007-12-06T03:41:00Z</dcterms:created>
  <dc:creator>管理者</dc:creator>
  <cp:lastModifiedBy>ahui</cp:lastModifiedBy>
  <cp:lastPrinted>2023-04-04T09:38:00Z</cp:lastPrinted>
  <dcterms:modified xsi:type="dcterms:W3CDTF">2023-09-12T09:21:11Z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B3D6067628074285ABC04CC287B47274_13</vt:lpwstr>
  </property>
</Properties>
</file>