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许昌市建筑垃圾管理中心单位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许昌市建筑垃圾管理中心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lang w:eastAsia="zh-CN"/>
        </w:rPr>
        <w:t>许昌市建筑垃圾管理中心</w:t>
      </w:r>
    </w:p>
    <w:p>
      <w:pPr>
        <w:widowControl/>
        <w:numPr>
          <w:ilvl w:val="0"/>
          <w:numId w:val="0"/>
        </w:numPr>
        <w:jc w:val="both"/>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lang w:val="en-US" w:eastAsia="zh-CN"/>
        </w:rPr>
        <w:t xml:space="preserve">                </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bookmarkStart w:id="0" w:name="_GoBack"/>
      <w:bookmarkEnd w:id="0"/>
    </w:p>
    <w:p>
      <w:pPr>
        <w:adjustRightInd w:val="0"/>
        <w:snapToGrid w:val="0"/>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（一）为市区内建筑垃圾监督管理提供服务</w:t>
      </w:r>
    </w:p>
    <w:p>
      <w:pPr>
        <w:adjustRightInd w:val="0"/>
        <w:snapToGrid w:val="0"/>
        <w:spacing w:line="62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（二）建筑垃圾监督管理服务；</w:t>
      </w:r>
    </w:p>
    <w:p>
      <w:pPr>
        <w:spacing w:line="60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val="0"/>
          <w:bCs w:val="0"/>
          <w:sz w:val="32"/>
          <w:szCs w:val="32"/>
        </w:rPr>
        <w:t>（三）建筑垃圾处置费征收辅助服务</w:t>
      </w:r>
      <w:r>
        <w:rPr>
          <w:rFonts w:hint="eastAsia" w:ascii="仿宋_GB2312" w:hAnsi="仿宋_GB2312" w:eastAsia="仿宋_GB2312" w:cs="仿宋_GB2312"/>
          <w:kern w:val="0"/>
          <w:sz w:val="32"/>
          <w:szCs w:val="32"/>
          <w:highlight w:val="none"/>
          <w:lang w:eastAsia="zh-CN"/>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许昌市建筑垃圾管理中心单位决算包括：本级决算(1个)。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w:t>
      </w:r>
      <w:r>
        <w:rPr>
          <w:rFonts w:hint="eastAsia" w:ascii="仿宋_GB2312" w:hAnsi="仿宋_GB2312" w:eastAsia="仿宋_GB2312" w:cs="仿宋_GB2312"/>
          <w:sz w:val="32"/>
          <w:szCs w:val="32"/>
          <w:highlight w:val="none"/>
          <w:lang w:eastAsia="zh-CN"/>
        </w:rPr>
        <w:t>具体是</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黑体" w:hAnsi="宋体" w:eastAsia="黑体" w:cs="宋体"/>
          <w:color w:val="auto"/>
          <w:kern w:val="0"/>
          <w:sz w:val="28"/>
          <w:szCs w:val="28"/>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1.许昌市建筑垃圾管理中心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6"/>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许昌市建筑垃圾管理中心</w:t>
            </w:r>
          </w:p>
        </w:tc>
        <w:tc>
          <w:tcPr>
            <w:tcW w:w="825"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274.26</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二、政府性基金</w:t>
            </w:r>
            <w:r>
              <w:rPr>
                <w:rFonts w:ascii="宋体" w:hAnsi="宋体" w:cs="宋体"/>
                <w:color w:val="000000"/>
                <w:kern w:val="0"/>
                <w:sz w:val="20"/>
                <w:szCs w:val="20"/>
                <w:highlight w:val="none"/>
              </w:rPr>
              <w:t>预算财政拨款</w:t>
            </w:r>
            <w:r>
              <w:rPr>
                <w:rFonts w:hint="eastAsia" w:ascii="宋体" w:hAnsi="宋体" w:cs="宋体"/>
                <w:color w:val="000000"/>
                <w:kern w:val="0"/>
                <w:sz w:val="20"/>
                <w:szCs w:val="20"/>
                <w:highlight w:val="none"/>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二、</w:t>
            </w:r>
            <w:r>
              <w:rPr>
                <w:rFonts w:hint="eastAsia" w:ascii="宋体" w:hAnsi="宋体" w:eastAsia="宋体" w:cs="宋体"/>
                <w:i w:val="0"/>
                <w:color w:val="000000"/>
                <w:kern w:val="0"/>
                <w:sz w:val="20"/>
                <w:szCs w:val="20"/>
                <w:highlight w:val="none"/>
                <w:u w:val="none"/>
                <w:lang w:val="en-US" w:eastAsia="zh-CN"/>
              </w:rPr>
              <w:t>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15</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三、国有资本</w:t>
            </w:r>
            <w:r>
              <w:rPr>
                <w:rFonts w:ascii="宋体" w:hAnsi="宋体" w:cs="宋体"/>
                <w:color w:val="000000"/>
                <w:kern w:val="0"/>
                <w:sz w:val="20"/>
                <w:szCs w:val="20"/>
                <w:highlight w:val="none"/>
              </w:rPr>
              <w:t>经营预算财政拨款</w:t>
            </w:r>
            <w:r>
              <w:rPr>
                <w:rFonts w:hint="eastAsia" w:ascii="宋体" w:hAnsi="宋体" w:cs="宋体"/>
                <w:color w:val="000000"/>
                <w:kern w:val="0"/>
                <w:sz w:val="20"/>
                <w:szCs w:val="20"/>
                <w:highlight w:val="none"/>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三、</w:t>
            </w:r>
            <w:r>
              <w:rPr>
                <w:rFonts w:hint="eastAsia" w:ascii="宋体" w:hAnsi="宋体" w:eastAsia="宋体" w:cs="宋体"/>
                <w:i w:val="0"/>
                <w:color w:val="000000"/>
                <w:kern w:val="0"/>
                <w:sz w:val="20"/>
                <w:szCs w:val="20"/>
                <w:highlight w:val="none"/>
                <w:u w:val="none"/>
                <w:lang w:val="en-US" w:eastAsia="zh-CN"/>
              </w:rPr>
              <w:t>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四、</w:t>
            </w:r>
            <w:r>
              <w:rPr>
                <w:rFonts w:hint="eastAsia" w:ascii="宋体" w:hAnsi="宋体" w:eastAsia="宋体" w:cs="宋体"/>
                <w:i w:val="0"/>
                <w:color w:val="000000"/>
                <w:kern w:val="0"/>
                <w:sz w:val="20"/>
                <w:szCs w:val="20"/>
                <w:highlight w:val="none"/>
                <w:u w:val="none"/>
                <w:lang w:val="en-US" w:eastAsia="zh-CN"/>
              </w:rPr>
              <w:t>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18</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19</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20</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21</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274.26</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22</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default" w:ascii="宋体" w:hAnsi="宋体" w:eastAsia="宋体" w:cs="宋体"/>
                <w:b/>
                <w:color w:val="000000"/>
                <w:sz w:val="20"/>
                <w:szCs w:val="20"/>
                <w:highlight w:val="none"/>
                <w:lang w:val="en-US" w:eastAsia="zh-CN"/>
              </w:rPr>
            </w:pPr>
            <w:r>
              <w:rPr>
                <w:rFonts w:hint="eastAsia" w:ascii="宋体" w:hAnsi="宋体" w:cs="宋体"/>
                <w:b/>
                <w:color w:val="000000"/>
                <w:sz w:val="20"/>
                <w:szCs w:val="20"/>
                <w:highlight w:val="none"/>
                <w:lang w:val="en-US" w:eastAsia="zh-CN"/>
              </w:rPr>
              <w:t>320.39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使用非</w:t>
            </w:r>
            <w:r>
              <w:rPr>
                <w:rFonts w:ascii="宋体" w:hAnsi="宋体" w:cs="宋体"/>
                <w:color w:val="000000"/>
                <w:kern w:val="0"/>
                <w:sz w:val="20"/>
                <w:szCs w:val="20"/>
                <w:highlight w:val="none"/>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23</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w:t>
            </w:r>
            <w:r>
              <w:rPr>
                <w:rFonts w:hint="eastAsia" w:ascii="宋体" w:hAnsi="宋体" w:cs="宋体"/>
                <w:color w:val="000000"/>
                <w:kern w:val="0"/>
                <w:sz w:val="20"/>
                <w:szCs w:val="20"/>
                <w:highlight w:val="none"/>
                <w:lang w:eastAsia="zh-CN"/>
              </w:rPr>
              <w:t>年初</w:t>
            </w:r>
            <w:r>
              <w:rPr>
                <w:rFonts w:hint="eastAsia" w:ascii="宋体" w:hAnsi="宋体" w:cs="宋体"/>
                <w:color w:val="000000"/>
                <w:kern w:val="0"/>
                <w:sz w:val="20"/>
                <w:szCs w:val="20"/>
                <w:highlight w:val="none"/>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46.13</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24</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12</w:t>
            </w:r>
          </w:p>
        </w:tc>
        <w:tc>
          <w:tcPr>
            <w:tcW w:w="17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25</w:t>
            </w:r>
          </w:p>
        </w:tc>
        <w:tc>
          <w:tcPr>
            <w:tcW w:w="1699" w:type="dxa"/>
            <w:tcBorders>
              <w:top w:val="single" w:color="000000"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320.39</w:t>
            </w:r>
          </w:p>
        </w:tc>
        <w:tc>
          <w:tcPr>
            <w:tcW w:w="4671"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26</w:t>
            </w:r>
          </w:p>
        </w:tc>
        <w:tc>
          <w:tcPr>
            <w:tcW w:w="1699"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rPr>
                <w:rFonts w:hint="default" w:ascii="宋体" w:hAnsi="宋体" w:eastAsia="宋体" w:cs="宋体"/>
                <w:b/>
                <w:color w:val="000000"/>
                <w:sz w:val="20"/>
                <w:szCs w:val="20"/>
                <w:highlight w:val="none"/>
                <w:lang w:val="en-US" w:eastAsia="zh-CN"/>
              </w:rPr>
            </w:pPr>
            <w:r>
              <w:rPr>
                <w:rFonts w:hint="eastAsia" w:ascii="宋体" w:hAnsi="宋体" w:cs="宋体"/>
                <w:b/>
                <w:color w:val="000000"/>
                <w:sz w:val="20"/>
                <w:szCs w:val="20"/>
                <w:highlight w:val="none"/>
                <w:lang w:val="en-US" w:eastAsia="zh-CN"/>
              </w:rPr>
              <w:t>320.39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59"/>
        <w:gridCol w:w="1271"/>
        <w:gridCol w:w="1553"/>
        <w:gridCol w:w="88"/>
        <w:gridCol w:w="1465"/>
        <w:gridCol w:w="176"/>
        <w:gridCol w:w="1377"/>
        <w:gridCol w:w="264"/>
        <w:gridCol w:w="1289"/>
        <w:gridCol w:w="352"/>
        <w:gridCol w:w="1201"/>
        <w:gridCol w:w="440"/>
        <w:gridCol w:w="1113"/>
        <w:gridCol w:w="528"/>
        <w:gridCol w:w="1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1"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910" w:type="dxa"/>
            <w:gridSpan w:val="4"/>
            <w:tcBorders>
              <w:top w:val="nil"/>
              <w:left w:val="nil"/>
              <w:bottom w:val="nil"/>
              <w:right w:val="nil"/>
            </w:tcBorders>
            <w:shd w:val="clear" w:color="auto" w:fill="FFFFFF"/>
            <w:tcMar>
              <w:top w:w="15" w:type="dxa"/>
              <w:left w:w="15" w:type="dxa"/>
              <w:right w:w="15" w:type="dxa"/>
            </w:tcMar>
            <w:vAlign w:val="center"/>
          </w:tcPr>
          <w:p>
            <w:pPr>
              <w:jc w:val="both"/>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许昌市建筑垃圾管理中心</w:t>
            </w: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357"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357"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357" w:type="dxa"/>
            <w:gridSpan w:val="3"/>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274.26</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274.26</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201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一般公共服务支出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1.10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1.10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20129</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群众团体事务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华文中宋" w:hAnsi="华文中宋" w:eastAsia="华文中宋" w:cs="华文中宋"/>
                <w:color w:val="000000"/>
                <w:kern w:val="2"/>
                <w:sz w:val="20"/>
                <w:szCs w:val="20"/>
                <w:highlight w:val="none"/>
                <w:lang w:val="en-US" w:eastAsia="zh-CN" w:bidi="ar-SA"/>
              </w:rPr>
            </w:pPr>
            <w:r>
              <w:rPr>
                <w:rFonts w:hint="eastAsia" w:ascii="华文中宋" w:hAnsi="华文中宋" w:eastAsia="华文中宋" w:cs="华文中宋"/>
                <w:color w:val="000000"/>
                <w:sz w:val="20"/>
                <w:szCs w:val="20"/>
                <w:highlight w:val="none"/>
                <w:lang w:val="en-US" w:eastAsia="zh-CN"/>
              </w:rPr>
              <w:t>1.10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华文中宋" w:hAnsi="华文中宋" w:eastAsia="华文中宋" w:cs="华文中宋"/>
                <w:color w:val="000000"/>
                <w:kern w:val="2"/>
                <w:sz w:val="20"/>
                <w:szCs w:val="20"/>
                <w:highlight w:val="none"/>
                <w:lang w:val="en-US" w:eastAsia="zh-CN" w:bidi="ar-SA"/>
              </w:rPr>
            </w:pPr>
            <w:r>
              <w:rPr>
                <w:rFonts w:hint="eastAsia" w:ascii="华文中宋" w:hAnsi="华文中宋" w:eastAsia="华文中宋" w:cs="华文中宋"/>
                <w:color w:val="000000"/>
                <w:sz w:val="20"/>
                <w:szCs w:val="20"/>
                <w:highlight w:val="none"/>
                <w:lang w:val="en-US" w:eastAsia="zh-CN"/>
              </w:rPr>
              <w:t>1.10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2012906</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工会事务</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1.10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1.10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208</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社会保障和就业支出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12.95</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12.95</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20805</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行政事业单位养老支出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12.95</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12.95</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2080502</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事业单位离退休</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0.95</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0.95</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宋体" w:hAnsi="宋体" w:eastAsia="宋体" w:cs="宋体"/>
                <w:i w:val="0"/>
                <w:color w:val="000000"/>
                <w:sz w:val="20"/>
                <w:szCs w:val="20"/>
                <w:highlight w:val="none"/>
                <w:u w:val="none"/>
                <w:lang w:val="en-US" w:eastAsia="zh-CN"/>
              </w:rPr>
            </w:pPr>
            <w:r>
              <w:rPr>
                <w:rFonts w:hint="eastAsia" w:ascii="宋体" w:hAnsi="宋体" w:eastAsia="宋体" w:cs="宋体"/>
                <w:i w:val="0"/>
                <w:color w:val="000000"/>
                <w:sz w:val="20"/>
                <w:szCs w:val="20"/>
                <w:highlight w:val="none"/>
                <w:u w:val="none"/>
                <w:lang w:val="en-US" w:eastAsia="zh-CN"/>
              </w:rPr>
              <w:t>2080505</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eastAsia="zh-CN"/>
              </w:rPr>
              <w:t>机关事业单位基本养老保险缴费支出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12.00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12.00</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210</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卫生健康支出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5.68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5.68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21011</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行政事业单位医疗</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5.68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5.68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2101102</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事业单位医疗</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5.68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5.68</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212</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城乡社区支出</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254.53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254.53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21205</w:t>
            </w:r>
          </w:p>
        </w:tc>
        <w:tc>
          <w:tcPr>
            <w:tcW w:w="12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城乡社区环境卫生</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254.53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254.53</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2120501</w:t>
            </w:r>
          </w:p>
        </w:tc>
        <w:tc>
          <w:tcPr>
            <w:tcW w:w="1271"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城乡社区环境卫生</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254.53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254.53</w:t>
            </w: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0"/>
        <w:gridCol w:w="63"/>
        <w:gridCol w:w="27"/>
        <w:gridCol w:w="1349"/>
        <w:gridCol w:w="1774"/>
        <w:gridCol w:w="130"/>
        <w:gridCol w:w="1672"/>
        <w:gridCol w:w="232"/>
        <w:gridCol w:w="1569"/>
        <w:gridCol w:w="335"/>
        <w:gridCol w:w="1467"/>
        <w:gridCol w:w="437"/>
        <w:gridCol w:w="1364"/>
        <w:gridCol w:w="540"/>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49"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7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33" w:type="dxa"/>
            <w:gridSpan w:val="5"/>
            <w:tcBorders>
              <w:top w:val="nil"/>
              <w:left w:val="nil"/>
              <w:bottom w:val="nil"/>
              <w:right w:val="nil"/>
            </w:tcBorders>
            <w:shd w:val="clear" w:color="auto" w:fill="FFFFFF"/>
            <w:tcMar>
              <w:top w:w="15" w:type="dxa"/>
              <w:left w:w="15" w:type="dxa"/>
              <w:right w:w="15" w:type="dxa"/>
            </w:tcMar>
            <w:vAlign w:val="center"/>
          </w:tcPr>
          <w:p>
            <w:pPr>
              <w:jc w:val="both"/>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许昌市建筑垃圾管理中心</w:t>
            </w: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49"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320.39</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272.69</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47.70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eastAsia="zh-CN"/>
              </w:rPr>
              <w:t>一般公共服务支出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20129</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群众团体事务</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2012906</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工会事务</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208</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社会保障和就业支出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14.07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14.07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20805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行政事业单位养老支出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14.07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14.07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2080502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事业单位离退休</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0.95</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0.95</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2080505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机关事业单位基本养老保险缴费支出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13.12</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13.12</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210</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卫生健康支出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21011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行政事业单位医疗</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2101102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事业单位医疗</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5.68</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212</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城乡社区支出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299.55</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251.85</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47.70</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21205</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城乡社区环境卫生</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299.55</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251.85</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47.70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2120501</w:t>
            </w: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城乡社区环境卫生</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299.55</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251.85</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47.70</w:t>
            </w: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17"/>
        <w:gridCol w:w="1297"/>
        <w:gridCol w:w="1210"/>
        <w:gridCol w:w="2596"/>
        <w:gridCol w:w="993"/>
        <w:gridCol w:w="804"/>
        <w:gridCol w:w="1038"/>
        <w:gridCol w:w="617"/>
        <w:gridCol w:w="943"/>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财政拨款收入支出决算总表</w:t>
            </w:r>
          </w:p>
        </w:tc>
        <w:tc>
          <w:tcPr>
            <w:tcW w:w="1058" w:type="dxa"/>
            <w:tcBorders>
              <w:top w:val="nil"/>
              <w:left w:val="nil"/>
              <w:bottom w:val="nil"/>
              <w:right w:val="nil"/>
            </w:tcBorders>
            <w:vAlign w:val="top"/>
          </w:tcPr>
          <w:p>
            <w:pPr>
              <w:widowControl/>
              <w:jc w:val="center"/>
              <w:textAlignment w:val="center"/>
              <w:rPr>
                <w:rFonts w:hint="eastAsia" w:ascii="华文中宋" w:hAnsi="华文中宋" w:eastAsia="华文中宋" w:cs="华文中宋"/>
                <w:color w:val="000000"/>
                <w:kern w:val="0"/>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3"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0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gridSpan w:val="2"/>
            <w:tcBorders>
              <w:top w:val="nil"/>
              <w:left w:val="nil"/>
              <w:bottom w:val="nil"/>
              <w:right w:val="nil"/>
            </w:tcBorders>
            <w:shd w:val="clear" w:color="auto" w:fill="FFFFFF"/>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2001"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许昌市建筑垃圾管理中心</w:t>
            </w:r>
          </w:p>
        </w:tc>
        <w:tc>
          <w:tcPr>
            <w:tcW w:w="1297"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10"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3"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04" w:type="dxa"/>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gridSpan w:val="2"/>
            <w:tcBorders>
              <w:top w:val="nil"/>
              <w:left w:val="nil"/>
              <w:bottom w:val="nil"/>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01"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金额</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行次</w:t>
            </w:r>
          </w:p>
        </w:tc>
        <w:tc>
          <w:tcPr>
            <w:tcW w:w="8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0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一般公共预算财政拨款</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vAlign w:val="top"/>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sz w:val="20"/>
                <w:szCs w:val="20"/>
                <w:highlight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    次</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vAlign w:val="top"/>
          </w:tcPr>
          <w:p>
            <w:pPr>
              <w:widowControl/>
              <w:jc w:val="center"/>
              <w:textAlignment w:val="center"/>
              <w:rPr>
                <w:rFonts w:hint="eastAsia" w:ascii="宋体" w:hAnsi="宋体" w:cs="宋体"/>
                <w:color w:val="000000"/>
                <w:kern w:val="0"/>
                <w:sz w:val="20"/>
                <w:szCs w:val="20"/>
                <w:highlight w:val="none"/>
              </w:rPr>
            </w:pPr>
            <w:r>
              <w:rPr>
                <w:rFonts w:ascii="宋体" w:hAnsi="宋体" w:cs="宋体"/>
                <w:color w:val="000000"/>
                <w:kern w:val="0"/>
                <w:sz w:val="20"/>
                <w:szCs w:val="20"/>
                <w:highlight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274.26</w:t>
            </w: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一、一般公共服务支出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15</w:t>
            </w:r>
          </w:p>
        </w:tc>
        <w:tc>
          <w:tcPr>
            <w:tcW w:w="80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w:t>
            </w:r>
          </w:p>
        </w:tc>
        <w:tc>
          <w:tcPr>
            <w:tcW w:w="103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rPr>
              <w:t>二、</w:t>
            </w:r>
            <w:r>
              <w:rPr>
                <w:rFonts w:hint="eastAsia" w:ascii="宋体" w:hAnsi="宋体" w:eastAsia="宋体" w:cs="宋体"/>
                <w:i w:val="0"/>
                <w:color w:val="000000"/>
                <w:kern w:val="0"/>
                <w:sz w:val="20"/>
                <w:szCs w:val="20"/>
                <w:highlight w:val="none"/>
                <w:u w:val="none"/>
                <w:lang w:val="en-US" w:eastAsia="zh-CN"/>
              </w:rPr>
              <w:t>社会保障和就业支出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16</w:t>
            </w:r>
          </w:p>
        </w:tc>
        <w:tc>
          <w:tcPr>
            <w:tcW w:w="80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14.07</w:t>
            </w:r>
          </w:p>
        </w:tc>
        <w:tc>
          <w:tcPr>
            <w:tcW w:w="103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14.07</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2"/>
                <w:sz w:val="20"/>
                <w:szCs w:val="20"/>
                <w:highlight w:val="none"/>
                <w:lang w:val="en-US" w:eastAsia="zh-CN" w:bidi="ar-SA"/>
              </w:rPr>
            </w:pPr>
            <w:r>
              <w:rPr>
                <w:rFonts w:hint="eastAsia" w:ascii="宋体" w:hAnsi="宋体" w:cs="宋体"/>
                <w:color w:val="000000"/>
                <w:kern w:val="0"/>
                <w:sz w:val="20"/>
                <w:szCs w:val="20"/>
                <w:highlight w:val="none"/>
              </w:rPr>
              <w:t>三、</w:t>
            </w:r>
            <w:r>
              <w:rPr>
                <w:rFonts w:hint="eastAsia" w:ascii="宋体" w:hAnsi="宋体" w:eastAsia="宋体" w:cs="宋体"/>
                <w:i w:val="0"/>
                <w:color w:val="000000"/>
                <w:kern w:val="0"/>
                <w:sz w:val="20"/>
                <w:szCs w:val="20"/>
                <w:highlight w:val="none"/>
                <w:u w:val="none"/>
                <w:lang w:val="en-US" w:eastAsia="zh-CN"/>
              </w:rPr>
              <w:t>卫生健康支出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17</w:t>
            </w:r>
          </w:p>
        </w:tc>
        <w:tc>
          <w:tcPr>
            <w:tcW w:w="80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5.68</w:t>
            </w:r>
          </w:p>
        </w:tc>
        <w:tc>
          <w:tcPr>
            <w:tcW w:w="103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5.68</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val="en-US" w:eastAsia="zh-CN"/>
              </w:rPr>
            </w:pPr>
            <w:r>
              <w:rPr>
                <w:rFonts w:hint="eastAsia" w:ascii="宋体" w:hAnsi="宋体" w:cs="宋体"/>
                <w:color w:val="000000"/>
                <w:kern w:val="0"/>
                <w:sz w:val="20"/>
                <w:szCs w:val="20"/>
                <w:highlight w:val="none"/>
              </w:rPr>
              <w:t>四、</w:t>
            </w:r>
            <w:r>
              <w:rPr>
                <w:rFonts w:hint="eastAsia" w:ascii="宋体" w:hAnsi="宋体" w:eastAsia="宋体" w:cs="宋体"/>
                <w:i w:val="0"/>
                <w:color w:val="000000"/>
                <w:kern w:val="0"/>
                <w:sz w:val="20"/>
                <w:szCs w:val="20"/>
                <w:highlight w:val="none"/>
                <w:u w:val="none"/>
                <w:lang w:val="en-US" w:eastAsia="zh-CN"/>
              </w:rPr>
              <w:t>城乡社区支出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18</w:t>
            </w:r>
          </w:p>
        </w:tc>
        <w:tc>
          <w:tcPr>
            <w:tcW w:w="80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299.55</w:t>
            </w:r>
          </w:p>
        </w:tc>
        <w:tc>
          <w:tcPr>
            <w:tcW w:w="103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299.55</w:t>
            </w: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五、教育支出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19</w:t>
            </w:r>
          </w:p>
        </w:tc>
        <w:tc>
          <w:tcPr>
            <w:tcW w:w="80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3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六、科学技术支出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20</w:t>
            </w:r>
          </w:p>
        </w:tc>
        <w:tc>
          <w:tcPr>
            <w:tcW w:w="80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3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21</w:t>
            </w:r>
          </w:p>
        </w:tc>
        <w:tc>
          <w:tcPr>
            <w:tcW w:w="804"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3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vAlign w:val="top"/>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22</w:t>
            </w:r>
          </w:p>
        </w:tc>
        <w:tc>
          <w:tcPr>
            <w:tcW w:w="804"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000000" w:sz="8" w:space="0"/>
            </w:tcBorders>
            <w:vAlign w:val="top"/>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274.26</w:t>
            </w: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本年支出合计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23</w:t>
            </w:r>
          </w:p>
        </w:tc>
        <w:tc>
          <w:tcPr>
            <w:tcW w:w="804"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320.39</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320.39</w:t>
            </w:r>
          </w:p>
        </w:tc>
        <w:tc>
          <w:tcPr>
            <w:tcW w:w="15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b/>
                <w:color w:val="000000"/>
                <w:sz w:val="20"/>
                <w:szCs w:val="20"/>
                <w:highlight w:val="none"/>
              </w:rPr>
            </w:pPr>
          </w:p>
        </w:tc>
        <w:tc>
          <w:tcPr>
            <w:tcW w:w="1058" w:type="dxa"/>
            <w:tcBorders>
              <w:top w:val="single" w:color="000000" w:sz="4" w:space="0"/>
              <w:left w:val="nil"/>
              <w:bottom w:val="single" w:color="000000" w:sz="4" w:space="0"/>
              <w:right w:val="single" w:color="000000" w:sz="8" w:space="0"/>
            </w:tcBorders>
            <w:vAlign w:val="top"/>
          </w:tcPr>
          <w:p>
            <w:pPr>
              <w:rPr>
                <w:rFonts w:hint="eastAsia" w:ascii="宋体" w:hAnsi="宋体" w:cs="宋体"/>
                <w:b/>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年初</w:t>
            </w:r>
            <w:r>
              <w:rPr>
                <w:rFonts w:hint="eastAsia" w:ascii="宋体" w:hAnsi="宋体" w:cs="宋体"/>
                <w:color w:val="000000"/>
                <w:kern w:val="0"/>
                <w:sz w:val="20"/>
                <w:szCs w:val="20"/>
                <w:highlight w:val="none"/>
              </w:rPr>
              <w:t>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46.13</w:t>
            </w:r>
          </w:p>
        </w:tc>
        <w:tc>
          <w:tcPr>
            <w:tcW w:w="259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24</w:t>
            </w:r>
          </w:p>
        </w:tc>
        <w:tc>
          <w:tcPr>
            <w:tcW w:w="804"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nil"/>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000000" w:sz="8" w:space="0"/>
            </w:tcBorders>
            <w:vAlign w:val="top"/>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一般公共预算财政拨款</w:t>
            </w:r>
          </w:p>
        </w:tc>
        <w:tc>
          <w:tcPr>
            <w:tcW w:w="1297"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11</w:t>
            </w:r>
          </w:p>
        </w:tc>
        <w:tc>
          <w:tcPr>
            <w:tcW w:w="12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46.13</w:t>
            </w:r>
          </w:p>
        </w:tc>
        <w:tc>
          <w:tcPr>
            <w:tcW w:w="2596" w:type="dxa"/>
            <w:tcBorders>
              <w:top w:val="single" w:color="000000" w:sz="4" w:space="0"/>
              <w:left w:val="single" w:color="000000" w:sz="4" w:space="0"/>
              <w:bottom w:val="single" w:color="auto" w:sz="4" w:space="0"/>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25</w:t>
            </w:r>
          </w:p>
        </w:tc>
        <w:tc>
          <w:tcPr>
            <w:tcW w:w="804" w:type="dxa"/>
            <w:tcBorders>
              <w:top w:val="single" w:color="000000" w:sz="4" w:space="0"/>
              <w:left w:val="nil"/>
              <w:bottom w:val="single" w:color="auto" w:sz="4" w:space="0"/>
              <w:right w:val="nil"/>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38"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nil"/>
              <w:bottom w:val="single" w:color="auto"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000000" w:sz="4" w:space="0"/>
              <w:left w:val="nil"/>
              <w:bottom w:val="single" w:color="auto" w:sz="4" w:space="0"/>
              <w:right w:val="single" w:color="000000" w:sz="8" w:space="0"/>
            </w:tcBorders>
            <w:vAlign w:val="top"/>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u w:val="none"/>
              </w:rPr>
            </w:pPr>
            <w:r>
              <w:rPr>
                <w:rFonts w:hint="eastAsia" w:ascii="宋体" w:hAnsi="宋体" w:cs="宋体"/>
                <w:color w:val="000000"/>
                <w:kern w:val="0"/>
                <w:sz w:val="20"/>
                <w:szCs w:val="20"/>
                <w:highlight w:val="none"/>
                <w:u w:val="none"/>
              </w:rPr>
              <w:t xml:space="preserve">        政府性基金预算财政拨款</w:t>
            </w:r>
          </w:p>
        </w:tc>
        <w:tc>
          <w:tcPr>
            <w:tcW w:w="129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u w:val="none"/>
              </w:rPr>
            </w:pPr>
            <w:r>
              <w:rPr>
                <w:rFonts w:hint="eastAsia" w:ascii="宋体" w:hAnsi="宋体" w:cs="宋体"/>
                <w:color w:val="000000"/>
                <w:kern w:val="0"/>
                <w:sz w:val="20"/>
                <w:szCs w:val="20"/>
                <w:highlight w:val="none"/>
                <w:u w:val="none"/>
              </w:rPr>
              <w:t>12</w:t>
            </w:r>
          </w:p>
        </w:tc>
        <w:tc>
          <w:tcPr>
            <w:tcW w:w="12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u w:val="none"/>
              </w:rPr>
            </w:pPr>
          </w:p>
        </w:tc>
        <w:tc>
          <w:tcPr>
            <w:tcW w:w="25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u w:val="none"/>
              </w:rPr>
            </w:pPr>
          </w:p>
        </w:tc>
        <w:tc>
          <w:tcPr>
            <w:tcW w:w="99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u w:val="none"/>
              </w:rPr>
            </w:pPr>
            <w:r>
              <w:rPr>
                <w:rFonts w:hint="eastAsia" w:ascii="宋体" w:hAnsi="宋体" w:cs="宋体"/>
                <w:color w:val="000000"/>
                <w:kern w:val="0"/>
                <w:sz w:val="20"/>
                <w:szCs w:val="20"/>
                <w:highlight w:val="none"/>
                <w:u w:val="none"/>
              </w:rPr>
              <w:t>26</w:t>
            </w:r>
          </w:p>
        </w:tc>
        <w:tc>
          <w:tcPr>
            <w:tcW w:w="80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u w:val="none"/>
              </w:rPr>
            </w:pPr>
          </w:p>
        </w:tc>
        <w:tc>
          <w:tcPr>
            <w:tcW w:w="103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hint="eastAsia" w:ascii="宋体" w:hAnsi="宋体" w:cs="宋体"/>
                <w:color w:val="000000"/>
                <w:sz w:val="20"/>
                <w:szCs w:val="20"/>
                <w:highlight w:val="none"/>
                <w:u w:val="none"/>
              </w:rPr>
            </w:pPr>
          </w:p>
        </w:tc>
        <w:tc>
          <w:tcPr>
            <w:tcW w:w="156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rPr>
                <w:rFonts w:hint="eastAsia" w:ascii="宋体" w:hAnsi="宋体" w:cs="宋体"/>
                <w:color w:val="000000"/>
                <w:sz w:val="20"/>
                <w:szCs w:val="20"/>
                <w:highlight w:val="none"/>
                <w:u w:val="none"/>
              </w:rPr>
            </w:pPr>
          </w:p>
        </w:tc>
        <w:tc>
          <w:tcPr>
            <w:tcW w:w="1058"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auto" w:sz="4" w:space="0"/>
              <w:left w:val="single" w:color="000000" w:sz="8" w:space="0"/>
              <w:bottom w:val="nil"/>
              <w:right w:val="nil"/>
            </w:tcBorders>
            <w:shd w:val="clear" w:color="auto" w:fill="auto"/>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国有资本经营预算财政拨款</w:t>
            </w:r>
          </w:p>
        </w:tc>
        <w:tc>
          <w:tcPr>
            <w:tcW w:w="1297"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13</w:t>
            </w:r>
          </w:p>
        </w:tc>
        <w:tc>
          <w:tcPr>
            <w:tcW w:w="1210" w:type="dxa"/>
            <w:tcBorders>
              <w:top w:val="single" w:color="auto" w:sz="4" w:space="0"/>
              <w:left w:val="single" w:color="000000" w:sz="4" w:space="0"/>
              <w:bottom w:val="nil"/>
              <w:right w:val="single" w:color="000000" w:sz="4" w:space="0"/>
            </w:tcBorders>
            <w:shd w:val="clear" w:color="auto" w:fill="auto"/>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auto" w:sz="4" w:space="0"/>
              <w:left w:val="single" w:color="000000" w:sz="4" w:space="0"/>
              <w:bottom w:val="nil"/>
              <w:right w:val="nil"/>
            </w:tcBorders>
            <w:shd w:val="clear" w:color="auto" w:fill="auto"/>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27</w:t>
            </w:r>
          </w:p>
        </w:tc>
        <w:tc>
          <w:tcPr>
            <w:tcW w:w="804" w:type="dxa"/>
            <w:tcBorders>
              <w:top w:val="single" w:color="auto" w:sz="4" w:space="0"/>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38"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2"/>
            <w:tcBorders>
              <w:top w:val="single" w:color="auto" w:sz="4" w:space="0"/>
              <w:left w:val="nil"/>
              <w:bottom w:val="nil"/>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auto" w:sz="4" w:space="0"/>
              <w:left w:val="nil"/>
              <w:bottom w:val="nil"/>
              <w:right w:val="single" w:color="000000" w:sz="8" w:space="0"/>
            </w:tcBorders>
            <w:vAlign w:val="top"/>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总计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320.39</w:t>
            </w:r>
          </w:p>
        </w:tc>
        <w:tc>
          <w:tcPr>
            <w:tcW w:w="2596"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rPr>
              <w:t>总计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28</w:t>
            </w:r>
          </w:p>
        </w:tc>
        <w:tc>
          <w:tcPr>
            <w:tcW w:w="804" w:type="dxa"/>
            <w:tcBorders>
              <w:top w:val="single" w:color="000000" w:sz="4" w:space="0"/>
              <w:left w:val="nil"/>
              <w:bottom w:val="nil"/>
              <w:right w:val="nil"/>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320.39</w:t>
            </w:r>
          </w:p>
        </w:tc>
        <w:tc>
          <w:tcPr>
            <w:tcW w:w="103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320.39</w:t>
            </w:r>
          </w:p>
        </w:tc>
        <w:tc>
          <w:tcPr>
            <w:tcW w:w="1560" w:type="dxa"/>
            <w:gridSpan w:val="2"/>
            <w:tcBorders>
              <w:top w:val="single" w:color="000000" w:sz="4" w:space="0"/>
              <w:left w:val="nil"/>
              <w:bottom w:val="single" w:color="000000" w:sz="8" w:space="0"/>
              <w:right w:val="single" w:color="000000" w:sz="8" w:space="0"/>
            </w:tcBorders>
            <w:tcMar>
              <w:top w:w="15" w:type="dxa"/>
              <w:left w:w="15" w:type="dxa"/>
              <w:right w:w="15" w:type="dxa"/>
            </w:tcMar>
            <w:vAlign w:val="center"/>
          </w:tcPr>
          <w:p>
            <w:pPr>
              <w:rPr>
                <w:rFonts w:hint="eastAsia" w:ascii="宋体" w:hAnsi="宋体" w:cs="宋体"/>
                <w:b/>
                <w:color w:val="000000"/>
                <w:sz w:val="20"/>
                <w:szCs w:val="20"/>
                <w:highlight w:val="none"/>
              </w:rPr>
            </w:pPr>
          </w:p>
        </w:tc>
        <w:tc>
          <w:tcPr>
            <w:tcW w:w="1058" w:type="dxa"/>
            <w:tcBorders>
              <w:top w:val="single" w:color="000000" w:sz="4" w:space="0"/>
              <w:left w:val="nil"/>
              <w:bottom w:val="single" w:color="000000" w:sz="8" w:space="0"/>
              <w:right w:val="single" w:color="000000" w:sz="8" w:space="0"/>
            </w:tcBorders>
            <w:vAlign w:val="top"/>
          </w:tcPr>
          <w:p>
            <w:pPr>
              <w:rPr>
                <w:rFonts w:hint="eastAsia" w:ascii="宋体" w:hAnsi="宋体" w:cs="宋体"/>
                <w:b/>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6"/>
        <w:gridCol w:w="688"/>
        <w:gridCol w:w="2225"/>
        <w:gridCol w:w="3449"/>
        <w:gridCol w:w="3449"/>
        <w:gridCol w:w="3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w:t>
            </w:r>
            <w:r>
              <w:rPr>
                <w:rStyle w:val="13"/>
                <w:rFonts w:hint="default"/>
                <w:highlight w:val="none"/>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639" w:type="dxa"/>
            <w:gridSpan w:val="3"/>
            <w:tcBorders>
              <w:top w:val="nil"/>
              <w:left w:val="nil"/>
              <w:bottom w:val="nil"/>
              <w:right w:val="nil"/>
            </w:tcBorders>
            <w:shd w:val="clear" w:color="auto" w:fill="FFFFFF"/>
            <w:tcMar>
              <w:top w:w="15" w:type="dxa"/>
              <w:left w:w="15" w:type="dxa"/>
              <w:right w:w="15" w:type="dxa"/>
            </w:tcMar>
            <w:vAlign w:val="center"/>
          </w:tcPr>
          <w:p>
            <w:pPr>
              <w:jc w:val="both"/>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许昌市建筑垃圾管理中心</w:t>
            </w:r>
          </w:p>
        </w:tc>
        <w:tc>
          <w:tcPr>
            <w:tcW w:w="34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项 </w:t>
            </w:r>
            <w:r>
              <w:rPr>
                <w:rStyle w:val="17"/>
                <w:rFonts w:hint="default"/>
                <w:sz w:val="20"/>
                <w:szCs w:val="20"/>
                <w:highlight w:val="none"/>
              </w:rPr>
              <w:t xml:space="preserve">   </w:t>
            </w:r>
            <w:r>
              <w:rPr>
                <w:rStyle w:val="10"/>
                <w:rFonts w:hint="default"/>
                <w:sz w:val="20"/>
                <w:szCs w:val="20"/>
                <w:highlight w:val="none"/>
              </w:rPr>
              <w:t>目</w:t>
            </w:r>
          </w:p>
        </w:tc>
        <w:tc>
          <w:tcPr>
            <w:tcW w:w="10349"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345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320.39</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272.69</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eastAsia="zh-CN"/>
              </w:rPr>
              <w:t>一般公共服务支出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20129</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群众团体事务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2012906</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工会事务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208</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社会保障和就业支出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14.07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14.07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20805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行政事业单位养老支出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14.07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14.07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2080502</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事业单位离退休</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0.95</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0.95</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2080505</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机关事业单位基本养老保险缴费支出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13.12</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13.12</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210</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卫生健康支出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5.68</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5.68</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21011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行政事业单位医疗</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5.68</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5.68</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2101102</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事业单位医疗</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5.68</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5.68</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212</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城乡社区支出</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299.55</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251.85</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21205</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城乡社区环境卫生</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299.55</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251.85</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val="en-US" w:eastAsia="zh-CN"/>
              </w:rPr>
              <w:t>2120501</w:t>
            </w: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000000"/>
                <w:kern w:val="2"/>
                <w:sz w:val="20"/>
                <w:szCs w:val="20"/>
                <w:highlight w:val="none"/>
                <w:u w:val="none"/>
                <w:lang w:val="en-US" w:eastAsia="zh-CN" w:bidi="ar-SA"/>
              </w:rPr>
            </w:pPr>
            <w:r>
              <w:rPr>
                <w:rFonts w:hint="eastAsia" w:ascii="宋体" w:hAnsi="宋体" w:eastAsia="宋体" w:cs="宋体"/>
                <w:i w:val="0"/>
                <w:color w:val="000000"/>
                <w:sz w:val="20"/>
                <w:szCs w:val="20"/>
                <w:highlight w:val="none"/>
                <w:u w:val="none"/>
                <w:lang w:eastAsia="zh-CN"/>
              </w:rPr>
              <w:t>城乡社区环境卫生</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299.55</w:t>
            </w: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251.85</w:t>
            </w: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785"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2066"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4513"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r>
              <w:rPr>
                <w:rFonts w:hint="eastAsia" w:ascii="宋体" w:hAnsi="宋体" w:cs="宋体"/>
                <w:color w:val="000000"/>
                <w:kern w:val="0"/>
                <w:sz w:val="20"/>
                <w:szCs w:val="20"/>
                <w:highlight w:val="none"/>
                <w:lang w:eastAsia="zh-CN"/>
              </w:rPr>
              <w:t>单位</w:t>
            </w:r>
            <w:r>
              <w:rPr>
                <w:rFonts w:ascii="Arial" w:hAnsi="Arial" w:cs="Arial"/>
                <w:color w:val="000000"/>
                <w:kern w:val="0"/>
                <w:sz w:val="20"/>
                <w:szCs w:val="20"/>
                <w:highlight w:val="none"/>
              </w:rPr>
              <w:t>：</w:t>
            </w:r>
            <w:r>
              <w:rPr>
                <w:rFonts w:hint="eastAsia" w:ascii="宋体" w:hAnsi="宋体" w:cs="宋体"/>
                <w:color w:val="000000"/>
                <w:kern w:val="0"/>
                <w:sz w:val="20"/>
                <w:szCs w:val="20"/>
                <w:highlight w:val="none"/>
                <w:lang w:val="en-US" w:eastAsia="zh-CN"/>
              </w:rPr>
              <w:t>许昌市建筑垃圾管理中心</w:t>
            </w: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2066"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tcMar>
              <w:top w:w="15" w:type="dxa"/>
              <w:left w:w="15" w:type="dxa"/>
              <w:right w:w="15" w:type="dxa"/>
            </w:tcMar>
            <w:vAlign w:val="center"/>
          </w:tcPr>
          <w:p>
            <w:pPr>
              <w:rPr>
                <w:rFonts w:ascii="Arial" w:hAnsi="Arial" w:cs="Arial"/>
                <w:color w:val="000000"/>
                <w:sz w:val="20"/>
                <w:szCs w:val="20"/>
                <w:highlight w:val="none"/>
              </w:rPr>
            </w:pPr>
          </w:p>
        </w:tc>
        <w:tc>
          <w:tcPr>
            <w:tcW w:w="4513" w:type="dxa"/>
            <w:gridSpan w:val="2"/>
            <w:tcBorders>
              <w:top w:val="nil"/>
              <w:left w:val="nil"/>
              <w:bottom w:val="nil"/>
              <w:right w:val="nil"/>
            </w:tcBorders>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278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243.89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27.18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基本工资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60.94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办公费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10.84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津贴补贴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69.03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印刷费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4.28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奖金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26.61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咨询费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手续费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绩效工资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21.81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机关事业单位基本养老保险</w:t>
            </w:r>
            <w:r>
              <w:rPr>
                <w:rFonts w:hint="eastAsia" w:ascii="宋体" w:hAnsi="宋体" w:cs="宋体"/>
                <w:color w:val="000000"/>
                <w:kern w:val="0"/>
                <w:sz w:val="20"/>
                <w:szCs w:val="20"/>
                <w:highlight w:val="none"/>
                <w:lang w:eastAsia="zh-CN"/>
              </w:rPr>
              <w:t>缴</w:t>
            </w:r>
            <w:r>
              <w:rPr>
                <w:rFonts w:hint="eastAsia" w:ascii="宋体" w:hAnsi="宋体" w:cs="宋体"/>
                <w:color w:val="000000"/>
                <w:kern w:val="0"/>
                <w:sz w:val="20"/>
                <w:szCs w:val="20"/>
                <w:highlight w:val="none"/>
              </w:rPr>
              <w:t>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13.12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0.27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邮电费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物资储备</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6.03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取暖费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31009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土地补偿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30209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安置补助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0.89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差旅费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0.22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11.60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拆迁补偿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30114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医疗费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维修（护）费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0.75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30199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33.60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租赁费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31019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对个人和家庭的补助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0.95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会议费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31021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30301</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离休费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培训费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31022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30302</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退休费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0.95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31099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30303</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退职（役）费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30218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0.23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30304</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抚恤金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30305</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生活补助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30306</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救济费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劳务费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31204</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费用补贴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30307</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利息补贴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30308</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助学金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工会经费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31299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30309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奖励金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30229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福利费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0.90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对社会保障基金补助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30310</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30231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4.72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31302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30399</w:t>
            </w: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30239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31303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30240</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30299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债务利息及费用支出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39999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30704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18"/>
                <w:szCs w:val="18"/>
                <w:highlight w:val="none"/>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人员经费合计</w:t>
            </w:r>
          </w:p>
        </w:tc>
        <w:tc>
          <w:tcPr>
            <w:tcW w:w="93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244.84</w:t>
            </w:r>
          </w:p>
        </w:tc>
        <w:tc>
          <w:tcPr>
            <w:tcW w:w="831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公用经费合计</w:t>
            </w:r>
          </w:p>
        </w:tc>
        <w:tc>
          <w:tcPr>
            <w:tcW w:w="93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4604" w:type="dxa"/>
            <w:gridSpan w:val="4"/>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许昌市建筑垃圾管理中心</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4604" w:type="dxa"/>
            <w:gridSpan w:val="4"/>
            <w:tcBorders>
              <w:top w:val="nil"/>
              <w:left w:val="nil"/>
              <w:bottom w:val="single" w:color="000000" w:sz="8" w:space="0"/>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公务用车</w:t>
            </w:r>
            <w:r>
              <w:rPr>
                <w:rFonts w:hint="eastAsia" w:ascii="宋体" w:hAnsi="宋体" w:cs="宋体"/>
                <w:color w:val="000000"/>
                <w:kern w:val="0"/>
                <w:sz w:val="20"/>
                <w:szCs w:val="20"/>
                <w:highlight w:val="none"/>
              </w:rPr>
              <w:br w:type="textWrapping"/>
            </w:r>
            <w:r>
              <w:rPr>
                <w:rFonts w:hint="eastAsia" w:ascii="宋体" w:hAnsi="宋体" w:cs="宋体"/>
                <w:color w:val="000000"/>
                <w:kern w:val="0"/>
                <w:sz w:val="20"/>
                <w:szCs w:val="20"/>
                <w:highlight w:val="none"/>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4.72</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4.72</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4.72</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 xml:space="preserve"> 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33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4"/>
        <w:gridCol w:w="511"/>
        <w:gridCol w:w="1217"/>
        <w:gridCol w:w="1838"/>
        <w:gridCol w:w="30"/>
        <w:gridCol w:w="1808"/>
        <w:gridCol w:w="30"/>
        <w:gridCol w:w="1808"/>
        <w:gridCol w:w="30"/>
        <w:gridCol w:w="1809"/>
        <w:gridCol w:w="30"/>
        <w:gridCol w:w="1808"/>
        <w:gridCol w:w="30"/>
        <w:gridCol w:w="1818"/>
        <w:gridCol w:w="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 w:type="dxa"/>
          <w:trHeight w:val="90" w:hRule="atLeast"/>
        </w:trPr>
        <w:tc>
          <w:tcPr>
            <w:tcW w:w="13351" w:type="dxa"/>
            <w:gridSpan w:val="14"/>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 w:type="dxa"/>
          <w:trHeight w:val="90" w:hRule="atLeast"/>
        </w:trPr>
        <w:tc>
          <w:tcPr>
            <w:tcW w:w="584"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11"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17" w:type="dxa"/>
            <w:tcBorders>
              <w:top w:val="nil"/>
              <w:left w:val="nil"/>
              <w:bottom w:val="nil"/>
              <w:right w:val="nil"/>
            </w:tcBorders>
            <w:shd w:val="clear" w:color="auto" w:fill="FFFFFF"/>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38" w:type="dxa"/>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839"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848"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80" w:type="dxa"/>
            <w:gridSpan w:val="5"/>
            <w:tcBorders>
              <w:top w:val="nil"/>
              <w:left w:val="nil"/>
              <w:bottom w:val="nil"/>
              <w:right w:val="nil"/>
            </w:tcBorders>
            <w:shd w:val="clear" w:color="auto" w:fill="FFFFFF"/>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w:t>
            </w:r>
            <w:r>
              <w:rPr>
                <w:rFonts w:hint="eastAsia" w:ascii="宋体" w:hAnsi="宋体" w:cs="宋体"/>
                <w:color w:val="000000"/>
                <w:kern w:val="0"/>
                <w:sz w:val="20"/>
                <w:szCs w:val="20"/>
                <w:highlight w:val="none"/>
                <w:lang w:val="en-US" w:eastAsia="zh-CN"/>
              </w:rPr>
              <w:t>许昌市建筑垃圾管理中心</w:t>
            </w:r>
          </w:p>
        </w:tc>
        <w:tc>
          <w:tcPr>
            <w:tcW w:w="1838"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839" w:type="dxa"/>
            <w:gridSpan w:val="2"/>
            <w:tcBorders>
              <w:top w:val="nil"/>
              <w:left w:val="nil"/>
              <w:bottom w:val="single" w:color="000000" w:sz="8" w:space="0"/>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nil"/>
              <w:left w:val="nil"/>
              <w:bottom w:val="nil"/>
              <w:right w:val="nil"/>
            </w:tcBorders>
            <w:shd w:val="clear" w:color="auto" w:fill="FFFFFF"/>
            <w:tcMar>
              <w:top w:w="15" w:type="dxa"/>
              <w:left w:w="15" w:type="dxa"/>
              <w:right w:w="15" w:type="dxa"/>
            </w:tcMar>
            <w:vAlign w:val="center"/>
          </w:tcPr>
          <w:p>
            <w:pPr>
              <w:rPr>
                <w:rFonts w:hint="eastAsia" w:ascii="宋体" w:hAnsi="宋体" w:cs="宋体"/>
                <w:color w:val="000000"/>
                <w:sz w:val="20"/>
                <w:szCs w:val="20"/>
                <w:highlight w:val="none"/>
              </w:rPr>
            </w:pPr>
          </w:p>
        </w:tc>
        <w:tc>
          <w:tcPr>
            <w:tcW w:w="1845" w:type="dxa"/>
            <w:gridSpan w:val="2"/>
            <w:tcBorders>
              <w:top w:val="nil"/>
              <w:left w:val="nil"/>
              <w:bottom w:val="nil"/>
              <w:right w:val="nil"/>
            </w:tcBorders>
            <w:shd w:val="clear" w:color="auto" w:fill="FFFFFF"/>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金额</w:t>
            </w:r>
            <w:r>
              <w:rPr>
                <w:rFonts w:hint="eastAsia" w:ascii="宋体" w:hAnsi="宋体" w:cs="宋体"/>
                <w:color w:val="000000"/>
                <w:kern w:val="0"/>
                <w:sz w:val="20"/>
                <w:szCs w:val="20"/>
                <w:highlight w:val="none"/>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 w:type="dxa"/>
          <w:trHeight w:val="90" w:hRule="atLeast"/>
        </w:trPr>
        <w:tc>
          <w:tcPr>
            <w:tcW w:w="2312"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    目</w:t>
            </w:r>
          </w:p>
        </w:tc>
        <w:tc>
          <w:tcPr>
            <w:tcW w:w="1838"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rPr>
              <w:t>年初</w:t>
            </w:r>
            <w:r>
              <w:rPr>
                <w:rFonts w:hint="eastAsia" w:ascii="宋体" w:hAnsi="宋体" w:cs="宋体"/>
                <w:color w:val="000000"/>
                <w:kern w:val="0"/>
                <w:sz w:val="20"/>
                <w:szCs w:val="20"/>
                <w:highlight w:val="none"/>
              </w:rPr>
              <w:t>结转和结余</w:t>
            </w:r>
          </w:p>
        </w:tc>
        <w:tc>
          <w:tcPr>
            <w:tcW w:w="1838" w:type="dxa"/>
            <w:gridSpan w:val="2"/>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本年收入</w:t>
            </w:r>
          </w:p>
        </w:tc>
        <w:tc>
          <w:tcPr>
            <w:tcW w:w="5515" w:type="dxa"/>
            <w:gridSpan w:val="6"/>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本年支出</w:t>
            </w:r>
          </w:p>
        </w:tc>
        <w:tc>
          <w:tcPr>
            <w:tcW w:w="1848" w:type="dxa"/>
            <w:gridSpan w:val="2"/>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 w:type="dxa"/>
          <w:trHeight w:val="312" w:hRule="atLeast"/>
        </w:trPr>
        <w:tc>
          <w:tcPr>
            <w:tcW w:w="1095"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科目编码</w:t>
            </w:r>
          </w:p>
        </w:tc>
        <w:tc>
          <w:tcPr>
            <w:tcW w:w="121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科目名称</w:t>
            </w:r>
          </w:p>
        </w:tc>
        <w:tc>
          <w:tcPr>
            <w:tcW w:w="1838"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38"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38"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小计</w:t>
            </w:r>
          </w:p>
        </w:tc>
        <w:tc>
          <w:tcPr>
            <w:tcW w:w="1839"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基本支出</w:t>
            </w:r>
          </w:p>
        </w:tc>
        <w:tc>
          <w:tcPr>
            <w:tcW w:w="1838" w:type="dxa"/>
            <w:gridSpan w:val="2"/>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项目支出</w:t>
            </w:r>
          </w:p>
        </w:tc>
        <w:tc>
          <w:tcPr>
            <w:tcW w:w="1848"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 w:type="dxa"/>
          <w:trHeight w:val="312" w:hRule="atLeast"/>
        </w:trPr>
        <w:tc>
          <w:tcPr>
            <w:tcW w:w="1095"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38"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38"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38"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39"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38"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48"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 w:type="dxa"/>
          <w:trHeight w:val="312" w:hRule="atLeast"/>
        </w:trPr>
        <w:tc>
          <w:tcPr>
            <w:tcW w:w="1095"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1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38"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38" w:type="dxa"/>
            <w:gridSpan w:val="2"/>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38"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39"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38" w:type="dxa"/>
            <w:gridSpan w:val="2"/>
            <w:vMerge w:val="continue"/>
            <w:tcBorders>
              <w:top w:val="nil"/>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48" w:type="dxa"/>
            <w:gridSpan w:val="2"/>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 w:type="dxa"/>
          <w:trHeight w:val="90" w:hRule="atLeast"/>
        </w:trPr>
        <w:tc>
          <w:tcPr>
            <w:tcW w:w="2312"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栏次</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18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18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18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1838"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5</w:t>
            </w:r>
          </w:p>
        </w:tc>
        <w:tc>
          <w:tcPr>
            <w:tcW w:w="184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 w:type="dxa"/>
          <w:trHeight w:val="90" w:hRule="atLeast"/>
        </w:trPr>
        <w:tc>
          <w:tcPr>
            <w:tcW w:w="2312"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rPr>
              <w:t>合计</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4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 w:type="dxa"/>
          <w:trHeight w:val="90" w:hRule="atLeast"/>
        </w:trPr>
        <w:tc>
          <w:tcPr>
            <w:tcW w:w="1095"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4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 w:type="dxa"/>
          <w:trHeight w:val="90" w:hRule="atLeast"/>
        </w:trPr>
        <w:tc>
          <w:tcPr>
            <w:tcW w:w="1095"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4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 w:type="dxa"/>
          <w:trHeight w:val="90" w:hRule="atLeast"/>
        </w:trPr>
        <w:tc>
          <w:tcPr>
            <w:tcW w:w="1095"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4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 w:type="dxa"/>
          <w:trHeight w:val="90" w:hRule="atLeast"/>
        </w:trPr>
        <w:tc>
          <w:tcPr>
            <w:tcW w:w="1095"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4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 w:type="dxa"/>
          <w:trHeight w:val="90" w:hRule="atLeast"/>
        </w:trPr>
        <w:tc>
          <w:tcPr>
            <w:tcW w:w="1095"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48" w:type="dxa"/>
            <w:gridSpan w:val="2"/>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 w:type="dxa"/>
          <w:trHeight w:val="90" w:hRule="atLeast"/>
        </w:trPr>
        <w:tc>
          <w:tcPr>
            <w:tcW w:w="1095"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1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9"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38" w:type="dxa"/>
            <w:gridSpan w:val="2"/>
            <w:tcBorders>
              <w:top w:val="single" w:color="000000" w:sz="4" w:space="0"/>
              <w:left w:val="single" w:color="000000" w:sz="4" w:space="0"/>
              <w:bottom w:val="single" w:color="000000" w:sz="8" w:space="0"/>
              <w:right w:val="nil"/>
            </w:tcBorders>
            <w:tcMar>
              <w:top w:w="15" w:type="dxa"/>
              <w:left w:w="15" w:type="dxa"/>
              <w:right w:w="15" w:type="dxa"/>
            </w:tcMar>
            <w:vAlign w:val="center"/>
          </w:tcPr>
          <w:p>
            <w:pPr>
              <w:rPr>
                <w:rFonts w:hint="eastAsia" w:ascii="宋体" w:hAnsi="宋体" w:cs="宋体"/>
                <w:color w:val="000000"/>
                <w:sz w:val="20"/>
                <w:szCs w:val="20"/>
                <w:highlight w:val="none"/>
              </w:rPr>
            </w:pPr>
          </w:p>
        </w:tc>
        <w:tc>
          <w:tcPr>
            <w:tcW w:w="1848" w:type="dxa"/>
            <w:gridSpan w:val="2"/>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rPr>
                <w:rFonts w:hint="eastAsia" w:ascii="宋体" w:hAnsi="宋体" w:cs="宋体"/>
                <w:color w:val="000000"/>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7" w:type="dxa"/>
          <w:trHeight w:val="90" w:hRule="atLeast"/>
        </w:trPr>
        <w:tc>
          <w:tcPr>
            <w:tcW w:w="13351" w:type="dxa"/>
            <w:gridSpan w:val="14"/>
            <w:tcBorders>
              <w:top w:val="single" w:color="000000" w:sz="8" w:space="0"/>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rPr>
            </w:pPr>
            <w:r>
              <w:rPr>
                <w:rFonts w:hint="eastAsia" w:ascii="宋体" w:hAnsi="宋体" w:cs="宋体"/>
                <w:color w:val="000000"/>
                <w:kern w:val="0"/>
                <w:sz w:val="20"/>
                <w:szCs w:val="20"/>
                <w:highlight w:val="none"/>
              </w:rPr>
              <w:t>注：本表反映</w:t>
            </w:r>
            <w:r>
              <w:rPr>
                <w:rFonts w:hint="eastAsia" w:ascii="宋体" w:hAnsi="宋体" w:cs="宋体"/>
                <w:color w:val="000000"/>
                <w:kern w:val="0"/>
                <w:sz w:val="20"/>
                <w:szCs w:val="20"/>
                <w:highlight w:val="none"/>
                <w:lang w:eastAsia="zh-CN"/>
              </w:rPr>
              <w:t>单位</w:t>
            </w:r>
            <w:r>
              <w:rPr>
                <w:rFonts w:hint="eastAsia" w:ascii="宋体" w:hAnsi="宋体" w:cs="宋体"/>
                <w:color w:val="000000"/>
                <w:kern w:val="0"/>
                <w:sz w:val="20"/>
                <w:szCs w:val="20"/>
                <w:highlight w:val="none"/>
              </w:rPr>
              <w:t>本年度政府性基金预算财政拨款收入、支出及结转和结余情况。本表金额转换为万元时，因四舍五入可能存在尾差。</w:t>
            </w:r>
          </w:p>
          <w:p>
            <w:pPr>
              <w:widowControl/>
              <w:jc w:val="left"/>
              <w:textAlignment w:val="center"/>
              <w:rPr>
                <w:rFonts w:ascii="宋体" w:hAnsi="宋体" w:cs="宋体"/>
                <w:color w:val="000000"/>
                <w:sz w:val="32"/>
                <w:szCs w:val="32"/>
                <w:highlight w:val="none"/>
              </w:rPr>
            </w:pPr>
            <w:r>
              <w:rPr>
                <w:rFonts w:hint="eastAsia" w:ascii="宋体" w:hAnsi="宋体" w:cs="宋体"/>
                <w:color w:val="000000"/>
                <w:sz w:val="32"/>
                <w:szCs w:val="32"/>
                <w:highlight w:val="none"/>
              </w:rPr>
              <w:t>说明：我</w:t>
            </w:r>
            <w:r>
              <w:rPr>
                <w:rFonts w:hint="eastAsia" w:ascii="宋体" w:hAnsi="宋体" w:cs="宋体"/>
                <w:color w:val="000000"/>
                <w:kern w:val="0"/>
                <w:sz w:val="32"/>
                <w:szCs w:val="32"/>
                <w:highlight w:val="none"/>
                <w:lang w:eastAsia="zh-CN"/>
              </w:rPr>
              <w:t>单位</w:t>
            </w:r>
            <w:r>
              <w:rPr>
                <w:rFonts w:hint="eastAsia" w:ascii="宋体" w:hAnsi="宋体" w:cs="宋体"/>
                <w:color w:val="000000"/>
                <w:sz w:val="32"/>
                <w:szCs w:val="32"/>
                <w:highlight w:val="none"/>
              </w:rPr>
              <w:t>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wordWrap/>
        <w:adjustRightInd/>
        <w:snapToGrid/>
        <w:spacing w:before="0" w:after="0" w:line="590" w:lineRule="exact"/>
        <w:ind w:left="0" w:leftChars="0" w:right="0" w:firstLine="640" w:firstLineChars="200"/>
        <w:jc w:val="both"/>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320.39</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24.63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7.13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rPr>
        <w:t>纳入预算</w:t>
      </w:r>
      <w:r>
        <w:rPr>
          <w:rFonts w:hint="eastAsia" w:ascii="仿宋_GB2312" w:hAnsi="仿宋_GB2312" w:eastAsia="仿宋_GB2312" w:cs="仿宋_GB2312"/>
          <w:sz w:val="32"/>
          <w:szCs w:val="32"/>
          <w:lang w:eastAsia="zh-CN"/>
        </w:rPr>
        <w:t>的项目减少</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wordWrap/>
        <w:adjustRightInd/>
        <w:snapToGrid/>
        <w:spacing w:before="0" w:after="0" w:line="590" w:lineRule="exact"/>
        <w:ind w:left="0" w:leftChars="0" w:right="0" w:firstLine="640" w:firstLineChars="200"/>
        <w:jc w:val="both"/>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274.26</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274.26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320.39</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272.69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85.11</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47.70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14.89</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320.39</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24.63</w:t>
      </w:r>
      <w:r>
        <w:rPr>
          <w:rFonts w:hint="eastAsia" w:ascii="仿宋_GB2312" w:hAnsi="仿宋_GB2312" w:eastAsia="仿宋_GB2312" w:cs="仿宋_GB2312"/>
          <w:sz w:val="32"/>
          <w:szCs w:val="32"/>
          <w:highlight w:val="none"/>
        </w:rPr>
        <w:t>万元，增长（下降）</w:t>
      </w:r>
      <w:r>
        <w:rPr>
          <w:rFonts w:hint="eastAsia" w:ascii="仿宋_GB2312" w:hAnsi="仿宋_GB2312" w:eastAsia="仿宋_GB2312" w:cs="仿宋_GB2312"/>
          <w:sz w:val="32"/>
          <w:szCs w:val="32"/>
          <w:highlight w:val="none"/>
          <w:lang w:val="en-US" w:eastAsia="zh-CN"/>
        </w:rPr>
        <w:t>7.13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rPr>
        <w:t>金科公司处置费返还、清运无主建筑垃圾未纳入预算</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wordWrap/>
        <w:adjustRightInd/>
        <w:snapToGrid/>
        <w:spacing w:before="0" w:after="0" w:line="590" w:lineRule="exact"/>
        <w:ind w:left="0" w:leftChars="0" w:right="0" w:firstLine="642"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320.39</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16.17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5.32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本年度</w:t>
      </w:r>
      <w:r>
        <w:rPr>
          <w:rFonts w:hint="eastAsia" w:ascii="仿宋_GB2312" w:hAnsi="仿宋_GB2312" w:eastAsia="仿宋_GB2312" w:cs="仿宋_GB2312"/>
          <w:color w:val="auto"/>
          <w:sz w:val="32"/>
          <w:szCs w:val="32"/>
          <w:highlight w:val="none"/>
          <w:lang w:val="en-US" w:eastAsia="zh-CN"/>
        </w:rPr>
        <w:t>拨付</w:t>
      </w:r>
      <w:r>
        <w:rPr>
          <w:rFonts w:hint="eastAsia" w:ascii="仿宋_GB2312" w:hAnsi="仿宋_GB2312" w:eastAsia="仿宋_GB2312" w:cs="仿宋_GB2312"/>
          <w:color w:val="auto"/>
          <w:sz w:val="32"/>
          <w:szCs w:val="32"/>
          <w:highlight w:val="none"/>
          <w:lang w:eastAsia="zh-CN"/>
        </w:rPr>
        <w:t>资金</w:t>
      </w:r>
      <w:r>
        <w:rPr>
          <w:rFonts w:hint="eastAsia" w:ascii="仿宋_GB2312" w:hAnsi="仿宋_GB2312" w:eastAsia="仿宋_GB2312" w:cs="仿宋_GB2312"/>
          <w:color w:val="auto"/>
          <w:sz w:val="32"/>
          <w:szCs w:val="32"/>
          <w:highlight w:val="none"/>
          <w:lang w:val="en-US" w:eastAsia="zh-CN"/>
        </w:rPr>
        <w:t>性质</w:t>
      </w:r>
      <w:r>
        <w:rPr>
          <w:rFonts w:hint="eastAsia" w:ascii="仿宋_GB2312" w:hAnsi="仿宋_GB2312" w:eastAsia="仿宋_GB2312" w:cs="仿宋_GB2312"/>
          <w:color w:val="auto"/>
          <w:sz w:val="32"/>
          <w:szCs w:val="32"/>
          <w:highlight w:val="none"/>
          <w:lang w:eastAsia="zh-CN"/>
        </w:rPr>
        <w:t>为一般公共预算财政拨款</w:t>
      </w:r>
      <w:r>
        <w:rPr>
          <w:rFonts w:hint="eastAsia" w:ascii="仿宋_GB2312" w:hAnsi="仿宋_GB2312" w:eastAsia="仿宋_GB2312" w:cs="仿宋_GB2312"/>
          <w:color w:val="auto"/>
          <w:sz w:val="32"/>
          <w:szCs w:val="32"/>
          <w:highlight w:val="none"/>
          <w:lang w:val="en-US" w:eastAsia="zh-CN"/>
        </w:rPr>
        <w:t>的项目经费较上年增加</w:t>
      </w:r>
      <w:r>
        <w:rPr>
          <w:rFonts w:hint="eastAsia" w:ascii="仿宋_GB2312" w:hAnsi="仿宋_GB2312" w:eastAsia="仿宋_GB2312" w:cs="仿宋_GB2312"/>
          <w:color w:val="auto"/>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wordWrap/>
        <w:adjustRightInd/>
        <w:snapToGrid/>
        <w:spacing w:before="0" w:after="0" w:line="59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320.39</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一般公共服务（类）支出1.10万元，占0.35%；社会保障和就业（类）支出14.07万元，占4.39%；卫生健康（类）支出5.68万元，占1.77%；城乡社区（类）支出299.55万元，占93.49%。</w:t>
      </w:r>
    </w:p>
    <w:p>
      <w:pPr>
        <w:widowControl/>
        <w:wordWrap/>
        <w:adjustRightInd/>
        <w:snapToGrid/>
        <w:spacing w:before="0" w:after="0" w:line="590" w:lineRule="exact"/>
        <w:ind w:left="0" w:leftChars="0" w:right="0" w:firstLine="642" w:firstLineChars="200"/>
        <w:jc w:val="both"/>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240.31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320.39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133.32</w:t>
      </w:r>
      <w:r>
        <w:rPr>
          <w:rFonts w:hint="eastAsia" w:ascii="仿宋_GB2312" w:hAnsi="仿宋_GB2312" w:eastAsia="仿宋_GB2312" w:cs="仿宋_GB2312"/>
          <w:sz w:val="32"/>
          <w:szCs w:val="32"/>
          <w:highlight w:val="none"/>
        </w:rPr>
        <w:t>%。其中：</w:t>
      </w:r>
    </w:p>
    <w:p>
      <w:pPr>
        <w:widowControl/>
        <w:wordWrap/>
        <w:adjustRightInd/>
        <w:snapToGrid/>
        <w:spacing w:before="0" w:after="0" w:line="590" w:lineRule="exact"/>
        <w:ind w:left="0" w:leftChars="0" w:right="0" w:firstLine="64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一般公共服务（类）群众团体事务（款）工会事务（项）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color w:val="auto"/>
          <w:sz w:val="32"/>
          <w:szCs w:val="32"/>
          <w:highlight w:val="none"/>
          <w:lang w:val="en-US" w:eastAsia="zh-CN"/>
        </w:rPr>
        <w:t>不存在差异.</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社会保障和就业（类）行政事业单位养老支出（款）事业单位离退休（项）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0.95</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增加一名退休人员</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auto"/>
          <w:sz w:val="32"/>
          <w:szCs w:val="32"/>
          <w:highlight w:val="none"/>
          <w:lang w:val="en-US" w:eastAsia="zh-CN"/>
        </w:rPr>
        <w:t>社会保障和就业（类）行政事业单位养老支出（款）机关事业单位基本养老保险缴费支出（项）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13.39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13.12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97.98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一名在职人员转</w:t>
      </w:r>
      <w:r>
        <w:rPr>
          <w:rFonts w:hint="eastAsia" w:ascii="仿宋_GB2312" w:hAnsi="仿宋_GB2312" w:eastAsia="仿宋_GB2312" w:cs="仿宋_GB2312"/>
          <w:sz w:val="32"/>
          <w:szCs w:val="32"/>
          <w:highlight w:val="none"/>
          <w:lang w:eastAsia="zh-CN"/>
        </w:rPr>
        <w:t>退休</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4．卫生健康（类）行政事业单位医疗（款）行政单位医疗（项）。</w:t>
      </w:r>
      <w:r>
        <w:rPr>
          <w:rFonts w:hint="eastAsia" w:ascii="仿宋_GB2312" w:hAnsi="仿宋_GB2312" w:eastAsia="仿宋_GB2312" w:cs="仿宋_GB2312"/>
          <w:color w:val="auto"/>
          <w:sz w:val="32"/>
          <w:szCs w:val="32"/>
          <w:highlight w:val="none"/>
          <w:lang w:val="en-US" w:eastAsia="zh-CN"/>
        </w:rPr>
        <w:t>年初预算为6.38万元，支出决算为5.68万元，完成年初预算的89.03%。决算数与年初预算数存在差异</w:t>
      </w:r>
      <w:r>
        <w:rPr>
          <w:rFonts w:hint="eastAsia" w:ascii="仿宋_GB2312" w:hAnsi="仿宋_GB2312" w:eastAsia="仿宋_GB2312" w:cs="仿宋_GB2312"/>
          <w:sz w:val="32"/>
          <w:szCs w:val="32"/>
          <w:highlight w:val="none"/>
        </w:rPr>
        <w:t>的主要原因是</w:t>
      </w:r>
      <w:r>
        <w:rPr>
          <w:rFonts w:hint="eastAsia" w:ascii="仿宋_GB2312" w:hAnsi="仿宋_GB2312" w:eastAsia="仿宋_GB2312" w:cs="仿宋_GB2312"/>
          <w:sz w:val="32"/>
          <w:szCs w:val="32"/>
          <w:highlight w:val="none"/>
          <w:lang w:eastAsia="zh-CN"/>
        </w:rPr>
        <w:t>增加一名退休人员</w:t>
      </w:r>
      <w:r>
        <w:rPr>
          <w:rFonts w:hint="eastAsia" w:ascii="仿宋_GB2312" w:hAnsi="仿宋_GB2312" w:eastAsia="仿宋_GB2312" w:cs="仿宋_GB2312"/>
          <w:sz w:val="32"/>
          <w:szCs w:val="32"/>
          <w:highlight w:val="none"/>
        </w:rPr>
        <w:t>。</w:t>
      </w:r>
    </w:p>
    <w:p>
      <w:pPr>
        <w:widowControl/>
        <w:wordWrap/>
        <w:adjustRightInd/>
        <w:snapToGrid/>
        <w:spacing w:before="0" w:after="0" w:line="600" w:lineRule="exact"/>
        <w:ind w:left="0" w:leftChars="0" w:right="0" w:firstLine="64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5．城乡社区（类）城乡社区环境卫生（款）城乡社区环境卫生（项）。</w:t>
      </w:r>
      <w:r>
        <w:rPr>
          <w:rFonts w:hint="eastAsia" w:ascii="仿宋_GB2312" w:hAnsi="仿宋_GB2312" w:eastAsia="仿宋_GB2312" w:cs="仿宋_GB2312"/>
          <w:color w:val="auto"/>
          <w:sz w:val="32"/>
          <w:szCs w:val="32"/>
          <w:highlight w:val="none"/>
          <w:lang w:val="en-US" w:eastAsia="zh-CN"/>
        </w:rPr>
        <w:t>年初预算为219.44万元，支出决算为219.55万元，完成年初预算的100.05%。决算数与年初预算数存在差异的主要原因是年中追加人员晋级晋档。</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wordWrap/>
        <w:adjustRightInd/>
        <w:snapToGrid/>
        <w:spacing w:before="0" w:after="0" w:line="590" w:lineRule="exact"/>
        <w:ind w:left="0" w:leftChars="0" w:right="0" w:firstLine="640" w:firstLineChars="200"/>
        <w:jc w:val="both"/>
        <w:textAlignment w:val="auto"/>
        <w:outlineLvl w:val="1"/>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272.69</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244.84</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基本工资、津贴补贴、奖金、绩效工资、机关事业单位基本养老保险缴费、职业年金缴费、职工基本医疗保险缴费、其他社会保障缴费、住房公积金、其他工资福利支出、退休费；公用经费27.85万元，主要包括：办公费、印刷费、电费、邮电费、取暖费、差旅费、维修（护）费、专用材料费、工会经费、福利费、公务用车运行维护费、办公设备购置。</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wordWrap/>
        <w:adjustRightInd/>
        <w:snapToGrid/>
        <w:spacing w:before="0" w:after="0" w:line="590" w:lineRule="exact"/>
        <w:ind w:left="0" w:leftChars="0" w:right="0" w:firstLine="642" w:firstLineChars="200"/>
        <w:jc w:val="both"/>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wordWrap/>
        <w:adjustRightInd/>
        <w:snapToGrid/>
        <w:spacing w:before="0" w:after="0" w:line="600" w:lineRule="exact"/>
        <w:ind w:left="0" w:leftChars="0" w:right="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13.00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4.72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36.31</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w:t>
      </w:r>
      <w:r>
        <w:rPr>
          <w:rFonts w:hint="eastAsia" w:ascii="仿宋_GB2312" w:hAnsi="仿宋_GB2312" w:eastAsia="仿宋_GB2312" w:cs="仿宋_GB2312"/>
          <w:color w:val="auto"/>
          <w:sz w:val="32"/>
          <w:szCs w:val="32"/>
          <w:highlight w:val="none"/>
          <w:lang w:val="en-US" w:eastAsia="zh-CN"/>
        </w:rPr>
        <w:t>是继续严格执行八项规定，节约预算资金使用，减少不必要的公务活动，压缩三公经费开支。</w:t>
      </w:r>
    </w:p>
    <w:p>
      <w:pPr>
        <w:widowControl/>
        <w:wordWrap/>
        <w:adjustRightInd/>
        <w:snapToGrid/>
        <w:spacing w:before="0" w:after="0" w:line="590" w:lineRule="exact"/>
        <w:ind w:left="0" w:leftChars="0" w:right="0" w:firstLine="642" w:firstLineChars="200"/>
        <w:jc w:val="both"/>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4.72</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36.31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万元。具体情况如下：</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。因公出国（境）团组数0个，因公出国（境）人次数0人。</w:t>
      </w:r>
    </w:p>
    <w:p>
      <w:pPr>
        <w:widowControl/>
        <w:wordWrap/>
        <w:adjustRightInd/>
        <w:snapToGrid/>
        <w:spacing w:before="0" w:after="0" w:line="600" w:lineRule="exact"/>
        <w:ind w:left="0" w:leftChars="0" w:right="0" w:firstLine="64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4.72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36.31</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继续严格执行八项规定，节约预算资金使用，减少不必要的公务活动，压缩三公经费开支。</w:t>
      </w:r>
      <w:r>
        <w:rPr>
          <w:rFonts w:hint="eastAsia" w:ascii="仿宋_GB2312" w:hAnsi="仿宋_GB2312" w:eastAsia="仿宋_GB2312" w:cs="仿宋_GB2312"/>
          <w:sz w:val="32"/>
          <w:szCs w:val="32"/>
          <w:highlight w:val="none"/>
        </w:rPr>
        <w:t>其中：</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4.72</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车辆燃油、维修、车辆保险等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wordWrap/>
        <w:adjustRightInd/>
        <w:snapToGrid/>
        <w:spacing w:before="0" w:after="0" w:line="590" w:lineRule="exact"/>
        <w:ind w:left="0" w:leftChars="0" w:right="0" w:firstLine="642"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情况说明：我单位</w:t>
      </w:r>
      <w:r>
        <w:rPr>
          <w:rFonts w:hint="eastAsia" w:ascii="仿宋_GB2312" w:hAnsi="仿宋_GB2312" w:eastAsia="仿宋_GB2312" w:cs="仿宋_GB2312"/>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wordWrap/>
        <w:adjustRightInd/>
        <w:snapToGrid/>
        <w:spacing w:before="0" w:after="0" w:line="59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wordWrap/>
        <w:adjustRightInd/>
        <w:snapToGrid/>
        <w:spacing w:before="0" w:after="0" w:line="590" w:lineRule="exact"/>
        <w:ind w:left="0" w:leftChars="0" w:right="0" w:firstLine="640" w:firstLineChars="200"/>
        <w:jc w:val="both"/>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before="0" w:after="0" w:line="360" w:lineRule="auto"/>
        <w:ind w:left="0" w:leftChars="0"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中心组织有关人员成立了预算绩效运行管理工作小组，对2021年度预算绩效运行实施日常监控和监督管理，通过实地抽查、人员面谈等收集评价资料，范围覆盖了2021年全部绩效支出，实时掌握财政资金运行效率及效果，落实绩效运行责任。</w:t>
      </w:r>
    </w:p>
    <w:p>
      <w:pPr>
        <w:widowControl/>
        <w:wordWrap/>
        <w:adjustRightInd/>
        <w:snapToGrid/>
        <w:spacing w:before="0" w:after="0" w:line="360" w:lineRule="auto"/>
        <w:ind w:left="0" w:leftChars="0"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before="0" w:after="0"/>
        <w:ind w:left="0" w:leftChars="0"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预算执行率达到100%，财政资金的使用严格按照财政部门工作要求，加强财务管理，规范支出手续，保证资金使用依法依规，有效保证了各项工作的开展，取得了良好的社会效益。二是项目绩效自评情况：</w:t>
      </w:r>
      <w:r>
        <w:rPr>
          <w:rFonts w:hint="eastAsia" w:ascii="仿宋_GB2312" w:hAnsi="Times New Roman" w:eastAsia="仿宋_GB2312" w:cs="Times New Roman"/>
          <w:kern w:val="2"/>
          <w:sz w:val="32"/>
          <w:szCs w:val="32"/>
          <w:lang w:val="en-US" w:eastAsia="zh-CN" w:bidi="ar-SA"/>
        </w:rPr>
        <w:t>3个项目分别按照实施内容和目标进行开展，全部执行完毕，</w:t>
      </w:r>
      <w:r>
        <w:rPr>
          <w:rFonts w:hint="eastAsia" w:ascii="仿宋" w:hAnsi="仿宋" w:eastAsia="仿宋" w:cs="仿宋"/>
          <w:color w:val="000000"/>
          <w:kern w:val="0"/>
          <w:sz w:val="32"/>
          <w:szCs w:val="32"/>
          <w:lang w:val="en-US" w:eastAsia="zh-CN"/>
        </w:rPr>
        <w:t>项目预算执行、产出指标、经济指标、服务对象满意度等指标完成较好，</w:t>
      </w:r>
      <w:r>
        <w:rPr>
          <w:rFonts w:hint="eastAsia" w:ascii="仿宋_GB2312" w:hAnsi="Times New Roman" w:eastAsia="仿宋_GB2312" w:cs="Times New Roman"/>
          <w:kern w:val="2"/>
          <w:sz w:val="32"/>
          <w:szCs w:val="32"/>
          <w:lang w:val="en-US" w:eastAsia="zh-CN" w:bidi="ar-SA"/>
        </w:rPr>
        <w:t>达到了预期效果，有力的保证了我单位工作业务的开展，项目的实施效果得到了实施对象的满意和认可</w:t>
      </w:r>
      <w:r>
        <w:rPr>
          <w:rFonts w:hint="eastAsia" w:ascii="仿宋_GB2312" w:hAnsi="仿宋_GB2312" w:eastAsia="仿宋_GB2312" w:cs="仿宋_GB2312"/>
          <w:color w:val="auto"/>
          <w:sz w:val="32"/>
          <w:szCs w:val="32"/>
          <w:highlight w:val="none"/>
          <w:lang w:val="en-US" w:eastAsia="zh-CN"/>
        </w:rPr>
        <w:t>。我单位共有3个项目批复了绩效目标，项目金额47.70万元。</w:t>
      </w:r>
    </w:p>
    <w:p>
      <w:pPr>
        <w:widowControl/>
        <w:wordWrap/>
        <w:adjustRightInd/>
        <w:snapToGrid/>
        <w:spacing w:before="0" w:after="0"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3个项目评价等级为“优”、0个项目评价等级为“良”、0个项目评价等级为“中”、0个项目评价等级为“差”。</w:t>
      </w:r>
    </w:p>
    <w:p>
      <w:pPr>
        <w:widowControl/>
        <w:wordWrap/>
        <w:adjustRightInd/>
        <w:snapToGrid/>
        <w:spacing w:before="0" w:after="0" w:line="360" w:lineRule="auto"/>
        <w:ind w:left="0" w:leftChars="0"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before="0" w:after="0"/>
        <w:ind w:left="0" w:leftChars="0" w:right="0" w:firstLine="640" w:firstLineChars="200"/>
        <w:jc w:val="both"/>
        <w:textAlignment w:val="auto"/>
        <w:rPr>
          <w:rFonts w:hint="eastAsia" w:ascii="黑体" w:hAnsi="宋体" w:eastAsia="黑体" w:cs="宋体"/>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8273C"/>
    <w:multiLevelType w:val="singleLevel"/>
    <w:tmpl w:val="F5D8273C"/>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F7F054A"/>
    <w:rsid w:val="A6FFEDC4"/>
    <w:rsid w:val="EF6F31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楷体_GB2312"/>
      <w:sz w:val="28"/>
      <w:szCs w:val="20"/>
    </w:rPr>
  </w:style>
  <w:style w:type="paragraph" w:styleId="3">
    <w:name w:val="Balloon Text"/>
    <w:basedOn w:val="1"/>
    <w:link w:val="14"/>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font51"/>
    <w:qFormat/>
    <w:uiPriority w:val="0"/>
    <w:rPr>
      <w:rFonts w:hint="eastAsia" w:ascii="宋体" w:hAnsi="宋体" w:eastAsia="宋体" w:cs="宋体"/>
      <w:color w:val="000000"/>
      <w:sz w:val="24"/>
      <w:szCs w:val="24"/>
      <w:u w:val="none"/>
    </w:rPr>
  </w:style>
  <w:style w:type="character" w:customStyle="1" w:styleId="11">
    <w:name w:val="font21"/>
    <w:qFormat/>
    <w:uiPriority w:val="0"/>
    <w:rPr>
      <w:rFonts w:hint="eastAsia" w:ascii="宋体" w:hAnsi="宋体" w:eastAsia="宋体" w:cs="宋体"/>
      <w:color w:val="000000"/>
      <w:sz w:val="22"/>
      <w:szCs w:val="22"/>
      <w:u w:val="none"/>
    </w:rPr>
  </w:style>
  <w:style w:type="character" w:customStyle="1" w:styleId="12">
    <w:name w:val="页眉 Char Char Char"/>
    <w:link w:val="5"/>
    <w:qFormat/>
    <w:uiPriority w:val="99"/>
    <w:rPr>
      <w:kern w:val="2"/>
      <w:sz w:val="18"/>
      <w:szCs w:val="18"/>
    </w:rPr>
  </w:style>
  <w:style w:type="character" w:customStyle="1" w:styleId="13">
    <w:name w:val="font11"/>
    <w:qFormat/>
    <w:uiPriority w:val="0"/>
    <w:rPr>
      <w:rFonts w:hint="eastAsia" w:ascii="宋体" w:hAnsi="宋体" w:eastAsia="宋体" w:cs="宋体"/>
      <w:color w:val="000000"/>
      <w:sz w:val="20"/>
      <w:szCs w:val="20"/>
      <w:u w:val="none"/>
    </w:rPr>
  </w:style>
  <w:style w:type="character" w:customStyle="1" w:styleId="14">
    <w:name w:val="批注框文本 Char Char Char"/>
    <w:link w:val="3"/>
    <w:qFormat/>
    <w:uiPriority w:val="99"/>
    <w:rPr>
      <w:kern w:val="2"/>
      <w:sz w:val="18"/>
      <w:szCs w:val="18"/>
    </w:rPr>
  </w:style>
  <w:style w:type="character" w:customStyle="1" w:styleId="15">
    <w:name w:val="页脚 Char Char Char"/>
    <w:link w:val="4"/>
    <w:qFormat/>
    <w:uiPriority w:val="99"/>
    <w:rPr>
      <w:kern w:val="2"/>
      <w:sz w:val="18"/>
      <w:szCs w:val="18"/>
    </w:rPr>
  </w:style>
  <w:style w:type="character" w:customStyle="1" w:styleId="16">
    <w:name w:val="font41"/>
    <w:qFormat/>
    <w:uiPriority w:val="0"/>
    <w:rPr>
      <w:rFonts w:hint="eastAsia" w:ascii="宋体" w:hAnsi="宋体" w:eastAsia="宋体" w:cs="宋体"/>
      <w:color w:val="000000"/>
      <w:sz w:val="24"/>
      <w:szCs w:val="24"/>
      <w:u w:val="none"/>
    </w:rPr>
  </w:style>
  <w:style w:type="character" w:customStyle="1" w:styleId="1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7293</Words>
  <Characters>8847</Characters>
  <Lines>60</Lines>
  <Paragraphs>16</Paragraphs>
  <TotalTime>3</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2007-12-01T19:41:00Z</dcterms:created>
  <dc:creator>管理者</dc:creator>
  <cp:lastModifiedBy>李阳</cp:lastModifiedBy>
  <cp:lastPrinted>2023-05-11T09:29:00Z</cp:lastPrinted>
  <dcterms:modified xsi:type="dcterms:W3CDTF">2023-05-22T15:17:49Z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596D613DD969425F99F8A45C79425E84_13</vt:lpwstr>
  </property>
</Properties>
</file>