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val="en-US" w:eastAsia="zh-CN"/>
        </w:rPr>
      </w:pPr>
      <w:r>
        <w:rPr>
          <w:rFonts w:hint="eastAsia" w:ascii="黑体" w:hAnsi="黑体" w:eastAsia="黑体" w:cs="黑体"/>
          <w:sz w:val="52"/>
          <w:szCs w:val="52"/>
          <w:highlight w:val="none"/>
          <w:lang w:val="en-US" w:eastAsia="zh-CN"/>
        </w:rPr>
        <w:t>许昌市市场监督管理局（本级）</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单位决算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许昌市市场监督管理局（</w:t>
      </w:r>
      <w:r>
        <w:rPr>
          <w:rFonts w:hint="eastAsia" w:ascii="黑体" w:hAnsi="黑体" w:eastAsia="黑体" w:cs="黑体"/>
          <w:sz w:val="32"/>
          <w:szCs w:val="32"/>
          <w:highlight w:val="none"/>
          <w:lang w:val="en-US" w:eastAsia="zh-CN"/>
        </w:rPr>
        <w:t>本级</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 </w:t>
      </w:r>
      <w:r>
        <w:rPr>
          <w:rFonts w:hint="eastAsia" w:ascii="黑体" w:hAnsi="黑体" w:eastAsia="黑体" w:cs="黑体"/>
          <w:sz w:val="48"/>
          <w:szCs w:val="48"/>
          <w:highlight w:val="none"/>
          <w:lang w:eastAsia="zh-CN"/>
        </w:rPr>
        <w:t>许昌市市场监督管理局</w:t>
      </w:r>
    </w:p>
    <w:p>
      <w:pPr>
        <w:widowControl/>
        <w:numPr>
          <w:ilvl w:val="0"/>
          <w:numId w:val="0"/>
        </w:numPr>
        <w:ind w:firstLine="3600" w:firstLineChars="750"/>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lang w:eastAsia="zh-CN"/>
        </w:rPr>
        <w:t>（</w:t>
      </w:r>
      <w:r>
        <w:rPr>
          <w:rFonts w:hint="eastAsia" w:ascii="黑体" w:hAnsi="黑体" w:eastAsia="黑体" w:cs="黑体"/>
          <w:sz w:val="48"/>
          <w:szCs w:val="48"/>
          <w:highlight w:val="none"/>
          <w:lang w:val="en-US" w:eastAsia="zh-CN"/>
        </w:rPr>
        <w:t>本级</w:t>
      </w:r>
      <w:r>
        <w:rPr>
          <w:rFonts w:hint="eastAsia" w:ascii="黑体" w:hAnsi="黑体" w:eastAsia="黑体" w:cs="黑体"/>
          <w:sz w:val="48"/>
          <w:szCs w:val="48"/>
          <w:highlight w:val="none"/>
          <w:lang w:eastAsia="zh-CN"/>
        </w:rPr>
        <w:t>）</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一）负责全市市场综合监督管理。组织实施国家市场监督管理有关法律和政策，起草市场监督管理有关规范性文件，组织实施质量强市战略、食品安全战略、标准化战略、知识产权战略。拟订并组织实施有关规划，规范和维护市场秩序，营造诚实守信公平竞争的市场环境。</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负责全市市场主体统一登记注册。组织指导全市各类企业、农民专业合作社和从事经营活动的单位、个体工商户以及外国(地区）企业常驻代表机构等市场主体的登记注册工作。建立市场主体信息公示和共享机制，依法公示和共享有关信息，加强信用监管，推动市场主体信用体系建设。</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（三）负责组织和指导全市市场监管综合执法工作。指导全市市场监管综合执法队伍建设。组织查处重大复杂案件、跨区域执法的组织协调工作，规范全市市场监管行政执法行为。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（四）负责全市反垄断统一执法。统筹推进竞争政策实施，指导实施公平竞争审查制度。根据授权，承担相关反垄断执法工作。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五）负责监督管理市场秩序。依法监督管理市场交易、网络商品交易及有关服务的行为。组织指导查处不正当竞争、违法直销、传销、侵犯商标专利知识产权和制售假冒伪劣行为。组织指导全市价格监督检查工作。指导全市广告业发展，监督管理广告活动。指导查处无照生产经营和相关无证生产经营行为。拟订全市消费者权益保护的具体措施，指导许昌市消费者协会开展消费维权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六）负责全市宏观质量管理。拟订并实施质量发展的制度措施。统筹全市质量基础设施建设与应用。会同有关部门组织实施重大工程设备质量监理制度，组织重大产品质量事故调查，建立并统一实施缺陷产品召回制度，监督管理产品防伪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（七）负责全市产品质量安全监督管理。组织实施产品质量安全风险监控和监督抽查工作。组织实施质量分级制度、质量安全追溯制度。负责全市工业产品生产许可管理工作。负责全市纤维质量监督工作。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（八）负责全市特种设备安全监督管理。综合管理特种设备安全监察、监督工作，监督检查高耗能特种设备节能标准和锅炉环境保护标准的执行情况。组织指导特种设备安全事故调查工作。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九）负责全市食品安全监督管理综合协调。组织拟订全市食品安全相关措施并组织实施。负责食品安全应急体系建设，组织指导重大食品安全事件应急处置和调查处理工作。建立健全食品安全重要信息直报制度。</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十）负责全市食品安全监督管理。建立覆盖全市食品生产、流通、消费全过程的监督检查制度和隐患排查治理机制并组织实施，防范区域性、系统性食品安全风险。推动建立食品生产经营者落实主体责任的机制，指导企业建立健全食品安全追溯体系。组织开展全市食品及相关产品安全监督抽检、风险检测、核查处置和风险预警、风险交流工作。组织实施全市特殊食品注册、备案和监督管理相关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（十一）负责统一管理全市计量工作。推行法定计量单位和国家计量制度，管理计量器具及量值传递和比对工作。规范、监督商品量和市场计量行为。</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（十二）负责统一管理全市标准化工作。组织实施标准化法律法规。依法承担地方标准组织制定工作。依法组织实施地方标准、团体标准、企业标准报批和备案工作。管理全市商品条码工作。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（十三）负责统一管理全市检验检测工作。拟订全市检验检测工作制度并组织实施，推进检验检测机构改革，规范检测检验市场，完善检测检验体系，指导协调检验检测行业发展。</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（十四）负责统一管理、监督和综合协调全市认证认可工作。组织实施国家统一的认证认可和合格评定监督管理制度。</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十五）负责全市知识产权监督管理和保护运用。拟订实施知识产权创造、保护、运用和交易运营的规范性文件。建设完善知识产权保护体系、公共服务体系、指导商标专利执法，保护知识产权，促进知识产权创造和运用。</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（十六）负责市场监督管理科技和信息化建设、新闻宣传、对外交流与合作。按规定承担技术性贸易措施有关工作。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（十七）负责促进全市非公经济发展，指导、协调全市市场监督管理系统开展小微企业、个体工商户、专业市场党建工作。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十八）负责全市药品（含中药、民族药，下同）、医疗器械和化妆品安全监督管理。贯彻执行药品、医疗器械和化妆品法律法规，组织起草相关规范性文件并监督实施。贯彻执行鼓励药品、医疗器械和化妆品新技术新产品的管理与服务政策。</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十九）负责全市药品、医疗器械和化妆品标准管理。监督实施国家药品、医疗器械和化妆品标准和分类管理制度。依法制定地方中药材标准、中药饮片炮制规范并监督实施。配合实施中药品种保护制度和国家基本药物制度。</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（二十）负责全市药品、医疗器械和化妆品注册管理。负责药品、医疗器械和化妆品生产环节的许可、备案，负责药品批发许可、零售连锁总部许可、互联网销售第三方平台备案。</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（二十一）负责全市药品、医疗器械和化妆品质量管理。监督实施生产质量管理规范，监督和指导实施药品经营、使用质量管理规范。</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十二）负责组织指导全市药品、医疗器械和化妆品监督检查。依法查处药品、医疗器械和化妆品生产环节，以及药品批发、零售连锁总部、互联网销售第三方平台的违法行为。组织药品、医疗器械和化妆品质量抽查检验，定期发布质量公告。监督实施问题产品召回和处置。</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十三）负责全市药品、医疗器械和化妆品上市后风险管理。组织开展药品不良反应、医疗器械不良事件和化妆品不良反应的监测、评价和处置工作。依法承担药品、医疗器械和化妆品安全风险监测和应急管理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（二十四）负责全市执业药师资格准入管理。组织实施执业药师资格准入制度，负责执业药师注册工作。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（二十五）负责拟订全市药品、医疗器械和化妆品安全科技发展规划并组织实施，推动检验检测能力建设和信息化建设。</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ind w:left="0" w:leftChars="0" w:right="0" w:rightChars="0" w:firstLine="640" w:firstLineChars="200"/>
        <w:jc w:val="both"/>
        <w:textAlignment w:val="auto"/>
        <w:outlineLvl w:val="9"/>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（二十六）负责开展全市药品、医疗器械和化妆品安全宣传、教育培训、队伍建设、对外交流与合作。推进信用体系建设。</w:t>
      </w:r>
    </w:p>
    <w:p>
      <w:pPr>
        <w:widowControl/>
        <w:ind w:firstLine="640" w:firstLineChars="200"/>
        <w:jc w:val="left"/>
        <w:outlineLvl w:val="1"/>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（二十七）完成市委、市政府交办的其他任务。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许昌市市场监督管理局内设机构33个，包括：</w:t>
      </w:r>
      <w:r>
        <w:rPr>
          <w:rFonts w:hint="eastAsia" w:ascii="仿宋_GB2312" w:hAnsi="仿宋_GB2312" w:eastAsia="仿宋_GB2312" w:cs="仿宋_GB2312"/>
          <w:sz w:val="32"/>
          <w:szCs w:val="32"/>
          <w:highlight w:val="none"/>
          <w:lang w:val="en-US" w:eastAsia="zh-CN"/>
        </w:rPr>
        <w:t>办公室、综合规划科、法规科、执法稽查和案件管理科、政务服务科、信用监督管理科、反垄断和反不正当竞争科、网络交易监督管理科、广告监督管理科、质量发展科、产品质量安全监督管理科、食品安全协调科、食品生产安全监督管理科、食品经营安全监督管理科、餐饮食品安全监督管理科、食品安全抽检监测科、特种设备安全监察科、计量科、标准技术管理科、认证监督管理科、检验检测监督管理科、知识产权科、非公经济促进科、药品监督管理科、医疗器械监督管理科、化妆品监督管理科、标准创新管理科、纤维质量监督管理科、电梯安全监察科、科技和财务科、人事科</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sz w:val="32"/>
          <w:szCs w:val="32"/>
          <w:highlight w:val="none"/>
          <w:lang w:val="en-US" w:eastAsia="zh-CN"/>
        </w:rPr>
        <w:t>机关党委、离退休干部工作科</w:t>
      </w:r>
      <w:r>
        <w:rPr>
          <w:rFonts w:hint="eastAsia" w:ascii="仿宋_GB2312" w:hAnsi="仿宋_GB2312" w:eastAsia="仿宋_GB2312" w:cs="仿宋_GB2312"/>
          <w:kern w:val="0"/>
          <w:sz w:val="32"/>
          <w:szCs w:val="32"/>
          <w:highlight w:val="none"/>
        </w:rPr>
        <w:t>。</w:t>
      </w:r>
    </w:p>
    <w:p>
      <w:pPr>
        <w:widowControl/>
        <w:ind w:left="0" w:leftChars="0"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从决算单位构成看，许昌市市场监督管理局单位决算包括：本级决算（1个）。</w:t>
      </w:r>
    </w:p>
    <w:p>
      <w:pPr>
        <w:widowControl/>
        <w:ind w:left="0" w:leftChars="0"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left="0" w:leftChars="0"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1.许昌市市场监督管理局</w:t>
      </w:r>
    </w:p>
    <w:p>
      <w:pPr>
        <w:widowControl/>
        <w:jc w:val="left"/>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8"/>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62"/>
        <w:gridCol w:w="819"/>
        <w:gridCol w:w="1368"/>
        <w:gridCol w:w="4387"/>
        <w:gridCol w:w="819"/>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62"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81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6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38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1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1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62"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：许昌市市场监督管理局（本级）</w:t>
            </w:r>
          </w:p>
        </w:tc>
        <w:tc>
          <w:tcPr>
            <w:tcW w:w="81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6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38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1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01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84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221"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6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0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1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36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19"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0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4,251.73</w:t>
            </w: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6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6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4,252.97</w:t>
            </w: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6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1,051.59</w:t>
            </w: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38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1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19"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6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5,304.56</w:t>
            </w:r>
          </w:p>
        </w:tc>
        <w:tc>
          <w:tcPr>
            <w:tcW w:w="438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1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1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16"/>
        <w:gridCol w:w="222"/>
        <w:gridCol w:w="222"/>
        <w:gridCol w:w="3956"/>
        <w:gridCol w:w="1103"/>
        <w:gridCol w:w="1103"/>
        <w:gridCol w:w="569"/>
        <w:gridCol w:w="589"/>
        <w:gridCol w:w="589"/>
        <w:gridCol w:w="589"/>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24"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2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24"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：许昌市市场监督管理局（本级）</w:t>
            </w: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2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1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51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9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9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29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29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51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12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1"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1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1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1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0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4,252.97</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4,251.73</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3,079.15</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3,077.91</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3,067.86</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3,066.62</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2,813.84</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2,812.60</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2013802</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137.86</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137.86</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116.16</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116.16</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599.81</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599.81</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577.29</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577.29</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446.45</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446.45</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130.84</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130.84</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124.56</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124.56</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124.56</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124.56</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62.48</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62.48</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81"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121"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62.08</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62.08</w:t>
            </w: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1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16"/>
        <w:gridCol w:w="222"/>
        <w:gridCol w:w="222"/>
        <w:gridCol w:w="3956"/>
        <w:gridCol w:w="1103"/>
        <w:gridCol w:w="1189"/>
        <w:gridCol w:w="1201"/>
        <w:gridCol w:w="524"/>
        <w:gridCol w:w="524"/>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45"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5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45"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：许昌市市场监督管理局（本级）</w:t>
            </w: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5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31"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5"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7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7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7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3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3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253"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3"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53"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7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7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55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5,296.95</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3,841.61</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1,455.34</w:t>
            </w: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4,085.56</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3,079.67</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1,005.89</w:t>
            </w: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4,074.27</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3,068.38</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1,005.89</w:t>
            </w: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3,068.38</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3,068.38</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2013802</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828.10</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828.10</w:t>
            </w: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177.79</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177.79</w:t>
            </w: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624.41</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624.41</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601.89</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601.89</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471.05</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471.05</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130.84</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130.84</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137.52</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137.52</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137.52</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137.52</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70.30</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70.30</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2"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253"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67.23</w:t>
            </w:r>
          </w:p>
        </w:tc>
        <w:tc>
          <w:tcPr>
            <w:tcW w:w="47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67.23</w:t>
            </w:r>
          </w:p>
        </w:tc>
        <w:tc>
          <w:tcPr>
            <w:tcW w:w="47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16"/>
        <w:gridCol w:w="436"/>
        <w:gridCol w:w="1257"/>
        <w:gridCol w:w="3516"/>
        <w:gridCol w:w="436"/>
        <w:gridCol w:w="1096"/>
        <w:gridCol w:w="1254"/>
        <w:gridCol w:w="946"/>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17"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6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0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5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17"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：许昌市市场监督管理局（本级）</w:t>
            </w:r>
          </w:p>
        </w:tc>
        <w:tc>
          <w:tcPr>
            <w:tcW w:w="16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20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9"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5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54"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145"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21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6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0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6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35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7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1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8"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6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9"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6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7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4,251.73</w:t>
            </w: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4,085.47</w:t>
            </w:r>
          </w:p>
        </w:tc>
        <w:tc>
          <w:tcPr>
            <w:tcW w:w="46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4,085.47</w:t>
            </w: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46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624.41</w:t>
            </w:r>
          </w:p>
        </w:tc>
        <w:tc>
          <w:tcPr>
            <w:tcW w:w="46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624.41</w:t>
            </w: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137.52</w:t>
            </w:r>
          </w:p>
        </w:tc>
        <w:tc>
          <w:tcPr>
            <w:tcW w:w="46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137.52</w:t>
            </w: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6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4,251.73</w:t>
            </w: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5,296.85</w:t>
            </w:r>
          </w:p>
        </w:tc>
        <w:tc>
          <w:tcPr>
            <w:tcW w:w="46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5,296.85</w:t>
            </w: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6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1,045.12</w:t>
            </w: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6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1,045.12</w:t>
            </w:r>
          </w:p>
        </w:tc>
        <w:tc>
          <w:tcPr>
            <w:tcW w:w="120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0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1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9"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6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5,296.85</w:t>
            </w:r>
          </w:p>
        </w:tc>
        <w:tc>
          <w:tcPr>
            <w:tcW w:w="120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68"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5,296.85</w:t>
            </w:r>
          </w:p>
        </w:tc>
        <w:tc>
          <w:tcPr>
            <w:tcW w:w="46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5,296.85</w:t>
            </w:r>
          </w:p>
        </w:tc>
        <w:tc>
          <w:tcPr>
            <w:tcW w:w="35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7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29"/>
        <w:gridCol w:w="264"/>
        <w:gridCol w:w="266"/>
        <w:gridCol w:w="4734"/>
        <w:gridCol w:w="1318"/>
        <w:gridCol w:w="1318"/>
        <w:gridCol w:w="1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27"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9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7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83"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27"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：许昌市市场监督管理局（本级）</w:t>
            </w:r>
          </w:p>
        </w:tc>
        <w:tc>
          <w:tcPr>
            <w:tcW w:w="9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7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83"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84"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15"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670"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6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8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71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70"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8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70"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8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8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8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5,296.85</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3,841.51</w:t>
            </w:r>
          </w:p>
        </w:tc>
        <w:tc>
          <w:tcPr>
            <w:tcW w:w="6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4,085.47</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3,079.58</w:t>
            </w:r>
          </w:p>
        </w:tc>
        <w:tc>
          <w:tcPr>
            <w:tcW w:w="6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6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6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市场监督管理事务</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4,074.18</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3,068.29</w:t>
            </w:r>
          </w:p>
        </w:tc>
        <w:tc>
          <w:tcPr>
            <w:tcW w:w="6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2013801</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3,068.29</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3,068.29</w:t>
            </w:r>
          </w:p>
        </w:tc>
        <w:tc>
          <w:tcPr>
            <w:tcW w:w="6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2013802</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828.10</w:t>
            </w:r>
          </w:p>
        </w:tc>
        <w:tc>
          <w:tcPr>
            <w:tcW w:w="4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2013899</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其他市场监督管理事务</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177.79</w:t>
            </w:r>
          </w:p>
        </w:tc>
        <w:tc>
          <w:tcPr>
            <w:tcW w:w="4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4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4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c>
          <w:tcPr>
            <w:tcW w:w="46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68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624.41</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624.41</w:t>
            </w:r>
          </w:p>
        </w:tc>
        <w:tc>
          <w:tcPr>
            <w:tcW w:w="6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601.89</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601.89</w:t>
            </w:r>
          </w:p>
        </w:tc>
        <w:tc>
          <w:tcPr>
            <w:tcW w:w="6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471.05</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471.05</w:t>
            </w:r>
          </w:p>
        </w:tc>
        <w:tc>
          <w:tcPr>
            <w:tcW w:w="6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130.84</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130.84</w:t>
            </w:r>
          </w:p>
        </w:tc>
        <w:tc>
          <w:tcPr>
            <w:tcW w:w="6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w:t>
            </w:r>
          </w:p>
        </w:tc>
        <w:tc>
          <w:tcPr>
            <w:tcW w:w="6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w:t>
            </w:r>
          </w:p>
        </w:tc>
        <w:tc>
          <w:tcPr>
            <w:tcW w:w="6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137.52</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137.52</w:t>
            </w:r>
          </w:p>
        </w:tc>
        <w:tc>
          <w:tcPr>
            <w:tcW w:w="6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137.52</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137.52</w:t>
            </w:r>
          </w:p>
        </w:tc>
        <w:tc>
          <w:tcPr>
            <w:tcW w:w="6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70.30</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70.30</w:t>
            </w:r>
          </w:p>
        </w:tc>
        <w:tc>
          <w:tcPr>
            <w:tcW w:w="6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4"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67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67.23</w:t>
            </w:r>
          </w:p>
        </w:tc>
        <w:tc>
          <w:tcPr>
            <w:tcW w:w="4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67.23</w:t>
            </w:r>
          </w:p>
        </w:tc>
        <w:tc>
          <w:tcPr>
            <w:tcW w:w="68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w:t>
            </w:r>
            <w:r>
              <w:rPr>
                <w:rFonts w:hint="eastAsia" w:ascii="宋体" w:hAnsi="宋体" w:eastAsia="宋体" w:cs="宋体"/>
                <w:i w:val="0"/>
                <w:color w:val="000000"/>
                <w:kern w:val="0"/>
                <w:sz w:val="22"/>
                <w:szCs w:val="22"/>
                <w:lang w:val="en-US" w:eastAsia="zh-CN" w:bidi="ar"/>
              </w:rPr>
              <w:t>本表金额转换为万元时，因四舍五入可能存在尾差</w:t>
            </w:r>
            <w:r>
              <w:rPr>
                <w:rFonts w:hint="eastAsia" w:ascii="宋体" w:hAnsi="宋体" w:eastAsia="宋体" w:cs="宋体"/>
                <w:i w:val="0"/>
                <w:iCs w:val="0"/>
                <w:color w:val="000000"/>
                <w:kern w:val="0"/>
                <w:sz w:val="22"/>
                <w:szCs w:val="22"/>
                <w:u w:val="none"/>
                <w:lang w:val="en-US" w:eastAsia="zh-CN" w:bidi="ar"/>
              </w:rPr>
              <w:t>。</w:t>
            </w:r>
          </w:p>
        </w:tc>
      </w:tr>
    </w:tbl>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2717"/>
        <w:gridCol w:w="1182"/>
        <w:gridCol w:w="936"/>
        <w:gridCol w:w="1815"/>
        <w:gridCol w:w="945"/>
        <w:gridCol w:w="840"/>
        <w:gridCol w:w="3311"/>
        <w:gridCol w:w="1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96"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95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4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6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6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54" w:type="pct"/>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：许昌市市场监督管理局（本级）</w:t>
            </w:r>
          </w:p>
        </w:tc>
        <w:tc>
          <w:tcPr>
            <w:tcW w:w="41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640"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33"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9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67"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6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1"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28" w:type="pct"/>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95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1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3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64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3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9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167"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60"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5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4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33"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67"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60"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2,960.83</w:t>
            </w: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382.85</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579.40</w:t>
            </w: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43.86</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1,481.11</w:t>
            </w: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224.66</w:t>
            </w: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5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5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140.86</w:t>
            </w: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14.83</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70.59</w:t>
            </w: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67.23</w:t>
            </w: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40.72</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22.13</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139.32</w:t>
            </w: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256.73</w:t>
            </w: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496.03</w:t>
            </w: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73.97</w:t>
            </w: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397.07</w:t>
            </w: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w:t>
            </w: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29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167"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109.19</w:t>
            </w:r>
          </w:p>
        </w:tc>
        <w:tc>
          <w:tcPr>
            <w:tcW w:w="296"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67"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958"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3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6"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67"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6"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58"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1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3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40"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3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32.85</w:t>
            </w:r>
          </w:p>
        </w:tc>
        <w:tc>
          <w:tcPr>
            <w:tcW w:w="296"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67"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6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4"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41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3,456.86</w:t>
            </w:r>
          </w:p>
        </w:tc>
        <w:tc>
          <w:tcPr>
            <w:tcW w:w="2768" w:type="pct"/>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56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16"/>
        <w:gridCol w:w="1060"/>
        <w:gridCol w:w="951"/>
        <w:gridCol w:w="613"/>
        <w:gridCol w:w="951"/>
        <w:gridCol w:w="840"/>
        <w:gridCol w:w="951"/>
        <w:gridCol w:w="1061"/>
        <w:gridCol w:w="951"/>
        <w:gridCol w:w="613"/>
        <w:gridCol w:w="951"/>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68"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40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9"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68"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：许昌市市场监督管理局（本级）</w:t>
            </w:r>
          </w:p>
        </w:tc>
        <w:tc>
          <w:tcPr>
            <w:tcW w:w="40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4"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6"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9"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74"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225" w:type="pct"/>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8"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0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976"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32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6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04"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976" w:type="pct"/>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47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68"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6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32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04"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6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479"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8"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0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2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0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5"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7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68"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84.00</w:t>
            </w: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2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32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32.99</w:t>
            </w:r>
          </w:p>
        </w:tc>
        <w:tc>
          <w:tcPr>
            <w:tcW w:w="40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2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6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47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16"/>
        <w:gridCol w:w="268"/>
        <w:gridCol w:w="268"/>
        <w:gridCol w:w="1365"/>
        <w:gridCol w:w="1317"/>
        <w:gridCol w:w="1317"/>
        <w:gridCol w:w="1318"/>
        <w:gridCol w:w="1318"/>
        <w:gridCol w:w="1318"/>
        <w:gridCol w:w="2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46" w:type="pct"/>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9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3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46" w:type="pct"/>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：许昌市市场监督管理局</w:t>
            </w:r>
            <w:r>
              <w:rPr>
                <w:rFonts w:hint="eastAsia" w:ascii="宋体" w:hAnsi="宋体" w:cs="宋体"/>
                <w:i w:val="0"/>
                <w:iCs w:val="0"/>
                <w:color w:val="000000"/>
                <w:kern w:val="0"/>
                <w:sz w:val="20"/>
                <w:szCs w:val="20"/>
                <w:u w:val="none"/>
                <w:lang w:val="en-US" w:eastAsia="zh-CN" w:bidi="ar"/>
              </w:rPr>
              <w:t>（本级）</w:t>
            </w:r>
          </w:p>
        </w:tc>
        <w:tc>
          <w:tcPr>
            <w:tcW w:w="9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85"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68" w:type="pct"/>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31"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27"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6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46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404"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73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8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6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6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3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68"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27"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27"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42" w:type="pct"/>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85" w:type="pct"/>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46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7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说明：我</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没有政府性基金收入，也没有使用政府性基金安排的支出，故本表无数据。</w:t>
      </w: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pStyle w:val="6"/>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left="0" w:leftChars="0"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left="0" w:leftChars="0"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w:t>
      </w:r>
      <w:r>
        <w:rPr>
          <w:rFonts w:hint="eastAsia" w:ascii="仿宋_GB2312" w:hAnsi="仿宋_GB2312" w:eastAsia="仿宋_GB2312"/>
          <w:sz w:val="32"/>
          <w:szCs w:val="24"/>
        </w:rPr>
        <w:t>为5,304.56万元。与上年度相比，收、支总计各减少</w:t>
      </w:r>
      <w:r>
        <w:rPr>
          <w:rFonts w:hint="eastAsia" w:ascii="仿宋_GB2312" w:hAnsi="仿宋_GB2312" w:eastAsia="仿宋_GB2312"/>
          <w:sz w:val="32"/>
          <w:szCs w:val="24"/>
          <w:lang w:val="en-US" w:eastAsia="zh-CN"/>
        </w:rPr>
        <w:t>0.35</w:t>
      </w:r>
      <w:r>
        <w:rPr>
          <w:rFonts w:hint="eastAsia" w:ascii="仿宋_GB2312" w:hAnsi="仿宋_GB2312" w:eastAsia="仿宋_GB2312"/>
          <w:sz w:val="32"/>
          <w:szCs w:val="24"/>
        </w:rPr>
        <w:t>万元，下降</w:t>
      </w:r>
      <w:r>
        <w:rPr>
          <w:rFonts w:hint="eastAsia" w:ascii="仿宋_GB2312" w:hAnsi="仿宋_GB2312" w:eastAsia="仿宋_GB2312"/>
          <w:sz w:val="32"/>
          <w:szCs w:val="24"/>
          <w:lang w:val="en-US" w:eastAsia="zh-CN"/>
        </w:rPr>
        <w:t>0.01</w:t>
      </w:r>
      <w:r>
        <w:rPr>
          <w:rFonts w:hint="eastAsia" w:ascii="仿宋_GB2312" w:hAnsi="仿宋_GB2312" w:eastAsia="仿宋_GB2312"/>
          <w:sz w:val="32"/>
          <w:szCs w:val="24"/>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充分合理利用存量资金，年底无结转资金</w:t>
      </w:r>
      <w:r>
        <w:rPr>
          <w:rFonts w:hint="eastAsia" w:ascii="仿宋_GB2312" w:hAnsi="仿宋_GB2312" w:eastAsia="仿宋_GB2312" w:cs="仿宋_GB2312"/>
          <w:sz w:val="32"/>
          <w:szCs w:val="32"/>
          <w:highlight w:val="none"/>
        </w:rPr>
        <w:t>。</w:t>
      </w:r>
    </w:p>
    <w:p>
      <w:pPr>
        <w:widowControl/>
        <w:spacing w:line="590" w:lineRule="exact"/>
        <w:ind w:left="0" w:leftChars="0"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left="0" w:leftChars="0" w:firstLine="640" w:firstLineChars="200"/>
        <w:rPr>
          <w:rFonts w:hint="eastAsia" w:ascii="黑体" w:hAnsi="黑体" w:eastAsia="黑体" w:cs="黑体"/>
          <w:sz w:val="32"/>
          <w:szCs w:val="32"/>
          <w:highlight w:val="none"/>
        </w:rPr>
      </w:pPr>
      <w:r>
        <w:rPr>
          <w:rFonts w:hint="eastAsia" w:ascii="仿宋_GB2312" w:hAnsi="仿宋_GB2312" w:eastAsia="仿宋_GB2312"/>
          <w:sz w:val="32"/>
          <w:szCs w:val="24"/>
        </w:rPr>
        <w:t>2021年度收入合计</w:t>
      </w:r>
      <w:r>
        <w:rPr>
          <w:rFonts w:hint="eastAsia" w:ascii="仿宋_GB2312" w:hAnsi="仿宋_GB2312" w:eastAsia="仿宋_GB2312"/>
          <w:sz w:val="32"/>
          <w:szCs w:val="24"/>
          <w:lang w:val="en-US" w:eastAsia="zh-CN"/>
        </w:rPr>
        <w:t>4252.97</w:t>
      </w:r>
      <w:r>
        <w:rPr>
          <w:rFonts w:hint="eastAsia" w:ascii="仿宋_GB2312" w:hAnsi="仿宋_GB2312" w:eastAsia="仿宋_GB2312"/>
          <w:sz w:val="32"/>
          <w:szCs w:val="24"/>
        </w:rPr>
        <w:t>万元，其中：财政拨款收入</w:t>
      </w:r>
      <w:r>
        <w:rPr>
          <w:rFonts w:hint="eastAsia" w:ascii="仿宋_GB2312" w:hAnsi="仿宋_GB2312" w:eastAsia="仿宋_GB2312"/>
          <w:sz w:val="32"/>
          <w:szCs w:val="24"/>
          <w:lang w:val="en-US" w:eastAsia="zh-CN"/>
        </w:rPr>
        <w:t>4251.73</w:t>
      </w:r>
      <w:r>
        <w:rPr>
          <w:rFonts w:hint="eastAsia" w:ascii="仿宋_GB2312" w:hAnsi="仿宋_GB2312" w:eastAsia="仿宋_GB2312"/>
          <w:sz w:val="32"/>
          <w:szCs w:val="24"/>
        </w:rPr>
        <w:t>万元，占99.</w:t>
      </w:r>
      <w:r>
        <w:rPr>
          <w:rFonts w:hint="eastAsia" w:ascii="仿宋_GB2312" w:hAnsi="仿宋_GB2312" w:eastAsia="仿宋_GB2312"/>
          <w:sz w:val="32"/>
          <w:szCs w:val="24"/>
          <w:lang w:val="en-US" w:eastAsia="zh-CN"/>
        </w:rPr>
        <w:t>9</w:t>
      </w:r>
      <w:r>
        <w:rPr>
          <w:rFonts w:hint="eastAsia" w:ascii="仿宋_GB2312" w:hAnsi="仿宋_GB2312" w:eastAsia="仿宋_GB2312"/>
          <w:sz w:val="32"/>
          <w:szCs w:val="24"/>
        </w:rPr>
        <w:t>7%；上级补助收入</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万元，占</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%；事业收入</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万元，占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rPr>
        <w:t>%；经营收入</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万元，占</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%；附属单位上缴收入</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万元，占</w:t>
      </w:r>
      <w:r>
        <w:rPr>
          <w:rFonts w:hint="eastAsia" w:ascii="仿宋_GB2312" w:hAnsi="仿宋_GB2312" w:eastAsia="仿宋_GB2312"/>
          <w:sz w:val="32"/>
          <w:szCs w:val="24"/>
          <w:lang w:val="en-US" w:eastAsia="zh-CN"/>
        </w:rPr>
        <w:t>0.00</w:t>
      </w:r>
      <w:r>
        <w:rPr>
          <w:rFonts w:hint="eastAsia" w:ascii="仿宋_GB2312" w:hAnsi="仿宋_GB2312" w:eastAsia="仿宋_GB2312"/>
          <w:sz w:val="32"/>
          <w:szCs w:val="24"/>
        </w:rPr>
        <w:t>%；其他收入</w:t>
      </w:r>
      <w:r>
        <w:rPr>
          <w:rFonts w:hint="eastAsia" w:ascii="仿宋_GB2312" w:hAnsi="仿宋_GB2312" w:eastAsia="仿宋_GB2312"/>
          <w:sz w:val="32"/>
          <w:szCs w:val="24"/>
          <w:lang w:val="en-US" w:eastAsia="zh-CN"/>
        </w:rPr>
        <w:t>1.24</w:t>
      </w:r>
      <w:r>
        <w:rPr>
          <w:rFonts w:hint="eastAsia" w:ascii="仿宋_GB2312" w:hAnsi="仿宋_GB2312" w:eastAsia="仿宋_GB2312"/>
          <w:sz w:val="32"/>
          <w:szCs w:val="24"/>
        </w:rPr>
        <w:t>万元，占0.</w:t>
      </w:r>
      <w:r>
        <w:rPr>
          <w:rFonts w:hint="eastAsia" w:ascii="仿宋_GB2312" w:hAnsi="仿宋_GB2312" w:eastAsia="仿宋_GB2312"/>
          <w:sz w:val="32"/>
          <w:szCs w:val="24"/>
          <w:lang w:val="en-US" w:eastAsia="zh-CN"/>
        </w:rPr>
        <w:t>03</w:t>
      </w:r>
      <w:r>
        <w:rPr>
          <w:rFonts w:hint="eastAsia" w:ascii="仿宋_GB2312" w:hAnsi="仿宋_GB2312" w:eastAsia="仿宋_GB2312"/>
          <w:sz w:val="32"/>
          <w:szCs w:val="24"/>
        </w:rPr>
        <w:t>%。</w:t>
      </w:r>
    </w:p>
    <w:p>
      <w:pPr>
        <w:widowControl/>
        <w:spacing w:line="590" w:lineRule="exact"/>
        <w:ind w:left="0" w:leftChars="0"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rPr>
        <w:t>2021年度支出合计</w:t>
      </w:r>
      <w:r>
        <w:rPr>
          <w:rFonts w:hint="eastAsia" w:ascii="仿宋_GB2312" w:hAnsi="仿宋_GB2312" w:eastAsia="仿宋_GB2312"/>
          <w:sz w:val="32"/>
          <w:szCs w:val="24"/>
          <w:lang w:val="en-US" w:eastAsia="zh-CN"/>
        </w:rPr>
        <w:t>5296.95</w:t>
      </w:r>
      <w:r>
        <w:rPr>
          <w:rFonts w:hint="eastAsia" w:ascii="仿宋_GB2312" w:hAnsi="仿宋_GB2312" w:eastAsia="仿宋_GB2312"/>
          <w:sz w:val="32"/>
          <w:szCs w:val="24"/>
        </w:rPr>
        <w:t>万元，其中：基本支出3,841.61万元，占72.52%；项目支出1,455.34万元，占27.48%；上缴上级支出</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万元，占</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%；经营支出</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万元，占</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%；对附属单位补助支出</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万元，占</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w:t>
      </w:r>
    </w:p>
    <w:p>
      <w:pPr>
        <w:widowControl/>
        <w:spacing w:line="590" w:lineRule="exact"/>
        <w:ind w:left="0" w:leftChars="0"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rPr>
        <w:t>2021年度财政拨款收、支总计均为</w:t>
      </w:r>
      <w:r>
        <w:rPr>
          <w:rFonts w:hint="eastAsia" w:ascii="仿宋_GB2312" w:hAnsi="仿宋_GB2312" w:eastAsia="仿宋_GB2312"/>
          <w:sz w:val="32"/>
          <w:szCs w:val="24"/>
          <w:lang w:val="en-US" w:eastAsia="zh-CN"/>
        </w:rPr>
        <w:t>5296.85</w:t>
      </w:r>
      <w:r>
        <w:rPr>
          <w:rFonts w:hint="eastAsia" w:ascii="仿宋_GB2312" w:hAnsi="仿宋_GB2312" w:eastAsia="仿宋_GB2312"/>
          <w:sz w:val="32"/>
          <w:szCs w:val="24"/>
        </w:rPr>
        <w:t>万元。与上年度相比，财政拨款收、支总计各</w:t>
      </w:r>
      <w:r>
        <w:rPr>
          <w:rFonts w:hint="eastAsia" w:ascii="仿宋_GB2312" w:hAnsi="仿宋_GB2312" w:eastAsia="仿宋_GB2312"/>
          <w:sz w:val="32"/>
          <w:szCs w:val="24"/>
          <w:lang w:val="en-US" w:eastAsia="zh-CN"/>
        </w:rPr>
        <w:t>增加25.05</w:t>
      </w:r>
      <w:r>
        <w:rPr>
          <w:rFonts w:hint="eastAsia" w:ascii="仿宋_GB2312" w:hAnsi="仿宋_GB2312" w:eastAsia="仿宋_GB2312"/>
          <w:sz w:val="32"/>
          <w:szCs w:val="24"/>
        </w:rPr>
        <w:t>万元，</w:t>
      </w:r>
      <w:r>
        <w:rPr>
          <w:rFonts w:hint="eastAsia" w:ascii="仿宋_GB2312" w:hAnsi="仿宋_GB2312" w:eastAsia="仿宋_GB2312"/>
          <w:sz w:val="32"/>
          <w:szCs w:val="24"/>
          <w:lang w:val="en-US" w:eastAsia="zh-CN"/>
        </w:rPr>
        <w:t>增长0.48</w:t>
      </w:r>
      <w:r>
        <w:rPr>
          <w:rFonts w:hint="eastAsia" w:ascii="仿宋_GB2312" w:hAnsi="仿宋_GB2312" w:eastAsia="仿宋_GB2312"/>
          <w:sz w:val="32"/>
          <w:szCs w:val="24"/>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财政部门增加经费保障力度，增加项目经费支出预算</w:t>
      </w:r>
      <w:r>
        <w:rPr>
          <w:rFonts w:hint="eastAsia" w:ascii="仿宋_GB2312" w:hAnsi="仿宋_GB2312" w:eastAsia="仿宋_GB2312" w:cs="仿宋_GB2312"/>
          <w:sz w:val="32"/>
          <w:szCs w:val="32"/>
          <w:highlight w:val="none"/>
        </w:rPr>
        <w:t>。</w:t>
      </w:r>
    </w:p>
    <w:p>
      <w:pPr>
        <w:widowControl/>
        <w:spacing w:line="590" w:lineRule="exact"/>
        <w:ind w:left="0" w:leftChars="0"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left="0" w:leftChars="0"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rPr>
        <w:t>2021年度一般公共预算财政拨款支出5,296.85万元，占支出合计的</w:t>
      </w:r>
      <w:r>
        <w:rPr>
          <w:rFonts w:hint="eastAsia" w:ascii="仿宋_GB2312" w:hAnsi="仿宋_GB2312" w:eastAsia="仿宋_GB2312"/>
          <w:sz w:val="32"/>
          <w:szCs w:val="24"/>
          <w:lang w:val="en-US" w:eastAsia="zh-CN"/>
        </w:rPr>
        <w:t>99.998</w:t>
      </w:r>
      <w:r>
        <w:rPr>
          <w:rFonts w:hint="eastAsia" w:ascii="仿宋_GB2312" w:hAnsi="仿宋_GB2312" w:eastAsia="仿宋_GB2312"/>
          <w:sz w:val="32"/>
          <w:szCs w:val="24"/>
        </w:rPr>
        <w:t>%。与上年度相比，一般公共预算财政拨款支出增加704.6万元，增长15.34%。</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财政部门增加经费保障力度，增加项目经费支出预算</w:t>
      </w:r>
      <w:r>
        <w:rPr>
          <w:rFonts w:hint="eastAsia" w:ascii="仿宋_GB2312" w:hAnsi="仿宋_GB2312" w:eastAsia="仿宋_GB2312" w:cs="仿宋_GB2312"/>
          <w:sz w:val="32"/>
          <w:szCs w:val="32"/>
          <w:highlight w:val="none"/>
        </w:rPr>
        <w:t>。</w:t>
      </w:r>
    </w:p>
    <w:p>
      <w:pPr>
        <w:widowControl/>
        <w:spacing w:line="590" w:lineRule="exact"/>
        <w:ind w:left="0" w:leftChars="0"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left="0" w:leftChars="0"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5296.85</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一般公共服务（类）支出4085.47万元，占77.13%；科学技术（类）支出449.45万元，占8.49%；社会保障和就业（类）支出624.41万元，占11.79%；卫生健康（类）支出137.52万元，占2.60%</w:t>
      </w:r>
      <w:r>
        <w:rPr>
          <w:rFonts w:hint="eastAsia" w:ascii="仿宋_GB2312" w:hAnsi="仿宋_GB2312" w:eastAsia="仿宋_GB2312" w:cs="仿宋_GB2312"/>
          <w:sz w:val="32"/>
          <w:szCs w:val="32"/>
          <w:highlight w:val="none"/>
        </w:rPr>
        <w:t>。</w:t>
      </w:r>
    </w:p>
    <w:p>
      <w:pPr>
        <w:widowControl/>
        <w:spacing w:line="590" w:lineRule="exact"/>
        <w:ind w:left="0" w:leftChars="0"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left="0" w:leftChars="0"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 w:hAnsi="仿宋" w:eastAsia="仿宋" w:cs="仿宋"/>
          <w:sz w:val="32"/>
          <w:szCs w:val="32"/>
          <w:lang w:val="en-US" w:eastAsia="zh-CN"/>
        </w:rPr>
        <w:t>3280.05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5296.85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161.49</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年初预算为11.29万元，支出决算为11.29万元，完成年初预算的100.00%。决算数与年初预算数不存在差异。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val="en-US" w:eastAsia="zh-CN"/>
        </w:rPr>
        <w:t>一般公共服务支出（类）市场监督管理事务（款）行政运行（项）。</w:t>
      </w:r>
      <w:r>
        <w:rPr>
          <w:rFonts w:hint="eastAsia" w:ascii="仿宋_GB2312" w:hAnsi="仿宋_GB2312" w:eastAsia="仿宋_GB2312" w:cs="仿宋_GB2312"/>
          <w:color w:val="auto"/>
          <w:sz w:val="32"/>
          <w:szCs w:val="32"/>
          <w:highlight w:val="none"/>
          <w:lang w:val="en-US" w:eastAsia="zh-CN"/>
        </w:rPr>
        <w:t>年初预算为2502.22万元，支出决算为3068.29万元，完成年初预算的122.62%。决算数与年初预算数存在差异的主要原因是一是使用上年结转资金支出，二是正常增资等因素财政追加部分人员经费。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val="en-US" w:eastAsia="zh-CN"/>
        </w:rPr>
        <w:t>一般公共服务支出（类）市场监督管理事务（款）一般行政管理事务（项）。</w:t>
      </w:r>
      <w:r>
        <w:rPr>
          <w:rFonts w:hint="eastAsia" w:ascii="仿宋_GB2312" w:hAnsi="仿宋_GB2312" w:eastAsia="仿宋_GB2312" w:cs="仿宋_GB2312"/>
          <w:color w:val="auto"/>
          <w:sz w:val="32"/>
          <w:szCs w:val="32"/>
          <w:highlight w:val="none"/>
          <w:lang w:val="en-US" w:eastAsia="zh-CN"/>
        </w:rPr>
        <w:t>年初预算为0.00万元，支出决算为828.10万元。决算数与年初预算数存在差异的主要原因是一是财政追加经费支出预算，二是使用上年结转资金支出。</w:t>
      </w:r>
    </w:p>
    <w:p>
      <w:pPr>
        <w:pStyle w:val="7"/>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一般公共服务支出（类）市场监督管理事务（款）其他市场监督管理事务（项）。</w:t>
      </w:r>
      <w:r>
        <w:rPr>
          <w:rFonts w:hint="eastAsia" w:ascii="仿宋_GB2312" w:hAnsi="仿宋_GB2312" w:eastAsia="仿宋_GB2312" w:cs="仿宋_GB2312"/>
          <w:color w:val="auto"/>
          <w:sz w:val="32"/>
          <w:szCs w:val="32"/>
          <w:highlight w:val="none"/>
          <w:lang w:val="en-US" w:eastAsia="zh-CN"/>
        </w:rPr>
        <w:t>年初预算为31.6万元，支出决算为177.79万元，完成年初预算的562.63%。决算数与年初预算数存在差异的主要原因是一是财政追加经费支出预算，二是使用上年结转资金支出。</w:t>
      </w:r>
    </w:p>
    <w:p>
      <w:pPr>
        <w:pStyle w:val="7"/>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val="en-US" w:eastAsia="zh-CN"/>
        </w:rPr>
        <w:t>科学技术支出（类）其他科学技术支出（款）其他科学技术支出（项）。</w:t>
      </w:r>
      <w:r>
        <w:rPr>
          <w:rFonts w:hint="eastAsia" w:ascii="仿宋_GB2312" w:hAnsi="仿宋_GB2312" w:eastAsia="仿宋_GB2312" w:cs="仿宋_GB2312"/>
          <w:color w:val="auto"/>
          <w:sz w:val="32"/>
          <w:szCs w:val="32"/>
          <w:highlight w:val="none"/>
          <w:lang w:val="en-US" w:eastAsia="zh-CN"/>
        </w:rPr>
        <w:t>年初预算为0.00万元，支出决算为449.45万元。决算数与年初预算数存在差异的主要原因是财政追加经费支出预算，年初预算无此项。</w:t>
      </w:r>
    </w:p>
    <w:p>
      <w:pPr>
        <w:pStyle w:val="7"/>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年初预算为464.17万元，支出决算为471.05万元，完成年初预算的101.48%。决算数与年初预算数存在差异的主要原因是在职人员转退休致使经费支出有变动。</w:t>
      </w:r>
    </w:p>
    <w:p>
      <w:pPr>
        <w:pStyle w:val="7"/>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年初预算为134.90万元，支出决算为130.84万元，完成年初预算的96.99%。决算数与年初预算数存在差异的主要原因是养老缴费基数调整致使经费支出超年初预算数。</w:t>
      </w:r>
    </w:p>
    <w:p>
      <w:pPr>
        <w:pStyle w:val="7"/>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lang w:val="en-US" w:eastAsia="zh-CN"/>
        </w:rPr>
        <w:t>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年初预算为0.00万元，支出决算为22.52万元。决算数与年初预算数存在差异的主要原因是人员自然减员，财政追加抚恤金。</w:t>
      </w:r>
    </w:p>
    <w:p>
      <w:pPr>
        <w:pStyle w:val="7"/>
        <w:ind w:left="0" w:leftChars="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lang w:val="en-US" w:eastAsia="zh-CN"/>
        </w:rPr>
        <w:t>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年初预算为69.59万元，支出决算为70.30万元，完成年初预算的101.02%。决算数与年初预算数存在差异的主要原因是医疗保险基数调整致使经费支出超年初预算数。</w:t>
      </w:r>
    </w:p>
    <w:p>
      <w:pPr>
        <w:widowControl/>
        <w:spacing w:line="59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lang w:val="en-US" w:eastAsia="zh-CN"/>
        </w:rPr>
        <w:t>卫生健康支出（类）行政事业单位医疗（款）公务员医疗补助缴费（项）。</w:t>
      </w:r>
      <w:r>
        <w:rPr>
          <w:rFonts w:hint="eastAsia" w:ascii="仿宋_GB2312" w:hAnsi="仿宋_GB2312" w:eastAsia="仿宋_GB2312" w:cs="仿宋_GB2312"/>
          <w:color w:val="auto"/>
          <w:sz w:val="32"/>
          <w:szCs w:val="32"/>
          <w:highlight w:val="none"/>
          <w:lang w:val="en-US" w:eastAsia="zh-CN"/>
        </w:rPr>
        <w:t>年初预算为66.28万元，支出决算为67.23万元，完成年初预算的101.43%。决算数与年初预算数存在差异的主要原因医疗保险基数调整致使经费支出超年初预算数。</w:t>
      </w:r>
    </w:p>
    <w:p>
      <w:pPr>
        <w:widowControl/>
        <w:spacing w:line="590" w:lineRule="exact"/>
        <w:ind w:left="0" w:leftChars="0"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left="0" w:leftChars="0"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rPr>
        <w:t>3,841.</w:t>
      </w:r>
      <w:r>
        <w:rPr>
          <w:rFonts w:hint="eastAsia" w:ascii="仿宋_GB2312" w:hAnsi="仿宋_GB2312" w:eastAsia="仿宋_GB2312"/>
          <w:sz w:val="32"/>
          <w:szCs w:val="24"/>
          <w:lang w:val="en-US" w:eastAsia="zh-CN"/>
        </w:rPr>
        <w:t>5</w:t>
      </w:r>
      <w:r>
        <w:rPr>
          <w:rFonts w:hint="eastAsia" w:ascii="仿宋_GB2312" w:hAnsi="仿宋_GB2312" w:eastAsia="仿宋_GB2312"/>
          <w:sz w:val="32"/>
          <w:szCs w:val="24"/>
        </w:rPr>
        <w:t>1</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sz w:val="32"/>
          <w:szCs w:val="24"/>
          <w:lang w:val="en-US" w:eastAsia="zh-CN"/>
        </w:rPr>
        <w:t>3456.86</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val="en-US" w:eastAsia="zh-CN"/>
        </w:rPr>
        <w:t>职工基本医疗保险缴费、公务员医疗补助缴费、</w:t>
      </w:r>
      <w:r>
        <w:rPr>
          <w:rFonts w:hint="eastAsia" w:ascii="仿宋_GB2312" w:hAnsi="仿宋_GB2312" w:eastAsia="仿宋_GB2312" w:cs="仿宋_GB2312"/>
          <w:sz w:val="32"/>
          <w:szCs w:val="32"/>
          <w:highlight w:val="none"/>
        </w:rPr>
        <w:t>其他社会保障缴费、</w:t>
      </w:r>
      <w:r>
        <w:rPr>
          <w:rFonts w:hint="eastAsia" w:ascii="仿宋_GB2312" w:hAnsi="仿宋_GB2312" w:eastAsia="仿宋_GB2312" w:cs="仿宋_GB2312"/>
          <w:sz w:val="32"/>
          <w:szCs w:val="32"/>
          <w:highlight w:val="none"/>
          <w:lang w:val="en-US" w:eastAsia="zh-CN"/>
        </w:rPr>
        <w:t>住房公积金、</w:t>
      </w:r>
      <w:r>
        <w:rPr>
          <w:rFonts w:hint="eastAsia" w:ascii="仿宋_GB2312" w:hAnsi="仿宋_GB2312" w:eastAsia="仿宋_GB2312" w:cs="仿宋_GB2312"/>
          <w:sz w:val="32"/>
          <w:szCs w:val="32"/>
          <w:highlight w:val="none"/>
        </w:rPr>
        <w:t>其他工资福利支出、离休费、退休费、抚恤金、生活补助；公用经费</w:t>
      </w:r>
      <w:r>
        <w:rPr>
          <w:rFonts w:hint="eastAsia" w:ascii="仿宋_GB2312" w:hAnsi="仿宋_GB2312" w:eastAsia="仿宋_GB2312"/>
          <w:sz w:val="32"/>
          <w:szCs w:val="24"/>
          <w:lang w:val="en-US" w:eastAsia="zh-CN"/>
        </w:rPr>
        <w:t>384.65</w:t>
      </w:r>
      <w:r>
        <w:rPr>
          <w:rFonts w:hint="eastAsia" w:ascii="仿宋_GB2312" w:hAnsi="仿宋_GB2312" w:eastAsia="仿宋_GB2312" w:cs="仿宋_GB2312"/>
          <w:sz w:val="32"/>
          <w:szCs w:val="32"/>
          <w:highlight w:val="none"/>
        </w:rPr>
        <w:t>万元，主要包括：办公费、印刷费、水费、电费、邮电费、物业管理费、差旅费、维修（护）费、租赁费、会议费、培训费、公务接待费、劳务费、委托业务费、工会经费、福利费、公务用车运行维护费、其他交通费用、其他商品和服务支出、办公设备购置。</w:t>
      </w:r>
    </w:p>
    <w:p>
      <w:pPr>
        <w:widowControl/>
        <w:spacing w:line="590" w:lineRule="exact"/>
        <w:ind w:left="0" w:leftChars="0"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left="0" w:leftChars="0"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rPr>
        <w:t>2021年度</w:t>
      </w:r>
      <w:r>
        <w:rPr>
          <w:rFonts w:hint="default" w:ascii="Times New Roman" w:hAnsi="Times New Roman" w:eastAsia="Times New Roman"/>
          <w:sz w:val="32"/>
          <w:szCs w:val="24"/>
        </w:rPr>
        <w:t>“</w:t>
      </w:r>
      <w:r>
        <w:rPr>
          <w:rFonts w:hint="eastAsia" w:ascii="仿宋_GB2312" w:hAnsi="仿宋_GB2312" w:eastAsia="仿宋_GB2312"/>
          <w:sz w:val="32"/>
          <w:szCs w:val="24"/>
        </w:rPr>
        <w:t>三公</w:t>
      </w:r>
      <w:r>
        <w:rPr>
          <w:rFonts w:hint="default" w:ascii="Times New Roman" w:hAnsi="Times New Roman" w:eastAsia="Times New Roman"/>
          <w:sz w:val="32"/>
          <w:szCs w:val="24"/>
        </w:rPr>
        <w:t>”</w:t>
      </w:r>
      <w:r>
        <w:rPr>
          <w:rFonts w:hint="eastAsia" w:ascii="仿宋_GB2312" w:hAnsi="仿宋_GB2312" w:eastAsia="仿宋_GB2312"/>
          <w:sz w:val="32"/>
          <w:szCs w:val="24"/>
        </w:rPr>
        <w:t>经费财政拨款支出预算为84万元，支出决算为32.99万元，完成预算的39.27%。</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各单位严格执行中央八项规定，从严控制“三公”经费管理，压缩经费支出</w:t>
      </w:r>
      <w:r>
        <w:rPr>
          <w:rFonts w:hint="eastAsia" w:ascii="仿宋_GB2312" w:hAnsi="仿宋_GB2312" w:eastAsia="仿宋_GB2312" w:cs="仿宋_GB2312"/>
          <w:sz w:val="32"/>
          <w:szCs w:val="32"/>
          <w:highlight w:val="none"/>
        </w:rPr>
        <w:t>。</w:t>
      </w:r>
    </w:p>
    <w:p>
      <w:pPr>
        <w:widowControl/>
        <w:spacing w:line="590" w:lineRule="exact"/>
        <w:ind w:left="0" w:leftChars="0"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left="0" w:leftChars="0"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w:t>
      </w:r>
      <w:r>
        <w:rPr>
          <w:rFonts w:hint="eastAsia" w:ascii="仿宋_GB2312" w:hAnsi="仿宋_GB2312" w:eastAsia="仿宋_GB2312"/>
          <w:sz w:val="32"/>
          <w:szCs w:val="24"/>
        </w:rPr>
        <w:t>因公出国（境）费支出决算</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万元，占</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%；公务用车购置及运行费支出决算29.5万元，完成预算的36.87%，占89.42%；公务接待费支出决算3.49万元，完成预算的87.26%，占10.58%；</w:t>
      </w:r>
      <w:r>
        <w:rPr>
          <w:rFonts w:hint="eastAsia" w:ascii="仿宋_GB2312" w:hAnsi="仿宋_GB2312" w:eastAsia="仿宋_GB2312" w:cs="仿宋_GB2312"/>
          <w:sz w:val="32"/>
          <w:szCs w:val="32"/>
          <w:highlight w:val="none"/>
        </w:rPr>
        <w:t>具体情况如下：</w:t>
      </w:r>
    </w:p>
    <w:p>
      <w:pPr>
        <w:widowControl/>
        <w:spacing w:line="590" w:lineRule="exact"/>
        <w:ind w:left="0" w:leftChars="0"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万元，支出决算为</w:t>
      </w:r>
      <w:r>
        <w:rPr>
          <w:rFonts w:hint="eastAsia" w:ascii="仿宋_GB2312" w:hAnsi="仿宋_GB2312" w:eastAsia="仿宋_GB2312"/>
          <w:sz w:val="32"/>
          <w:szCs w:val="24"/>
          <w:lang w:eastAsia="zh-CN"/>
        </w:rPr>
        <w:t>0.00</w:t>
      </w:r>
      <w:r>
        <w:rPr>
          <w:rFonts w:hint="eastAsia" w:ascii="仿宋_GB2312" w:hAnsi="仿宋_GB2312" w:eastAsia="仿宋_GB2312"/>
          <w:sz w:val="32"/>
          <w:szCs w:val="24"/>
        </w:rPr>
        <w:t>万元</w:t>
      </w:r>
      <w:r>
        <w:rPr>
          <w:rFonts w:hint="eastAsia" w:ascii="仿宋_GB2312" w:hAnsi="仿宋_GB2312" w:eastAsia="仿宋_GB2312" w:cs="仿宋_GB2312"/>
          <w:sz w:val="32"/>
          <w:szCs w:val="32"/>
          <w:highlight w:val="none"/>
        </w:rPr>
        <w:t>。决算数与预算数不存在差异。因公出国（境）团组数0个，因公出国（境）人次数0人。</w:t>
      </w:r>
    </w:p>
    <w:p>
      <w:pPr>
        <w:widowControl/>
        <w:spacing w:line="590" w:lineRule="exact"/>
        <w:ind w:left="0" w:leftChars="0"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sz w:val="32"/>
          <w:szCs w:val="24"/>
        </w:rPr>
        <w:t>预算为</w:t>
      </w:r>
      <w:r>
        <w:rPr>
          <w:rFonts w:hint="eastAsia" w:ascii="仿宋_GB2312" w:hAnsi="仿宋_GB2312" w:eastAsia="仿宋_GB2312"/>
          <w:sz w:val="32"/>
          <w:szCs w:val="24"/>
          <w:lang w:val="en-US" w:eastAsia="zh-CN"/>
        </w:rPr>
        <w:t>80.00</w:t>
      </w:r>
      <w:r>
        <w:rPr>
          <w:rFonts w:hint="eastAsia" w:ascii="仿宋_GB2312" w:hAnsi="仿宋_GB2312" w:eastAsia="仿宋_GB2312"/>
          <w:sz w:val="32"/>
          <w:szCs w:val="24"/>
        </w:rPr>
        <w:t>万元，支出决算为29.5</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rPr>
        <w:t>万元，完成预算的36.87%</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各单位严格执行中央八项规定，从严控制“三公”经费管理，加强公务用车管理，压缩经费支出</w:t>
      </w:r>
      <w:r>
        <w:rPr>
          <w:rFonts w:hint="eastAsia" w:ascii="仿宋_GB2312" w:hAnsi="仿宋_GB2312" w:eastAsia="仿宋_GB2312" w:cs="仿宋_GB2312"/>
          <w:sz w:val="32"/>
          <w:szCs w:val="32"/>
          <w:highlight w:val="none"/>
        </w:rPr>
        <w:t>。其中：</w:t>
      </w:r>
    </w:p>
    <w:p>
      <w:pPr>
        <w:widowControl/>
        <w:spacing w:line="590" w:lineRule="exact"/>
        <w:ind w:left="0" w:leftChars="0"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left="0" w:leftChars="0"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sz w:val="32"/>
          <w:szCs w:val="24"/>
          <w:lang w:val="en-US" w:eastAsia="zh-CN"/>
        </w:rPr>
        <w:t>29.50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单位公务用车燃料费、维修费、过路过桥费、保险费等支出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30辆</w:t>
      </w:r>
      <w:r>
        <w:rPr>
          <w:rFonts w:hint="eastAsia" w:ascii="仿宋_GB2312" w:hAnsi="仿宋_GB2312" w:eastAsia="仿宋_GB2312" w:cs="仿宋_GB2312"/>
          <w:sz w:val="32"/>
          <w:szCs w:val="32"/>
          <w:highlight w:val="none"/>
        </w:rPr>
        <w:t>。</w:t>
      </w:r>
    </w:p>
    <w:p>
      <w:pPr>
        <w:widowControl/>
        <w:spacing w:line="590" w:lineRule="exact"/>
        <w:ind w:left="0" w:leftChars="0"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eastAsia="zh-CN"/>
        </w:rPr>
        <w:t>4.00</w:t>
      </w:r>
      <w:r>
        <w:rPr>
          <w:rFonts w:hint="eastAsia" w:ascii="仿宋_GB2312" w:hAnsi="仿宋_GB2312" w:eastAsia="仿宋_GB2312"/>
          <w:sz w:val="32"/>
          <w:szCs w:val="24"/>
        </w:rPr>
        <w:t>万元，支出决算为</w:t>
      </w:r>
      <w:r>
        <w:rPr>
          <w:rFonts w:hint="eastAsia" w:ascii="仿宋_GB2312" w:hAnsi="仿宋_GB2312" w:eastAsia="仿宋_GB2312"/>
          <w:sz w:val="32"/>
          <w:szCs w:val="24"/>
          <w:lang w:val="en-US" w:eastAsia="zh-CN"/>
        </w:rPr>
        <w:t>3.49</w:t>
      </w:r>
      <w:r>
        <w:rPr>
          <w:rFonts w:hint="eastAsia" w:ascii="仿宋_GB2312" w:hAnsi="仿宋_GB2312" w:eastAsia="仿宋_GB2312"/>
          <w:sz w:val="32"/>
          <w:szCs w:val="24"/>
        </w:rPr>
        <w:t>万元，完成预算的</w:t>
      </w:r>
      <w:r>
        <w:rPr>
          <w:rFonts w:hint="eastAsia" w:ascii="仿宋_GB2312" w:hAnsi="仿宋_GB2312" w:eastAsia="仿宋_GB2312"/>
          <w:sz w:val="32"/>
          <w:szCs w:val="24"/>
          <w:lang w:val="en-US" w:eastAsia="zh-CN"/>
        </w:rPr>
        <w:t>87.25</w:t>
      </w:r>
      <w:r>
        <w:rPr>
          <w:rFonts w:hint="eastAsia" w:ascii="仿宋_GB2312" w:hAnsi="仿宋_GB2312" w:eastAsia="仿宋_GB2312"/>
          <w:sz w:val="32"/>
          <w:szCs w:val="24"/>
        </w:rPr>
        <w:t>%。</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各单位严格执行中央八项规定，从严控制“三公”经费管理，加强公务接待管理，压缩经费支出</w:t>
      </w:r>
      <w:r>
        <w:rPr>
          <w:rFonts w:hint="eastAsia" w:ascii="仿宋_GB2312" w:hAnsi="仿宋_GB2312" w:eastAsia="仿宋_GB2312" w:cs="仿宋_GB2312"/>
          <w:sz w:val="32"/>
          <w:szCs w:val="32"/>
          <w:highlight w:val="none"/>
        </w:rPr>
        <w:t>。其中：</w:t>
      </w:r>
    </w:p>
    <w:p>
      <w:pPr>
        <w:widowControl/>
        <w:spacing w:line="590" w:lineRule="exact"/>
        <w:ind w:left="0" w:leftChars="0"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left="0" w:leftChars="0"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3.49</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单位按规定开支的各类公务接待</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57</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298</w:t>
      </w:r>
      <w:r>
        <w:rPr>
          <w:rFonts w:hint="eastAsia" w:ascii="仿宋_GB2312" w:hAnsi="仿宋_GB2312" w:eastAsia="仿宋_GB2312" w:cs="仿宋_GB2312"/>
          <w:sz w:val="32"/>
          <w:szCs w:val="32"/>
          <w:highlight w:val="none"/>
        </w:rPr>
        <w:t>人次（不包括陪同人员）。</w:t>
      </w:r>
    </w:p>
    <w:p>
      <w:pPr>
        <w:widowControl/>
        <w:spacing w:line="590" w:lineRule="exact"/>
        <w:ind w:left="0" w:leftChars="0"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left="0" w:leftChars="0"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项目年末结转和结余资金数额较大，我</w:t>
      </w:r>
      <w:r>
        <w:rPr>
          <w:rFonts w:hint="eastAsia" w:ascii="仿宋_GB2312" w:hAnsi="仿宋_GB2312" w:eastAsia="仿宋_GB2312" w:cs="仿宋_GB2312"/>
          <w:sz w:val="32"/>
          <w:szCs w:val="32"/>
          <w:highlight w:val="none"/>
          <w:lang w:val="en-US" w:eastAsia="zh-CN"/>
        </w:rPr>
        <w:t>单位2021年度</w:t>
      </w:r>
      <w:r>
        <w:rPr>
          <w:rFonts w:hint="eastAsia" w:ascii="仿宋_GB2312" w:hAnsi="仿宋_GB2312" w:eastAsia="仿宋_GB2312" w:cs="仿宋_GB2312"/>
          <w:sz w:val="32"/>
          <w:szCs w:val="32"/>
          <w:highlight w:val="none"/>
        </w:rPr>
        <w:t>没有政府性基金收入，也没有使用政府性基金安排的支出。</w:t>
      </w:r>
    </w:p>
    <w:p>
      <w:pPr>
        <w:widowControl/>
        <w:spacing w:line="590" w:lineRule="exact"/>
        <w:ind w:left="0" w:leftChars="0"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left="0" w:leftChars="0"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421.72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384.65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91.21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充分合理利用存量资金，年底无结转资金</w:t>
      </w:r>
      <w:r>
        <w:rPr>
          <w:rFonts w:hint="eastAsia" w:ascii="仿宋_GB2312" w:hAnsi="仿宋_GB2312" w:eastAsia="仿宋_GB2312" w:cs="仿宋_GB2312"/>
          <w:sz w:val="32"/>
          <w:szCs w:val="32"/>
          <w:highlight w:val="none"/>
        </w:rPr>
        <w:t>。</w:t>
      </w:r>
    </w:p>
    <w:p>
      <w:pPr>
        <w:widowControl/>
        <w:spacing w:line="590" w:lineRule="exact"/>
        <w:ind w:left="0" w:leftChars="0"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left="0" w:leftChars="0"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580.79</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580.79</w:t>
      </w:r>
      <w:r>
        <w:rPr>
          <w:rFonts w:hint="eastAsia" w:ascii="仿宋_GB2312" w:hAnsi="仿宋_GB2312" w:eastAsia="仿宋_GB2312" w:cs="仿宋_GB2312"/>
          <w:sz w:val="32"/>
          <w:szCs w:val="32"/>
          <w:highlight w:val="none"/>
        </w:rPr>
        <w:t>万元。</w:t>
      </w:r>
      <w:r>
        <w:rPr>
          <w:rFonts w:hint="eastAsia" w:ascii="仿宋_GB2312" w:hAnsi="仿宋_GB2312" w:eastAsia="仿宋_GB2312"/>
          <w:sz w:val="32"/>
          <w:szCs w:val="24"/>
        </w:rPr>
        <w:t>授予中小企业合同金额580.79万元，占政府采购支出总额的</w:t>
      </w:r>
      <w:r>
        <w:rPr>
          <w:rFonts w:hint="eastAsia" w:ascii="仿宋_GB2312" w:hAnsi="仿宋_GB2312" w:eastAsia="仿宋_GB2312"/>
          <w:sz w:val="32"/>
          <w:szCs w:val="24"/>
          <w:lang w:val="en-US" w:eastAsia="zh-CN"/>
        </w:rPr>
        <w:t>100.00</w:t>
      </w:r>
      <w:r>
        <w:rPr>
          <w:rFonts w:hint="eastAsia" w:ascii="仿宋_GB2312" w:hAnsi="仿宋_GB2312" w:eastAsia="仿宋_GB2312"/>
          <w:sz w:val="32"/>
          <w:szCs w:val="24"/>
        </w:rPr>
        <w:t>%,其中：授予小微企业合同金额580.79万元，占政府采购支出总额的</w:t>
      </w:r>
      <w:r>
        <w:rPr>
          <w:rFonts w:hint="eastAsia" w:ascii="仿宋_GB2312" w:hAnsi="仿宋_GB2312" w:eastAsia="仿宋_GB2312"/>
          <w:sz w:val="32"/>
          <w:szCs w:val="24"/>
          <w:lang w:val="en-US" w:eastAsia="zh-CN"/>
        </w:rPr>
        <w:t>100.00</w:t>
      </w:r>
      <w:r>
        <w:rPr>
          <w:rFonts w:hint="eastAsia" w:ascii="仿宋_GB2312" w:hAnsi="仿宋_GB2312" w:eastAsia="仿宋_GB2312"/>
          <w:sz w:val="32"/>
          <w:szCs w:val="24"/>
        </w:rPr>
        <w:t>%。</w:t>
      </w:r>
    </w:p>
    <w:p>
      <w:pPr>
        <w:widowControl/>
        <w:spacing w:line="590" w:lineRule="exact"/>
        <w:ind w:left="0" w:leftChars="0"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left="0" w:leftChars="0"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辆，其中：</w:t>
      </w:r>
      <w:r>
        <w:rPr>
          <w:rFonts w:hint="eastAsia" w:ascii="仿宋_GB2312" w:hAnsi="仿宋_GB2312" w:eastAsia="仿宋_GB2312"/>
          <w:sz w:val="32"/>
          <w:szCs w:val="24"/>
        </w:rPr>
        <w:t>省级领导干部用车0辆、主要领导干部用车0辆、机要通信用车</w:t>
      </w:r>
      <w:r>
        <w:rPr>
          <w:rFonts w:hint="eastAsia" w:ascii="仿宋_GB2312" w:hAnsi="仿宋_GB2312" w:eastAsia="仿宋_GB2312"/>
          <w:sz w:val="32"/>
          <w:szCs w:val="24"/>
          <w:lang w:val="en-US" w:eastAsia="zh-CN"/>
        </w:rPr>
        <w:t>4</w:t>
      </w:r>
      <w:r>
        <w:rPr>
          <w:rFonts w:hint="eastAsia" w:ascii="仿宋_GB2312" w:hAnsi="仿宋_GB2312" w:eastAsia="仿宋_GB2312"/>
          <w:sz w:val="32"/>
          <w:szCs w:val="24"/>
        </w:rPr>
        <w:t>辆、应急保障车0辆、执法执勤用车</w:t>
      </w:r>
      <w:r>
        <w:rPr>
          <w:rFonts w:hint="eastAsia" w:ascii="仿宋_GB2312" w:hAnsi="仿宋_GB2312" w:eastAsia="仿宋_GB2312"/>
          <w:sz w:val="32"/>
          <w:szCs w:val="24"/>
          <w:lang w:val="en-US" w:eastAsia="zh-CN"/>
        </w:rPr>
        <w:t>12</w:t>
      </w:r>
      <w:r>
        <w:rPr>
          <w:rFonts w:hint="eastAsia" w:ascii="仿宋_GB2312" w:hAnsi="仿宋_GB2312" w:eastAsia="仿宋_GB2312"/>
          <w:sz w:val="32"/>
          <w:szCs w:val="24"/>
        </w:rPr>
        <w:t>辆、特种专业技术用车</w:t>
      </w:r>
      <w:r>
        <w:rPr>
          <w:rFonts w:hint="eastAsia" w:ascii="仿宋_GB2312" w:hAnsi="仿宋_GB2312" w:eastAsia="仿宋_GB2312"/>
          <w:sz w:val="32"/>
          <w:szCs w:val="24"/>
          <w:lang w:val="en-US" w:eastAsia="zh-CN"/>
        </w:rPr>
        <w:t>3</w:t>
      </w:r>
      <w:r>
        <w:rPr>
          <w:rFonts w:hint="eastAsia" w:ascii="仿宋_GB2312" w:hAnsi="仿宋_GB2312" w:eastAsia="仿宋_GB2312"/>
          <w:sz w:val="32"/>
          <w:szCs w:val="24"/>
        </w:rPr>
        <w:t>辆、离退休干部用车</w:t>
      </w:r>
      <w:r>
        <w:rPr>
          <w:rFonts w:hint="eastAsia" w:ascii="仿宋_GB2312" w:hAnsi="仿宋_GB2312" w:eastAsia="仿宋_GB2312"/>
          <w:sz w:val="32"/>
          <w:szCs w:val="24"/>
          <w:lang w:val="en-US" w:eastAsia="zh-CN"/>
        </w:rPr>
        <w:t>2</w:t>
      </w:r>
      <w:r>
        <w:rPr>
          <w:rFonts w:hint="eastAsia" w:ascii="仿宋_GB2312" w:hAnsi="仿宋_GB2312" w:eastAsia="仿宋_GB2312"/>
          <w:sz w:val="32"/>
          <w:szCs w:val="24"/>
        </w:rPr>
        <w:t>辆、其他用车</w:t>
      </w:r>
      <w:r>
        <w:rPr>
          <w:rFonts w:hint="eastAsia" w:ascii="仿宋_GB2312" w:hAnsi="仿宋_GB2312" w:eastAsia="仿宋_GB2312"/>
          <w:sz w:val="32"/>
          <w:szCs w:val="24"/>
          <w:lang w:val="en-US" w:eastAsia="zh-CN"/>
        </w:rPr>
        <w:t>9</w:t>
      </w:r>
      <w:r>
        <w:rPr>
          <w:rFonts w:hint="eastAsia" w:ascii="仿宋_GB2312" w:hAnsi="仿宋_GB2312" w:eastAsia="仿宋_GB2312"/>
          <w:sz w:val="32"/>
          <w:szCs w:val="24"/>
        </w:rPr>
        <w:t>辆；单位价值50万元以上通用设备</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rPr>
        <w:t>台（套），单位价值100万元以上专用设备</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rPr>
        <w:t>台（套）。</w:t>
      </w:r>
    </w:p>
    <w:p>
      <w:pPr>
        <w:widowControl/>
        <w:spacing w:line="590" w:lineRule="exact"/>
        <w:ind w:left="0" w:leftChars="0"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许昌市人民政府关于全面实施预算绩效管理的实施意见》（许发〔2021〕13号）文件要求，对本单位整体支出和项目支出开展全过程预算绩效管理。按照“全方位、全过程、全覆盖”预算绩效管理要求，我局对 2021 年度单位整体绩效和所有的项目资金开展了绩效运行监控和绩效评价，绩效评价覆盖率100%。进一步增强绩效意识，不断规范预算管理，强化预算执行过程控制，提高资金使用绩效。绩效意识进一步增强。进一步加强绩效意识的学习，明确“用钱要问效、无效要问责”的绩效要求，强化支出主体的绩效责任。资金使用绩效进一步提高。通过开展绩效评价工作，一方面更加注重节约，主动压缩经费开支，另一方面更加注重强化工作效率，进而从整体上提高财政资金使用绩效。</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w:t>
      </w:r>
      <w:bookmarkStart w:id="0" w:name="_GoBack"/>
      <w:bookmarkEnd w:id="0"/>
      <w:r>
        <w:rPr>
          <w:rFonts w:hint="eastAsia" w:ascii="仿宋_GB2312" w:hAnsi="仿宋_GB2312" w:eastAsia="仿宋_GB2312" w:cs="仿宋_GB2312"/>
          <w:color w:val="auto"/>
          <w:sz w:val="32"/>
          <w:szCs w:val="32"/>
          <w:highlight w:val="none"/>
          <w:lang w:val="en-US" w:eastAsia="zh-CN"/>
        </w:rPr>
        <w:t>〕1号）等文件精神，我单位对本单位整体绩效目标和项目支出绩效目标进行了自评。一是单位整体绩效自评情况，</w:t>
      </w:r>
      <w:r>
        <w:rPr>
          <w:rFonts w:hint="eastAsia" w:ascii="仿宋_GB2312" w:hAnsi="仿宋_GB2312" w:eastAsia="仿宋_GB2312" w:cs="仿宋_GB2312"/>
          <w:i w:val="0"/>
          <w:iCs w:val="0"/>
          <w:color w:val="000000"/>
          <w:kern w:val="2"/>
          <w:sz w:val="32"/>
          <w:szCs w:val="32"/>
          <w:highlight w:val="none"/>
          <w:u w:val="none" w:color="auto"/>
          <w:lang w:val="en-US" w:eastAsia="zh-CN" w:bidi="ar-SA"/>
        </w:rPr>
        <w:t>严格履行预算绩效管理主体责任，以绩效目标为导向，做好绩效运行监控，提升绩效自评质量，不断提高绩效管理工作水平，充分发挥财政资金使用效益，年初合理制定单位整体绩效目标，对照绩效指标逐项打分，单位整体绩效得分96分，总评结果是优。</w:t>
      </w:r>
      <w:r>
        <w:rPr>
          <w:rFonts w:hint="eastAsia" w:ascii="仿宋_GB2312" w:hAnsi="仿宋_GB2312" w:eastAsia="仿宋_GB2312" w:cs="仿宋_GB2312"/>
          <w:color w:val="auto"/>
          <w:sz w:val="32"/>
          <w:szCs w:val="32"/>
          <w:highlight w:val="none"/>
          <w:lang w:val="en-US" w:eastAsia="zh-CN"/>
        </w:rPr>
        <w:t>二是项目绩效自评情况。我单位共有2个项目批复了绩效目标。其中：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许昌市市场监督管理局2个，项目金额31.60万元；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98.00分。其中：3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许昌市财政局和我单位共选取食品安全抽检经费项目等共1个项目开展财政重点评价。其中：      </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食品安全抽检经费项目评价得分：76.20分，等次为“中”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我单位将对照重点绩效评价发现问题进行整改，不断提高我单位项目和预算管理水平，提升财政资金使用效益。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pStyle w:val="6"/>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irZkB5AEAAM8DAAAO&#10;AAAAAAAAAAEAIAAAAB4BAABkcnMvZTJvRG9jLnhtbFBLBQYAAAAABgAGAFkBAAB0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MXbT3eUBAADPAwAA&#10;DgAAAAAAAAABACAAAAAeAQAAZHJzL2Uyb0RvYy54bWxQSwUGAAAAAAYABgBZAQAAdQ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7FD20E3E"/>
    <w:multiLevelType w:val="singleLevel"/>
    <w:tmpl w:val="7FD20E3E"/>
    <w:lvl w:ilvl="0" w:tentative="0">
      <w:start w:val="1"/>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454B"/>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4DC1141"/>
    <w:rsid w:val="04F674F9"/>
    <w:rsid w:val="053D4C0D"/>
    <w:rsid w:val="0557532E"/>
    <w:rsid w:val="05CF5FA2"/>
    <w:rsid w:val="0799329C"/>
    <w:rsid w:val="08397436"/>
    <w:rsid w:val="086F16A7"/>
    <w:rsid w:val="0A0E5733"/>
    <w:rsid w:val="0A0F7225"/>
    <w:rsid w:val="0A2B7D82"/>
    <w:rsid w:val="0ADC40E9"/>
    <w:rsid w:val="0AE607F4"/>
    <w:rsid w:val="0B386127"/>
    <w:rsid w:val="0B451598"/>
    <w:rsid w:val="0BEC73F4"/>
    <w:rsid w:val="0C392698"/>
    <w:rsid w:val="0CBC570C"/>
    <w:rsid w:val="0DC418E0"/>
    <w:rsid w:val="10BD36F6"/>
    <w:rsid w:val="11BF0649"/>
    <w:rsid w:val="123E3E08"/>
    <w:rsid w:val="13291456"/>
    <w:rsid w:val="133212F4"/>
    <w:rsid w:val="13D22E22"/>
    <w:rsid w:val="161C2DFF"/>
    <w:rsid w:val="16373578"/>
    <w:rsid w:val="16D3336B"/>
    <w:rsid w:val="17200028"/>
    <w:rsid w:val="17806C36"/>
    <w:rsid w:val="17A74F62"/>
    <w:rsid w:val="186A5C2F"/>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2B81EEE"/>
    <w:rsid w:val="23E152D7"/>
    <w:rsid w:val="23EE2489"/>
    <w:rsid w:val="241F05DB"/>
    <w:rsid w:val="255D43C8"/>
    <w:rsid w:val="26714EF8"/>
    <w:rsid w:val="26876BDD"/>
    <w:rsid w:val="2714632A"/>
    <w:rsid w:val="27541E73"/>
    <w:rsid w:val="27B0539E"/>
    <w:rsid w:val="29365CF8"/>
    <w:rsid w:val="299469B3"/>
    <w:rsid w:val="2A805789"/>
    <w:rsid w:val="2ADC0D75"/>
    <w:rsid w:val="2B4A0E52"/>
    <w:rsid w:val="2BB261BE"/>
    <w:rsid w:val="2BDD348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2C55F5"/>
    <w:rsid w:val="3B8D4765"/>
    <w:rsid w:val="3C000DBA"/>
    <w:rsid w:val="3DC045D3"/>
    <w:rsid w:val="3E504FFB"/>
    <w:rsid w:val="3E615CD0"/>
    <w:rsid w:val="3E8C0A94"/>
    <w:rsid w:val="3E9C47F6"/>
    <w:rsid w:val="3F8B0112"/>
    <w:rsid w:val="3FAB3095"/>
    <w:rsid w:val="3FE45947"/>
    <w:rsid w:val="41242965"/>
    <w:rsid w:val="435671EA"/>
    <w:rsid w:val="440809E9"/>
    <w:rsid w:val="442407A6"/>
    <w:rsid w:val="44805EA1"/>
    <w:rsid w:val="45710696"/>
    <w:rsid w:val="46142B1B"/>
    <w:rsid w:val="47BF137D"/>
    <w:rsid w:val="47E60DD0"/>
    <w:rsid w:val="48735039"/>
    <w:rsid w:val="492C684B"/>
    <w:rsid w:val="49500594"/>
    <w:rsid w:val="49C67727"/>
    <w:rsid w:val="49E7604E"/>
    <w:rsid w:val="4BF67CDD"/>
    <w:rsid w:val="4D173441"/>
    <w:rsid w:val="4D603DD6"/>
    <w:rsid w:val="4EBF010F"/>
    <w:rsid w:val="4F471EB0"/>
    <w:rsid w:val="51331326"/>
    <w:rsid w:val="51740A7F"/>
    <w:rsid w:val="51A5541E"/>
    <w:rsid w:val="51C96242"/>
    <w:rsid w:val="53153FDC"/>
    <w:rsid w:val="53906AE1"/>
    <w:rsid w:val="54F46F60"/>
    <w:rsid w:val="55A37BEA"/>
    <w:rsid w:val="56362CD2"/>
    <w:rsid w:val="5784687B"/>
    <w:rsid w:val="57846959"/>
    <w:rsid w:val="578E6A87"/>
    <w:rsid w:val="5AC2203A"/>
    <w:rsid w:val="5CBB3334"/>
    <w:rsid w:val="5D115FAF"/>
    <w:rsid w:val="5EFBEA78"/>
    <w:rsid w:val="62811722"/>
    <w:rsid w:val="62E75A72"/>
    <w:rsid w:val="63572CDA"/>
    <w:rsid w:val="64183F1A"/>
    <w:rsid w:val="64571880"/>
    <w:rsid w:val="649125B6"/>
    <w:rsid w:val="652F4C1A"/>
    <w:rsid w:val="666D37F1"/>
    <w:rsid w:val="67087D8F"/>
    <w:rsid w:val="671F687E"/>
    <w:rsid w:val="67F415F8"/>
    <w:rsid w:val="682640D1"/>
    <w:rsid w:val="684B73E5"/>
    <w:rsid w:val="6A047A2A"/>
    <w:rsid w:val="6CB85B5C"/>
    <w:rsid w:val="6DE52629"/>
    <w:rsid w:val="6E6604D4"/>
    <w:rsid w:val="6EFB7548"/>
    <w:rsid w:val="6F3831C3"/>
    <w:rsid w:val="6F8B71C1"/>
    <w:rsid w:val="7013160A"/>
    <w:rsid w:val="70753482"/>
    <w:rsid w:val="707B522A"/>
    <w:rsid w:val="73194D05"/>
    <w:rsid w:val="73A83B0E"/>
    <w:rsid w:val="744D3EF9"/>
    <w:rsid w:val="74794411"/>
    <w:rsid w:val="75867C40"/>
    <w:rsid w:val="75B10B26"/>
    <w:rsid w:val="76432199"/>
    <w:rsid w:val="767933C9"/>
    <w:rsid w:val="76F44829"/>
    <w:rsid w:val="77A267C0"/>
    <w:rsid w:val="78882278"/>
    <w:rsid w:val="78B118A6"/>
    <w:rsid w:val="79135044"/>
    <w:rsid w:val="79A02335"/>
    <w:rsid w:val="7A5147F6"/>
    <w:rsid w:val="7A7D0F99"/>
    <w:rsid w:val="7BB8641E"/>
    <w:rsid w:val="7E4A0E7C"/>
    <w:rsid w:val="7EFD449D"/>
    <w:rsid w:val="7FDF20AC"/>
    <w:rsid w:val="AEE11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Balloon Text"/>
    <w:basedOn w:val="1"/>
    <w:link w:val="13"/>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paragraph" w:styleId="7">
    <w:name w:val="Body Text First Indent"/>
    <w:basedOn w:val="2"/>
    <w:qFormat/>
    <w:uiPriority w:val="0"/>
    <w:pPr>
      <w:spacing w:after="0" w:afterLines="0"/>
      <w:ind w:firstLine="420" w:firstLineChars="10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批注框文本 Char"/>
    <w:link w:val="3"/>
    <w:semiHidden/>
    <w:qFormat/>
    <w:uiPriority w:val="99"/>
    <w:rPr>
      <w:kern w:val="2"/>
      <w:sz w:val="18"/>
      <w:szCs w:val="18"/>
    </w:rPr>
  </w:style>
  <w:style w:type="character" w:customStyle="1" w:styleId="14">
    <w:name w:val="页脚 Char"/>
    <w:link w:val="4"/>
    <w:qFormat/>
    <w:uiPriority w:val="99"/>
    <w:rPr>
      <w:kern w:val="2"/>
      <w:sz w:val="18"/>
      <w:szCs w:val="18"/>
    </w:rPr>
  </w:style>
  <w:style w:type="character" w:customStyle="1" w:styleId="15">
    <w:name w:val="页眉 Char"/>
    <w:link w:val="5"/>
    <w:qFormat/>
    <w:uiPriority w:val="99"/>
    <w:rPr>
      <w:kern w:val="2"/>
      <w:sz w:val="18"/>
      <w:szCs w:val="18"/>
    </w:rPr>
  </w:style>
  <w:style w:type="character" w:customStyle="1" w:styleId="16">
    <w:name w:val="font01"/>
    <w:uiPriority w:val="0"/>
    <w:rPr>
      <w:rFonts w:hint="eastAsia" w:ascii="宋体" w:hAnsi="宋体" w:eastAsia="宋体" w:cs="宋体"/>
      <w:color w:val="000000"/>
      <w:sz w:val="22"/>
      <w:szCs w:val="22"/>
      <w:u w:val="none"/>
    </w:rPr>
  </w:style>
  <w:style w:type="character" w:customStyle="1" w:styleId="17">
    <w:name w:val="font21"/>
    <w:qFormat/>
    <w:uiPriority w:val="0"/>
    <w:rPr>
      <w:rFonts w:hint="eastAsia" w:ascii="宋体" w:hAnsi="宋体" w:eastAsia="宋体" w:cs="宋体"/>
      <w:color w:val="000000"/>
      <w:sz w:val="22"/>
      <w:szCs w:val="22"/>
      <w:u w:val="none"/>
    </w:rPr>
  </w:style>
  <w:style w:type="character" w:customStyle="1" w:styleId="18">
    <w:name w:val="font51"/>
    <w:qFormat/>
    <w:uiPriority w:val="0"/>
    <w:rPr>
      <w:rFonts w:hint="eastAsia" w:ascii="宋体" w:hAnsi="宋体" w:eastAsia="宋体" w:cs="宋体"/>
      <w:color w:val="000000"/>
      <w:sz w:val="24"/>
      <w:szCs w:val="24"/>
      <w:u w:val="none"/>
    </w:rPr>
  </w:style>
  <w:style w:type="character" w:customStyle="1" w:styleId="19">
    <w:name w:val="font1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39</Pages>
  <Words>11402</Words>
  <Characters>13808</Characters>
  <Lines>60</Lines>
  <Paragraphs>16</Paragraphs>
  <TotalTime>3</TotalTime>
  <ScaleCrop>false</ScaleCrop>
  <LinksUpToDate>false</LinksUpToDate>
  <CharactersWithSpaces>14056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ahui</cp:lastModifiedBy>
  <cp:lastPrinted>2018-07-25T02:50:00Z</cp:lastPrinted>
  <dcterms:modified xsi:type="dcterms:W3CDTF">2023-09-13T08:06:18Z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9B3D1E49AA3C466483540A3B8606AD05_13</vt:lpwstr>
  </property>
</Properties>
</file>