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许昌市市场监督管理局东城</w:t>
      </w:r>
      <w:r>
        <w:rPr>
          <w:rFonts w:hint="eastAsia" w:ascii="黑体" w:hAnsi="黑体" w:eastAsia="黑体" w:cs="黑体"/>
          <w:sz w:val="52"/>
          <w:szCs w:val="52"/>
          <w:highlight w:val="none"/>
          <w:lang w:val="en-US" w:eastAsia="zh-CN"/>
        </w:rPr>
        <w:t>区</w:t>
      </w:r>
      <w:r>
        <w:rPr>
          <w:rFonts w:hint="eastAsia" w:ascii="黑体" w:hAnsi="黑体" w:eastAsia="黑体" w:cs="黑体"/>
          <w:sz w:val="52"/>
          <w:szCs w:val="52"/>
          <w:highlight w:val="none"/>
        </w:rPr>
        <w:t>分局</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keepNext w:val="0"/>
        <w:keepLines w:val="0"/>
        <w:pageBreakBefore w:val="0"/>
        <w:kinsoku/>
        <w:wordWrap/>
        <w:overflowPunct/>
        <w:topLinePunct w:val="0"/>
        <w:autoSpaceDE/>
        <w:autoSpaceDN/>
        <w:bidi w:val="0"/>
        <w:adjustRightInd/>
        <w:snapToGrid/>
        <w:jc w:val="center"/>
        <w:textAlignment w:val="auto"/>
        <w:rPr>
          <w:rFonts w:ascii="黑体" w:hAnsi="黑体" w:eastAsia="黑体" w:cs="黑体"/>
          <w:sz w:val="36"/>
          <w:szCs w:val="36"/>
          <w:highlight w:val="none"/>
        </w:rPr>
      </w:pPr>
      <w:r>
        <w:rPr>
          <w:rFonts w:hint="eastAsia" w:ascii="黑体" w:hAnsi="黑体" w:eastAsia="黑体" w:cs="黑体"/>
          <w:sz w:val="36"/>
          <w:szCs w:val="36"/>
          <w:highlight w:val="none"/>
        </w:rPr>
        <w:t>目　　录</w:t>
      </w:r>
    </w:p>
    <w:p>
      <w:pPr>
        <w:keepNext w:val="0"/>
        <w:keepLines w:val="0"/>
        <w:pageBreakBefore w:val="0"/>
        <w:kinsoku/>
        <w:wordWrap/>
        <w:overflowPunct/>
        <w:topLinePunct w:val="0"/>
        <w:autoSpaceDE/>
        <w:autoSpaceDN/>
        <w:bidi w:val="0"/>
        <w:adjustRightInd/>
        <w:snapToGrid/>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第一部分　许昌市市场监督管理局东城</w:t>
      </w:r>
      <w:r>
        <w:rPr>
          <w:rFonts w:hint="eastAsia" w:ascii="黑体" w:hAnsi="黑体" w:eastAsia="黑体" w:cs="黑体"/>
          <w:sz w:val="32"/>
          <w:szCs w:val="32"/>
          <w:highlight w:val="none"/>
          <w:lang w:val="en-US" w:eastAsia="zh-CN"/>
        </w:rPr>
        <w:t>区</w:t>
      </w:r>
      <w:r>
        <w:rPr>
          <w:rFonts w:hint="eastAsia" w:ascii="黑体" w:hAnsi="黑体" w:eastAsia="黑体" w:cs="黑体"/>
          <w:sz w:val="32"/>
          <w:szCs w:val="32"/>
          <w:highlight w:val="none"/>
        </w:rPr>
        <w:t>分局概况</w:t>
      </w:r>
    </w:p>
    <w:p>
      <w:pPr>
        <w:keepNext w:val="0"/>
        <w:keepLines w:val="0"/>
        <w:pageBreakBefore w:val="0"/>
        <w:numPr>
          <w:ilvl w:val="0"/>
          <w:numId w:val="1"/>
        </w:numPr>
        <w:kinsoku/>
        <w:wordWrap/>
        <w:overflowPunct/>
        <w:topLinePunct w:val="0"/>
        <w:autoSpaceDE/>
        <w:autoSpaceDN/>
        <w:bidi w:val="0"/>
        <w:adjustRightInd/>
        <w:snapToGrid/>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keepNext w:val="0"/>
        <w:keepLines w:val="0"/>
        <w:pageBreakBefore w:val="0"/>
        <w:numPr>
          <w:ilvl w:val="0"/>
          <w:numId w:val="1"/>
        </w:numPr>
        <w:kinsoku/>
        <w:wordWrap/>
        <w:overflowPunct/>
        <w:topLinePunct w:val="0"/>
        <w:autoSpaceDE/>
        <w:autoSpaceDN/>
        <w:bidi w:val="0"/>
        <w:adjustRightInd/>
        <w:snapToGrid/>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机构设置</w:t>
      </w:r>
    </w:p>
    <w:p>
      <w:pPr>
        <w:keepNext w:val="0"/>
        <w:keepLines w:val="0"/>
        <w:pageBreakBefore w:val="0"/>
        <w:kinsoku/>
        <w:wordWrap/>
        <w:overflowPunct/>
        <w:topLinePunct w:val="0"/>
        <w:autoSpaceDE/>
        <w:autoSpaceDN/>
        <w:bidi w:val="0"/>
        <w:adjustRightInd/>
        <w:snapToGrid/>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二、收入决算表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三、支出决算表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宋体" w:hAnsi="宋体" w:cs="黑体"/>
          <w:sz w:val="32"/>
          <w:szCs w:val="32"/>
          <w:highlight w:val="none"/>
        </w:rPr>
      </w:pPr>
      <w:r>
        <w:rPr>
          <w:rFonts w:hint="eastAsia" w:ascii="宋体" w:hAnsi="宋体" w:cs="黑体"/>
          <w:sz w:val="32"/>
          <w:szCs w:val="32"/>
          <w:highlight w:val="none"/>
        </w:rPr>
        <w:t>四、财政拨款收入支出决算总表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keepNext w:val="0"/>
        <w:keepLines w:val="0"/>
        <w:pageBreakBefore w:val="0"/>
        <w:kinsoku/>
        <w:wordWrap/>
        <w:overflowPunct/>
        <w:topLinePunct w:val="0"/>
        <w:autoSpaceDE/>
        <w:autoSpaceDN/>
        <w:bidi w:val="0"/>
        <w:adjustRightInd/>
        <w:snapToGrid/>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十一、国有资产占用情况说明</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keepNext w:val="0"/>
        <w:keepLines w:val="0"/>
        <w:pageBreakBefore w:val="0"/>
        <w:kinsoku/>
        <w:wordWrap/>
        <w:overflowPunct/>
        <w:topLinePunct w:val="0"/>
        <w:autoSpaceDE/>
        <w:autoSpaceDN/>
        <w:bidi w:val="0"/>
        <w:adjustRightInd/>
        <w:snapToGrid/>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kinsoku/>
        <w:wordWrap/>
        <w:overflowPunct/>
        <w:topLinePunct w:val="0"/>
        <w:autoSpaceDE/>
        <w:autoSpaceDN/>
        <w:bidi w:val="0"/>
        <w:adjustRightInd/>
        <w:snapToGrid/>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jc w:val="left"/>
        <w:textAlignment w:val="auto"/>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 xml:space="preserve"> 许昌市市场监督管理局</w:t>
      </w:r>
    </w:p>
    <w:p>
      <w:pPr>
        <w:widowControl/>
        <w:numPr>
          <w:ilvl w:val="0"/>
          <w:numId w:val="0"/>
        </w:numPr>
        <w:ind w:firstLine="3360" w:firstLineChars="7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东城</w:t>
      </w:r>
      <w:r>
        <w:rPr>
          <w:rFonts w:hint="eastAsia" w:ascii="黑体" w:hAnsi="黑体" w:eastAsia="黑体" w:cs="黑体"/>
          <w:sz w:val="48"/>
          <w:szCs w:val="48"/>
          <w:highlight w:val="none"/>
          <w:lang w:val="en-US" w:eastAsia="zh-CN"/>
        </w:rPr>
        <w:t>区</w:t>
      </w:r>
      <w:r>
        <w:rPr>
          <w:rFonts w:hint="eastAsia" w:ascii="黑体" w:hAnsi="黑体" w:eastAsia="黑体" w:cs="黑体"/>
          <w:sz w:val="48"/>
          <w:szCs w:val="48"/>
          <w:highlight w:val="none"/>
        </w:rPr>
        <w:t>分局概况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rPr>
          <w:rFonts w:hint="eastAsia"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依法组织管理各类企业</w:t>
      </w:r>
      <w:r>
        <w:rPr>
          <w:rFonts w:hint="eastAsia" w:ascii="仿宋_GB2312" w:hAnsi="仿宋_GB2312" w:eastAsia="仿宋_GB2312" w:cs="仿宋_GB2312"/>
          <w:kern w:val="0"/>
          <w:sz w:val="32"/>
          <w:szCs w:val="32"/>
          <w:highlight w:val="none"/>
        </w:rPr>
        <w:t>和从</w:t>
      </w:r>
      <w:r>
        <w:rPr>
          <w:rFonts w:hint="eastAsia" w:ascii="仿宋_GB2312" w:hAnsi="仿宋_GB2312" w:eastAsia="仿宋_GB2312" w:cs="仿宋_GB2312"/>
          <w:kern w:val="0"/>
          <w:sz w:val="32"/>
          <w:szCs w:val="32"/>
        </w:rPr>
        <w:t>事经营活动的单位、个人的注册，核定注册单位名称，审定、批准、颁发有关证照并实行监督管理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依法组织监督市场交易行为，组织监督流通领域商品质量，组织查处假冒伪劣等违法行为，保护经营者、消费者合法权益</w:t>
      </w:r>
      <w:r>
        <w:rPr>
          <w:rFonts w:hint="eastAsia" w:ascii="仿宋_GB2312" w:hAnsi="仿宋_GB2312" w:eastAsia="仿宋_GB2312" w:cs="仿宋_GB2312"/>
          <w:kern w:val="0"/>
          <w:sz w:val="32"/>
          <w:szCs w:val="32"/>
          <w:highlight w:val="none"/>
          <w:lang w:eastAsia="zh-CN"/>
        </w:rPr>
        <w:t>。</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依法对各类市场经营秩序实施规范管理和监督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依法组织监管经纪人、经纪机构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依法组织实施合同行政监管，组织管理动产抵押物登记，组织监管拍卖行为，查处合同欺诈等违法行为。依法组织监管广告发布与广告经营活动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依法组织监督管理个体工商户、个人合伙和私营企业的经营行为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承办本级政府和上级工商行政管理机关交办的其他事项。 </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许昌市</w:t>
      </w:r>
      <w:r>
        <w:rPr>
          <w:rFonts w:hint="eastAsia" w:ascii="仿宋_GB2312" w:hAnsi="仿宋_GB2312" w:eastAsia="仿宋_GB2312" w:cs="仿宋_GB2312"/>
          <w:kern w:val="0"/>
          <w:sz w:val="32"/>
          <w:szCs w:val="32"/>
          <w:lang w:val="en-US" w:eastAsia="zh-CN"/>
        </w:rPr>
        <w:t>市场监督管理局</w:t>
      </w:r>
      <w:r>
        <w:rPr>
          <w:rFonts w:hint="eastAsia" w:ascii="仿宋_GB2312" w:hAnsi="仿宋_GB2312" w:eastAsia="仿宋_GB2312" w:cs="仿宋_GB2312"/>
          <w:kern w:val="0"/>
          <w:sz w:val="32"/>
          <w:szCs w:val="32"/>
          <w:lang w:eastAsia="zh-CN"/>
        </w:rPr>
        <w:t>东城</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rPr>
        <w:t>分局</w:t>
      </w:r>
      <w:r>
        <w:rPr>
          <w:rFonts w:hint="eastAsia" w:ascii="仿宋_GB2312" w:hAnsi="仿宋_GB2312" w:eastAsia="仿宋_GB2312" w:cs="仿宋_GB2312"/>
          <w:kern w:val="0"/>
          <w:sz w:val="32"/>
          <w:szCs w:val="32"/>
          <w:lang w:val="en-US" w:eastAsia="zh-CN"/>
        </w:rPr>
        <w:t>内设机构5个，包括：</w:t>
      </w:r>
      <w:r>
        <w:rPr>
          <w:rFonts w:hint="eastAsia" w:ascii="仿宋_GB2312" w:hAnsi="仿宋_GB2312" w:eastAsia="仿宋_GB2312" w:cs="仿宋_GB2312"/>
          <w:kern w:val="0"/>
          <w:sz w:val="32"/>
          <w:szCs w:val="32"/>
          <w:lang w:eastAsia="zh-CN"/>
        </w:rPr>
        <w:t>综合</w:t>
      </w:r>
      <w:r>
        <w:rPr>
          <w:rFonts w:hint="eastAsia" w:ascii="仿宋_GB2312" w:hAnsi="仿宋_GB2312" w:eastAsia="仿宋_GB2312" w:cs="仿宋_GB2312"/>
          <w:kern w:val="0"/>
          <w:sz w:val="32"/>
          <w:szCs w:val="32"/>
        </w:rPr>
        <w:t>办公室、</w:t>
      </w:r>
      <w:r>
        <w:rPr>
          <w:rFonts w:hint="eastAsia" w:ascii="仿宋_GB2312" w:hAnsi="仿宋_GB2312" w:eastAsia="仿宋_GB2312" w:cs="仿宋_GB2312"/>
          <w:kern w:val="0"/>
          <w:sz w:val="32"/>
          <w:szCs w:val="32"/>
          <w:lang w:eastAsia="zh-CN"/>
        </w:rPr>
        <w:t>政务服务股、综合监管股</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综合监管股</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综合监管股</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w:t>
      </w:r>
      <w:r>
        <w:rPr>
          <w:rFonts w:hint="eastAsia" w:ascii="仿宋_GB2312" w:hAnsi="仿宋_GB2312" w:eastAsia="仿宋_GB2312" w:cs="仿宋_GB2312"/>
          <w:kern w:val="0"/>
          <w:sz w:val="32"/>
          <w:szCs w:val="32"/>
        </w:rPr>
        <w:t>许昌市</w:t>
      </w:r>
      <w:r>
        <w:rPr>
          <w:rFonts w:hint="eastAsia" w:ascii="仿宋_GB2312" w:hAnsi="仿宋_GB2312" w:eastAsia="仿宋_GB2312" w:cs="仿宋_GB2312"/>
          <w:kern w:val="0"/>
          <w:sz w:val="32"/>
          <w:szCs w:val="32"/>
          <w:lang w:val="en-US" w:eastAsia="zh-CN"/>
        </w:rPr>
        <w:t>市场监督管理局</w:t>
      </w:r>
      <w:r>
        <w:rPr>
          <w:rFonts w:hint="eastAsia" w:ascii="仿宋_GB2312" w:hAnsi="仿宋_GB2312" w:eastAsia="仿宋_GB2312" w:cs="仿宋_GB2312"/>
          <w:kern w:val="0"/>
          <w:sz w:val="32"/>
          <w:szCs w:val="32"/>
          <w:lang w:eastAsia="zh-CN"/>
        </w:rPr>
        <w:t>东城</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rPr>
        <w:t>分局</w:t>
      </w:r>
      <w:r>
        <w:rPr>
          <w:rFonts w:hint="eastAsia" w:ascii="仿宋_GB2312" w:hAnsi="仿宋_GB2312" w:eastAsia="仿宋_GB2312" w:cs="仿宋_GB2312"/>
          <w:kern w:val="0"/>
          <w:sz w:val="32"/>
          <w:szCs w:val="32"/>
          <w:lang w:val="en-US" w:eastAsia="zh-CN"/>
        </w:rPr>
        <w:t>单位决算包括：本级决算（1个）。</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纳入本单位2021年度决算编制范围的单位共1个。具体是：</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1.许昌市市场监督管理局东城区分局</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6"/>
        <w:gridCol w:w="895"/>
        <w:gridCol w:w="1195"/>
        <w:gridCol w:w="4795"/>
        <w:gridCol w:w="895"/>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：许昌市市场监督管理局东城区分局</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14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333"/>
        <w:gridCol w:w="3391"/>
        <w:gridCol w:w="1620"/>
        <w:gridCol w:w="1590"/>
        <w:gridCol w:w="1245"/>
        <w:gridCol w:w="870"/>
        <w:gridCol w:w="1125"/>
        <w:gridCol w:w="1587"/>
        <w:gridCol w:w="1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68"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9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4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28" w:type="dxa"/>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：许昌市市场监督管理局东城区分局</w:t>
            </w:r>
          </w:p>
        </w:tc>
        <w:tc>
          <w:tcPr>
            <w:tcW w:w="324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58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5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391"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9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9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720.14</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720.14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3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701.21</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701.21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3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3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3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697.77</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697.77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3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696.26</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696.26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3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3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3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3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9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9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68"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333"/>
        <w:gridCol w:w="4539"/>
        <w:gridCol w:w="1657"/>
        <w:gridCol w:w="1290"/>
        <w:gridCol w:w="1050"/>
        <w:gridCol w:w="930"/>
        <w:gridCol w:w="1201"/>
        <w:gridCol w:w="2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3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1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453"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：许昌市市场监督管理局东城区分局</w:t>
            </w:r>
          </w:p>
        </w:tc>
        <w:tc>
          <w:tcPr>
            <w:tcW w:w="361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2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4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53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3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2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2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817.29</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813.72</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779.60</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776.03</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776.16</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772.59</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772.59</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772.59</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5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7"/>
        <w:gridCol w:w="535"/>
        <w:gridCol w:w="1080"/>
        <w:gridCol w:w="3986"/>
        <w:gridCol w:w="535"/>
        <w:gridCol w:w="944"/>
        <w:gridCol w:w="1072"/>
        <w:gridCol w:w="76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5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7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：许昌市市场监督管理局东城区分局</w:t>
            </w:r>
          </w:p>
        </w:tc>
        <w:tc>
          <w:tcPr>
            <w:tcW w:w="227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78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39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8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9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58"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
        <w:gridCol w:w="227"/>
        <w:gridCol w:w="1555"/>
        <w:gridCol w:w="5470"/>
        <w:gridCol w:w="2374"/>
        <w:gridCol w:w="1920"/>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48"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4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7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9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853"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：许昌市市场监督管理局东城区分局</w:t>
            </w:r>
          </w:p>
        </w:tc>
        <w:tc>
          <w:tcPr>
            <w:tcW w:w="379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7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69"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47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0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7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3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7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3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7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7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817.29</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813.72</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779.60</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776.03</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776.16</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772.59</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772.59</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772.59</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3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48"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76"/>
        <w:gridCol w:w="766"/>
        <w:gridCol w:w="2416"/>
        <w:gridCol w:w="766"/>
        <w:gridCol w:w="766"/>
        <w:gridCol w:w="3902"/>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65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8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872"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：许昌市市场监督管理局东城区分局</w:t>
            </w:r>
          </w:p>
        </w:tc>
        <w:tc>
          <w:tcPr>
            <w:tcW w:w="478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49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9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702.41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280.58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9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9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9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9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727.39</w:t>
            </w:r>
          </w:p>
        </w:tc>
        <w:tc>
          <w:tcPr>
            <w:tcW w:w="8616"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5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
        <w:gridCol w:w="1110"/>
        <w:gridCol w:w="1080"/>
        <w:gridCol w:w="1080"/>
        <w:gridCol w:w="1080"/>
        <w:gridCol w:w="1080"/>
        <w:gridCol w:w="1080"/>
        <w:gridCol w:w="1080"/>
        <w:gridCol w:w="1080"/>
        <w:gridCol w:w="1080"/>
        <w:gridCol w:w="1080"/>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645"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：许昌市市场监督管理局东城区分局</w:t>
            </w:r>
          </w:p>
        </w:tc>
        <w:tc>
          <w:tcPr>
            <w:tcW w:w="29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0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4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7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64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
        <w:gridCol w:w="350"/>
        <w:gridCol w:w="533"/>
        <w:gridCol w:w="1727"/>
        <w:gridCol w:w="1957"/>
        <w:gridCol w:w="1957"/>
        <w:gridCol w:w="1957"/>
        <w:gridCol w:w="1586"/>
        <w:gridCol w:w="1950"/>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8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417"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：许昌市市场监督管理局东城区分局</w:t>
            </w:r>
          </w:p>
        </w:tc>
        <w:tc>
          <w:tcPr>
            <w:tcW w:w="365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9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49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7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72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7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7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3"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2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注：本表反映单位本年度政府性基金预算财政拨款收入、支出及结转和结余情况。本表金额转换为万元时，因四舍五入可能存在尾差。</w:t>
            </w:r>
          </w:p>
          <w:p>
            <w:pPr>
              <w:pStyle w:val="2"/>
              <w:rPr>
                <w:rFonts w:hint="eastAsia"/>
              </w:rPr>
            </w:pPr>
          </w:p>
        </w:tc>
      </w:tr>
    </w:tbl>
    <w:p>
      <w:pPr>
        <w:keepNext w:val="0"/>
        <w:keepLines w:val="0"/>
        <w:widowControl/>
        <w:suppressLineNumbers w:val="0"/>
        <w:jc w:val="left"/>
        <w:textAlignment w:val="center"/>
        <w:rPr>
          <w:rFonts w:hint="eastAsia"/>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pStyle w:val="20"/>
        <w:keepNext w:val="0"/>
        <w:keepLines w:val="0"/>
        <w:pageBreakBefore w:val="0"/>
        <w:widowControl/>
        <w:kinsoku/>
        <w:wordWrap/>
        <w:overflowPunct/>
        <w:topLinePunct w:val="0"/>
        <w:autoSpaceDE/>
        <w:autoSpaceDN/>
        <w:bidi w:val="0"/>
        <w:adjustRightInd/>
        <w:snapToGrid/>
        <w:spacing w:line="590" w:lineRule="exact"/>
        <w:ind w:firstLine="64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817.29</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265.70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48.17</w:t>
      </w:r>
      <w:r>
        <w:rPr>
          <w:rFonts w:hint="eastAsia" w:ascii="仿宋_GB2312" w:hAnsi="仿宋_GB2312" w:eastAsia="仿宋_GB2312" w:cs="仿宋_GB2312"/>
          <w:sz w:val="32"/>
          <w:szCs w:val="32"/>
          <w:highlight w:val="none"/>
        </w:rPr>
        <w:t>%。主要原因是</w:t>
      </w:r>
      <w:r>
        <w:rPr>
          <w:rFonts w:hint="eastAsia" w:ascii="仿宋_GB2312" w:hAnsi="仿宋" w:eastAsia="仿宋_GB2312" w:cs="Times New Roman"/>
          <w:kern w:val="2"/>
          <w:sz w:val="32"/>
          <w:szCs w:val="32"/>
          <w:highlight w:val="none"/>
          <w:lang w:val="en-US" w:eastAsia="zh-CN" w:bidi="ar"/>
        </w:rPr>
        <w:t>机</w:t>
      </w:r>
      <w:r>
        <w:rPr>
          <w:rFonts w:hint="eastAsia" w:ascii="仿宋_GB2312" w:hAnsi="仿宋" w:eastAsia="仿宋_GB2312" w:cs="Times New Roman"/>
          <w:kern w:val="2"/>
          <w:sz w:val="32"/>
          <w:szCs w:val="32"/>
          <w:lang w:val="en-US" w:eastAsia="zh-CN" w:bidi="ar"/>
        </w:rPr>
        <w:t>构合并，人员增加，财政拨款增加等。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720.14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720.14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bidi w:val="0"/>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817.29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813.72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99.56</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3.57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0.44</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pStyle w:val="20"/>
        <w:keepNext w:val="0"/>
        <w:keepLines w:val="0"/>
        <w:pageBreakBefore w:val="0"/>
        <w:kinsoku/>
        <w:wordWrap/>
        <w:overflowPunct/>
        <w:topLinePunct w:val="0"/>
        <w:bidi w:val="0"/>
        <w:spacing w:line="590" w:lineRule="exact"/>
        <w:ind w:firstLine="640"/>
        <w:textAlignment w:val="auto"/>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817.29</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265.70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48.17</w:t>
      </w:r>
      <w:r>
        <w:rPr>
          <w:rFonts w:hint="eastAsia" w:ascii="仿宋_GB2312" w:hAnsi="仿宋_GB2312" w:eastAsia="仿宋_GB2312" w:cs="仿宋_GB2312"/>
          <w:sz w:val="32"/>
          <w:szCs w:val="32"/>
          <w:highlight w:val="none"/>
        </w:rPr>
        <w:t>%。主要原因是</w:t>
      </w:r>
      <w:r>
        <w:rPr>
          <w:rFonts w:hint="eastAsia" w:ascii="仿宋_GB2312" w:hAnsi="仿宋" w:eastAsia="仿宋_GB2312" w:cs="Times New Roman"/>
          <w:kern w:val="2"/>
          <w:sz w:val="32"/>
          <w:szCs w:val="32"/>
          <w:highlight w:val="none"/>
          <w:lang w:val="en-US" w:eastAsia="zh-CN" w:bidi="ar"/>
        </w:rPr>
        <w:t>机构合</w:t>
      </w:r>
      <w:r>
        <w:rPr>
          <w:rFonts w:hint="eastAsia" w:ascii="仿宋_GB2312" w:hAnsi="仿宋" w:eastAsia="仿宋_GB2312" w:cs="Times New Roman"/>
          <w:kern w:val="2"/>
          <w:sz w:val="32"/>
          <w:szCs w:val="32"/>
          <w:lang w:val="en-US" w:eastAsia="zh-CN" w:bidi="ar"/>
        </w:rPr>
        <w:t>并，人员增加，财政拨款增加等。</w:t>
      </w:r>
    </w:p>
    <w:p>
      <w:pPr>
        <w:keepNext w:val="0"/>
        <w:keepLines w:val="0"/>
        <w:pageBreakBefore w:val="0"/>
        <w:widowControl/>
        <w:kinsoku/>
        <w:wordWrap/>
        <w:overflowPunct/>
        <w:topLinePunct w:val="0"/>
        <w:bidi w:val="0"/>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bidi w:val="0"/>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pStyle w:val="20"/>
        <w:keepNext w:val="0"/>
        <w:keepLines w:val="0"/>
        <w:pageBreakBefore w:val="0"/>
        <w:kinsoku/>
        <w:wordWrap/>
        <w:overflowPunct/>
        <w:topLinePunct w:val="0"/>
        <w:bidi w:val="0"/>
        <w:spacing w:line="590" w:lineRule="exact"/>
        <w:ind w:firstLine="640"/>
        <w:textAlignment w:val="auto"/>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817.29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350.88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上升</w:t>
      </w:r>
      <w:r>
        <w:rPr>
          <w:rFonts w:hint="default" w:ascii="仿宋_GB2312" w:hAnsi="仿宋_GB2312" w:eastAsia="仿宋_GB2312" w:cs="仿宋_GB2312"/>
          <w:sz w:val="32"/>
          <w:szCs w:val="32"/>
          <w:highlight w:val="none"/>
          <w:lang w:val="en" w:eastAsia="zh-CN"/>
        </w:rPr>
        <w:t>75.23</w:t>
      </w:r>
      <w:r>
        <w:rPr>
          <w:rFonts w:hint="eastAsia" w:ascii="仿宋_GB2312" w:hAnsi="仿宋_GB2312" w:eastAsia="仿宋_GB2312" w:cs="仿宋_GB2312"/>
          <w:sz w:val="32"/>
          <w:szCs w:val="32"/>
          <w:highlight w:val="none"/>
        </w:rPr>
        <w:t>%。主要原因是</w:t>
      </w:r>
      <w:r>
        <w:rPr>
          <w:rFonts w:hint="eastAsia" w:ascii="仿宋_GB2312" w:hAnsi="仿宋" w:eastAsia="仿宋_GB2312" w:cs="Times New Roman"/>
          <w:kern w:val="2"/>
          <w:sz w:val="32"/>
          <w:szCs w:val="32"/>
          <w:lang w:val="en-US" w:eastAsia="zh-CN" w:bidi="ar"/>
        </w:rPr>
        <w:t>机构合并，人员增加，财政拨款增加等。</w:t>
      </w:r>
    </w:p>
    <w:p>
      <w:pPr>
        <w:keepNext w:val="0"/>
        <w:keepLines w:val="0"/>
        <w:pageBreakBefore w:val="0"/>
        <w:widowControl/>
        <w:kinsoku/>
        <w:wordWrap/>
        <w:overflowPunct/>
        <w:topLinePunct w:val="0"/>
        <w:bidi w:val="0"/>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bidi w:val="0"/>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817.29</w:t>
      </w:r>
      <w:r>
        <w:rPr>
          <w:rFonts w:hint="eastAsia" w:ascii="仿宋_GB2312" w:hAnsi="仿宋_GB2312" w:eastAsia="仿宋_GB2312" w:cs="仿宋_GB2312"/>
          <w:sz w:val="32"/>
          <w:szCs w:val="32"/>
          <w:highlight w:val="none"/>
        </w:rPr>
        <w:t>万元，主要用于以下方面：一般公共服务（类）支出779.6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95.39</w:t>
      </w:r>
      <w:r>
        <w:rPr>
          <w:rFonts w:hint="eastAsia" w:ascii="仿宋_GB2312" w:hAnsi="仿宋_GB2312" w:eastAsia="仿宋_GB2312" w:cs="仿宋_GB2312"/>
          <w:sz w:val="32"/>
          <w:szCs w:val="32"/>
          <w:highlight w:val="none"/>
        </w:rPr>
        <w:t>%；社会保障和就业支出（类）支出27.32万元，占</w:t>
      </w:r>
      <w:r>
        <w:rPr>
          <w:rFonts w:hint="eastAsia" w:ascii="仿宋_GB2312" w:hAnsi="仿宋_GB2312" w:eastAsia="仿宋_GB2312" w:cs="仿宋_GB2312"/>
          <w:sz w:val="32"/>
          <w:szCs w:val="32"/>
          <w:highlight w:val="none"/>
          <w:lang w:val="en-US" w:eastAsia="zh-CN"/>
        </w:rPr>
        <w:t>3.34</w:t>
      </w:r>
      <w:r>
        <w:rPr>
          <w:rFonts w:hint="eastAsia" w:ascii="仿宋_GB2312" w:hAnsi="仿宋_GB2312" w:eastAsia="仿宋_GB2312" w:cs="仿宋_GB2312"/>
          <w:sz w:val="32"/>
          <w:szCs w:val="32"/>
          <w:highlight w:val="none"/>
        </w:rPr>
        <w:t>%；卫生健康支出（类）支出10.38万元，占</w:t>
      </w:r>
      <w:r>
        <w:rPr>
          <w:rFonts w:hint="eastAsia" w:ascii="仿宋_GB2312" w:hAnsi="仿宋_GB2312" w:eastAsia="仿宋_GB2312" w:cs="仿宋_GB2312"/>
          <w:sz w:val="32"/>
          <w:szCs w:val="32"/>
          <w:highlight w:val="none"/>
          <w:lang w:val="en-US" w:eastAsia="zh-CN"/>
        </w:rPr>
        <w:t>1.27</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bidi w:val="0"/>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821.41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817.29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99.50</w:t>
      </w:r>
      <w:r>
        <w:rPr>
          <w:rFonts w:hint="eastAsia" w:ascii="仿宋_GB2312" w:hAnsi="仿宋_GB2312" w:eastAsia="仿宋_GB2312" w:cs="仿宋_GB2312"/>
          <w:sz w:val="32"/>
          <w:szCs w:val="32"/>
          <w:highlight w:val="none"/>
        </w:rPr>
        <w:t>%。其中：</w:t>
      </w:r>
    </w:p>
    <w:p>
      <w:pPr>
        <w:keepNext w:val="0"/>
        <w:keepLines w:val="0"/>
        <w:pageBreakBefore w:val="0"/>
        <w:kinsoku/>
        <w:wordWrap/>
        <w:overflowPunct/>
        <w:topLinePunct w:val="0"/>
        <w:autoSpaceDE w:val="0"/>
        <w:autoSpaceDN w:val="0"/>
        <w:bidi w:val="0"/>
        <w:adjustRightInd w:val="0"/>
        <w:spacing w:line="590" w:lineRule="exact"/>
        <w:ind w:firstLine="643" w:firstLineChars="200"/>
        <w:jc w:val="left"/>
        <w:textAlignment w:val="auto"/>
        <w:rPr>
          <w:rFonts w:hint="eastAsia" w:ascii="仿宋_GB2312" w:hAnsi="仿宋_GB2312" w:eastAsia="仿宋_GB2312" w:cs="仿宋_GB2312"/>
          <w:sz w:val="32"/>
          <w:szCs w:val="32"/>
        </w:rPr>
      </w:pPr>
      <w:r>
        <w:rPr>
          <w:rFonts w:hint="eastAsia" w:ascii="仿宋" w:hAnsi="仿宋" w:eastAsia="仿宋"/>
          <w:b/>
          <w:bCs/>
          <w:sz w:val="32"/>
          <w:szCs w:val="32"/>
          <w:lang w:val="en-US" w:eastAsia="zh-CN"/>
        </w:rPr>
        <w:t>1</w:t>
      </w:r>
      <w:r>
        <w:rPr>
          <w:rFonts w:hint="eastAsia" w:ascii="仿宋" w:hAnsi="仿宋" w:eastAsia="仿宋"/>
          <w:b/>
          <w:bCs/>
          <w:sz w:val="32"/>
          <w:szCs w:val="32"/>
          <w:lang w:eastAsia="zh-CN"/>
        </w:rPr>
        <w:t>、</w:t>
      </w:r>
      <w:r>
        <w:rPr>
          <w:rFonts w:hint="eastAsia" w:ascii="仿宋_GB2312" w:hAnsi="宋体" w:eastAsia="仿宋_GB2312" w:cs="Courier New"/>
          <w:b/>
          <w:bCs/>
          <w:sz w:val="32"/>
          <w:szCs w:val="32"/>
        </w:rPr>
        <w:t>一般公共服务（类）</w:t>
      </w:r>
      <w:r>
        <w:rPr>
          <w:rFonts w:hint="eastAsia" w:ascii="仿宋_GB2312" w:hAnsi="宋体" w:eastAsia="仿宋_GB2312" w:cs="Courier New"/>
          <w:b/>
          <w:bCs/>
          <w:sz w:val="32"/>
          <w:szCs w:val="32"/>
          <w:lang w:eastAsia="zh-CN"/>
        </w:rPr>
        <w:t>市场监督</w:t>
      </w:r>
      <w:r>
        <w:rPr>
          <w:rFonts w:hint="eastAsia" w:ascii="仿宋_GB2312" w:hAnsi="宋体" w:eastAsia="仿宋_GB2312" w:cs="Courier New"/>
          <w:b/>
          <w:bCs/>
          <w:sz w:val="32"/>
          <w:szCs w:val="32"/>
        </w:rPr>
        <w:t>管理事务（款）行政运行（项）。</w:t>
      </w:r>
      <w:r>
        <w:rPr>
          <w:rFonts w:hint="eastAsia" w:ascii="仿宋_GB2312" w:hAnsi="仿宋_GB2312" w:eastAsia="仿宋_GB2312" w:cs="仿宋_GB2312"/>
          <w:sz w:val="32"/>
          <w:szCs w:val="32"/>
        </w:rPr>
        <w:t>年初</w:t>
      </w:r>
      <w:r>
        <w:rPr>
          <w:rFonts w:hint="eastAsia" w:ascii="仿宋_GB2312" w:hAnsi="仿宋_GB2312" w:eastAsia="仿宋_GB2312" w:cs="仿宋_GB2312"/>
          <w:color w:val="auto"/>
          <w:sz w:val="32"/>
          <w:szCs w:val="32"/>
        </w:rPr>
        <w:t>预算为</w:t>
      </w:r>
      <w:r>
        <w:rPr>
          <w:rFonts w:hint="eastAsia" w:ascii="仿宋_GB2312" w:hAnsi="仿宋_GB2312" w:eastAsia="仿宋_GB2312" w:cs="仿宋_GB2312"/>
          <w:color w:val="auto"/>
          <w:sz w:val="32"/>
          <w:szCs w:val="32"/>
          <w:lang w:val="en-US" w:eastAsia="zh-CN"/>
        </w:rPr>
        <w:t>798.64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772.59</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lang w:val="en-US" w:eastAsia="zh-CN"/>
        </w:rPr>
        <w:t>96.74</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eastAsia="zh-CN"/>
        </w:rPr>
        <w:t>是部分预算项目尚未完成</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val="0"/>
        <w:snapToGrid w:val="0"/>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b/>
          <w:bCs/>
          <w:sz w:val="32"/>
          <w:szCs w:val="32"/>
        </w:rPr>
        <w:t>2、一般公共服务（类）</w:t>
      </w:r>
      <w:r>
        <w:rPr>
          <w:rFonts w:hint="eastAsia" w:ascii="仿宋_GB2312" w:hAnsi="宋体" w:eastAsia="仿宋_GB2312" w:cs="Courier New"/>
          <w:b/>
          <w:bCs/>
          <w:sz w:val="32"/>
          <w:szCs w:val="32"/>
          <w:lang w:eastAsia="zh-CN"/>
        </w:rPr>
        <w:t>市场监督</w:t>
      </w:r>
      <w:r>
        <w:rPr>
          <w:rFonts w:hint="eastAsia" w:ascii="仿宋_GB2312" w:hAnsi="宋体" w:eastAsia="仿宋_GB2312" w:cs="Courier New"/>
          <w:b/>
          <w:bCs/>
          <w:sz w:val="32"/>
          <w:szCs w:val="32"/>
        </w:rPr>
        <w:t>管理事务（款）</w:t>
      </w:r>
      <w:r>
        <w:rPr>
          <w:rFonts w:hint="eastAsia" w:ascii="仿宋_GB2312" w:hAnsi="宋体" w:eastAsia="仿宋_GB2312" w:cs="Courier New"/>
          <w:b/>
          <w:bCs/>
          <w:sz w:val="32"/>
          <w:szCs w:val="32"/>
          <w:lang w:eastAsia="zh-CN"/>
        </w:rPr>
        <w:t>其他市场</w:t>
      </w:r>
      <w:r>
        <w:rPr>
          <w:rFonts w:hint="eastAsia" w:ascii="仿宋_GB2312" w:hAnsi="宋体" w:eastAsia="仿宋_GB2312" w:cs="Courier New"/>
          <w:b/>
          <w:bCs/>
          <w:sz w:val="32"/>
          <w:szCs w:val="32"/>
          <w:lang w:val="en-US" w:eastAsia="zh-CN"/>
        </w:rPr>
        <w:t>监督管理</w:t>
      </w:r>
      <w:r>
        <w:rPr>
          <w:rFonts w:hint="eastAsia" w:ascii="仿宋_GB2312" w:hAnsi="宋体" w:eastAsia="仿宋_GB2312" w:cs="Courier New"/>
          <w:b/>
          <w:bCs/>
          <w:sz w:val="32"/>
          <w:szCs w:val="32"/>
          <w:lang w:eastAsia="zh-CN"/>
        </w:rPr>
        <w:t>事务</w:t>
      </w:r>
      <w:r>
        <w:rPr>
          <w:rFonts w:hint="eastAsia" w:ascii="仿宋_GB2312" w:hAnsi="宋体" w:eastAsia="仿宋_GB2312" w:cs="Courier New"/>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eastAsia="zh-CN"/>
        </w:rPr>
        <w:t>年中</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财政追加</w:t>
      </w:r>
      <w:r>
        <w:rPr>
          <w:rFonts w:hint="eastAsia" w:ascii="仿宋_GB2312" w:hAnsi="仿宋_GB2312" w:eastAsia="仿宋_GB2312" w:cs="仿宋_GB2312"/>
          <w:sz w:val="32"/>
          <w:szCs w:val="32"/>
        </w:rPr>
        <w:t>下达市场监督管理补助专项</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val="0"/>
        <w:snapToGrid w:val="0"/>
        <w:spacing w:line="590" w:lineRule="exact"/>
        <w:ind w:firstLine="643" w:firstLineChars="200"/>
        <w:textAlignment w:val="auto"/>
        <w:rPr>
          <w:rFonts w:hint="eastAsia" w:ascii="仿宋_GB2312" w:hAnsi="宋体" w:eastAsia="仿宋_GB2312" w:cs="Courier New"/>
          <w:b/>
          <w:bCs/>
          <w:color w:val="0070C0"/>
          <w:sz w:val="32"/>
          <w:szCs w:val="32"/>
          <w:lang w:eastAsia="zh-CN"/>
        </w:rPr>
      </w:pPr>
      <w:r>
        <w:rPr>
          <w:rFonts w:hint="eastAsia" w:ascii="仿宋_GB2312" w:hAnsi="宋体" w:eastAsia="仿宋_GB2312" w:cs="Courier New"/>
          <w:b/>
          <w:bCs/>
          <w:sz w:val="32"/>
          <w:szCs w:val="32"/>
        </w:rPr>
        <w:t>3、一般公共服务（类）</w:t>
      </w:r>
      <w:r>
        <w:rPr>
          <w:rFonts w:hint="eastAsia" w:ascii="仿宋_GB2312" w:hAnsi="宋体" w:eastAsia="仿宋_GB2312" w:cs="Courier New"/>
          <w:b/>
          <w:bCs/>
          <w:sz w:val="32"/>
          <w:szCs w:val="32"/>
          <w:lang w:eastAsia="zh-CN"/>
        </w:rPr>
        <w:t>群众团体事务</w:t>
      </w:r>
      <w:r>
        <w:rPr>
          <w:rFonts w:hint="eastAsia" w:ascii="仿宋_GB2312" w:hAnsi="宋体" w:eastAsia="仿宋_GB2312" w:cs="Courier New"/>
          <w:b/>
          <w:bCs/>
          <w:sz w:val="32"/>
          <w:szCs w:val="32"/>
        </w:rPr>
        <w:t>（款）</w:t>
      </w:r>
      <w:r>
        <w:rPr>
          <w:rFonts w:hint="eastAsia" w:ascii="仿宋_GB2312" w:hAnsi="宋体" w:eastAsia="仿宋_GB2312" w:cs="Courier New"/>
          <w:b/>
          <w:bCs/>
          <w:sz w:val="32"/>
          <w:szCs w:val="32"/>
          <w:lang w:eastAsia="zh-CN"/>
        </w:rPr>
        <w:t>工会事务</w:t>
      </w:r>
      <w:r>
        <w:rPr>
          <w:rFonts w:hint="eastAsia" w:ascii="仿宋_GB2312" w:hAnsi="宋体" w:eastAsia="仿宋_GB2312" w:cs="Courier New"/>
          <w:b/>
          <w:bCs/>
          <w:sz w:val="32"/>
          <w:szCs w:val="32"/>
        </w:rPr>
        <w:t>（项）。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3.44万元</w:t>
      </w:r>
      <w:r>
        <w:rPr>
          <w:rFonts w:hint="eastAsia" w:ascii="仿宋_GB2312" w:hAnsi="宋体" w:eastAsia="仿宋_GB2312" w:cs="Courier New"/>
          <w:sz w:val="32"/>
          <w:szCs w:val="32"/>
        </w:rPr>
        <w:t>，支出决算为</w:t>
      </w:r>
      <w:r>
        <w:rPr>
          <w:rFonts w:hint="eastAsia" w:ascii="仿宋_GB2312" w:hAnsi="宋体" w:eastAsia="仿宋_GB2312" w:cs="Courier New"/>
          <w:sz w:val="32"/>
          <w:szCs w:val="32"/>
          <w:lang w:val="en-US" w:eastAsia="zh-CN"/>
        </w:rPr>
        <w:t>3.44</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adjustRightInd w:val="0"/>
        <w:snapToGrid w:val="0"/>
        <w:spacing w:line="590" w:lineRule="exact"/>
        <w:ind w:firstLine="642"/>
        <w:textAlignment w:val="auto"/>
        <w:rPr>
          <w:rFonts w:hint="eastAsia" w:ascii="仿宋_GB2312" w:hAnsi="宋体" w:eastAsia="仿宋_GB2312" w:cs="Courier New"/>
          <w:sz w:val="32"/>
          <w:szCs w:val="32"/>
        </w:rPr>
      </w:pPr>
      <w:r>
        <w:rPr>
          <w:rFonts w:hint="eastAsia" w:ascii="仿宋_GB2312" w:hAnsi="宋体" w:eastAsia="仿宋_GB2312" w:cs="Courier New"/>
          <w:b/>
          <w:bCs/>
          <w:sz w:val="32"/>
          <w:szCs w:val="32"/>
          <w:lang w:val="en-US" w:eastAsia="zh-CN"/>
        </w:rPr>
        <w:t>4</w:t>
      </w:r>
      <w:r>
        <w:rPr>
          <w:rFonts w:hint="eastAsia" w:ascii="仿宋_GB2312" w:hAnsi="宋体" w:eastAsia="仿宋_GB2312" w:cs="Courier New"/>
          <w:b/>
          <w:bCs/>
          <w:sz w:val="32"/>
          <w:szCs w:val="32"/>
        </w:rPr>
        <w:t>、社会保障和就业（类）行政事业单位</w:t>
      </w:r>
      <w:r>
        <w:rPr>
          <w:rFonts w:hint="eastAsia" w:ascii="仿宋_GB2312" w:hAnsi="宋体" w:eastAsia="仿宋_GB2312" w:cs="Courier New"/>
          <w:b/>
          <w:bCs/>
          <w:sz w:val="32"/>
          <w:szCs w:val="32"/>
          <w:lang w:eastAsia="zh-CN"/>
        </w:rPr>
        <w:t>养老支出</w:t>
      </w:r>
      <w:r>
        <w:rPr>
          <w:rFonts w:hint="eastAsia" w:ascii="仿宋_GB2312" w:hAnsi="宋体" w:eastAsia="仿宋_GB2312" w:cs="Courier New"/>
          <w:b/>
          <w:bCs/>
          <w:sz w:val="32"/>
          <w:szCs w:val="32"/>
        </w:rPr>
        <w:t>（款）行政单位离退休（项）。</w:t>
      </w:r>
      <w:r>
        <w:rPr>
          <w:rFonts w:hint="eastAsia" w:ascii="仿宋_GB2312" w:hAnsi="宋体" w:eastAsia="仿宋_GB2312" w:cs="Courier New"/>
          <w:sz w:val="32"/>
          <w:szCs w:val="32"/>
        </w:rPr>
        <w:t>年初预算为</w:t>
      </w:r>
      <w:r>
        <w:rPr>
          <w:rFonts w:hint="eastAsia" w:ascii="仿宋_GB2312" w:hAnsi="宋体" w:eastAsia="仿宋_GB2312" w:cs="Courier New"/>
          <w:color w:val="auto"/>
          <w:sz w:val="32"/>
          <w:szCs w:val="32"/>
          <w:lang w:val="en-US" w:eastAsia="zh-CN"/>
        </w:rPr>
        <w:t>19.33</w:t>
      </w:r>
      <w:r>
        <w:rPr>
          <w:rFonts w:hint="eastAsia" w:ascii="仿宋_GB2312" w:hAnsi="宋体" w:eastAsia="仿宋_GB2312" w:cs="Courier New"/>
          <w:sz w:val="32"/>
          <w:szCs w:val="32"/>
        </w:rPr>
        <w:t>，支出决算为</w:t>
      </w:r>
      <w:r>
        <w:rPr>
          <w:rFonts w:hint="eastAsia" w:ascii="仿宋_GB2312" w:hAnsi="宋体" w:eastAsia="仿宋_GB2312" w:cs="Courier New"/>
          <w:sz w:val="32"/>
          <w:szCs w:val="32"/>
          <w:lang w:val="en-US" w:eastAsia="zh-CN"/>
        </w:rPr>
        <w:t>21.04</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108.85</w:t>
      </w:r>
      <w:r>
        <w:rPr>
          <w:rFonts w:hint="eastAsia" w:ascii="仿宋_GB2312" w:hAnsi="宋体" w:eastAsia="仿宋_GB2312" w:cs="Courier New"/>
          <w:sz w:val="32"/>
          <w:szCs w:val="32"/>
        </w:rPr>
        <w:t>%。</w:t>
      </w:r>
      <w:r>
        <w:rPr>
          <w:rFonts w:hint="eastAsia" w:ascii="仿宋_GB2312" w:hAnsi="仿宋_GB2312" w:eastAsia="仿宋_GB2312" w:cs="仿宋_GB2312"/>
          <w:sz w:val="32"/>
          <w:szCs w:val="32"/>
        </w:rPr>
        <w:t>决算数与年初预算数存在差异的主要原因</w:t>
      </w:r>
      <w:r>
        <w:rPr>
          <w:rFonts w:hint="eastAsia" w:ascii="仿宋_GB2312" w:hAnsi="宋体" w:eastAsia="仿宋_GB2312" w:cs="Courier New"/>
          <w:sz w:val="32"/>
          <w:szCs w:val="32"/>
        </w:rPr>
        <w:t>是</w:t>
      </w:r>
      <w:r>
        <w:rPr>
          <w:rFonts w:hint="eastAsia" w:ascii="仿宋_GB2312" w:hAnsi="宋体" w:eastAsia="仿宋_GB2312" w:cs="Courier New"/>
          <w:sz w:val="32"/>
          <w:szCs w:val="32"/>
          <w:lang w:eastAsia="zh-CN"/>
        </w:rPr>
        <w:t>年中增加退休人员</w:t>
      </w:r>
      <w:r>
        <w:rPr>
          <w:rFonts w:hint="eastAsia" w:ascii="仿宋_GB2312" w:hAnsi="宋体" w:eastAsia="仿宋_GB2312" w:cs="Courier New"/>
          <w:sz w:val="32"/>
          <w:szCs w:val="32"/>
        </w:rPr>
        <w:t>。</w:t>
      </w:r>
    </w:p>
    <w:p>
      <w:pPr>
        <w:keepNext w:val="0"/>
        <w:keepLines w:val="0"/>
        <w:pageBreakBefore w:val="0"/>
        <w:kinsoku/>
        <w:wordWrap/>
        <w:overflowPunct/>
        <w:topLinePunct w:val="0"/>
        <w:bidi w:val="0"/>
        <w:adjustRightInd w:val="0"/>
        <w:snapToGrid w:val="0"/>
        <w:spacing w:line="590" w:lineRule="exact"/>
        <w:ind w:firstLine="642"/>
        <w:textAlignment w:val="auto"/>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Courier New"/>
          <w:b/>
          <w:bCs/>
          <w:sz w:val="32"/>
          <w:szCs w:val="32"/>
          <w:lang w:val="en-US" w:eastAsia="zh-CN"/>
        </w:rPr>
        <w:t>5、</w:t>
      </w:r>
      <w:r>
        <w:rPr>
          <w:rFonts w:hint="eastAsia" w:ascii="仿宋_GB2312" w:hAnsi="宋体" w:eastAsia="仿宋_GB2312" w:cs="Courier New"/>
          <w:b/>
          <w:bCs/>
          <w:sz w:val="32"/>
          <w:szCs w:val="32"/>
        </w:rPr>
        <w:t>社会保障和就业（类）行政事业单位</w:t>
      </w:r>
      <w:r>
        <w:rPr>
          <w:rFonts w:hint="eastAsia" w:ascii="仿宋_GB2312" w:hAnsi="宋体" w:eastAsia="仿宋_GB2312" w:cs="Courier New"/>
          <w:b/>
          <w:bCs/>
          <w:sz w:val="32"/>
          <w:szCs w:val="32"/>
          <w:lang w:eastAsia="zh-CN"/>
        </w:rPr>
        <w:t>养老支出</w:t>
      </w:r>
      <w:r>
        <w:rPr>
          <w:rFonts w:hint="eastAsia" w:ascii="仿宋_GB2312" w:hAnsi="宋体" w:eastAsia="仿宋_GB2312" w:cs="Courier New"/>
          <w:b/>
          <w:bCs/>
          <w:sz w:val="32"/>
          <w:szCs w:val="32"/>
        </w:rPr>
        <w:t>（款）</w:t>
      </w:r>
      <w:r>
        <w:rPr>
          <w:rFonts w:hint="eastAsia" w:ascii="仿宋_GB2312" w:hAnsi="宋体" w:eastAsia="仿宋_GB2312" w:cs="Courier New"/>
          <w:b/>
          <w:bCs/>
          <w:sz w:val="32"/>
          <w:szCs w:val="32"/>
          <w:lang w:eastAsia="zh-CN"/>
        </w:rPr>
        <w:t>机关事业单位基本养老保险缴费支出</w:t>
      </w:r>
      <w:r>
        <w:rPr>
          <w:rFonts w:hint="eastAsia" w:ascii="仿宋_GB2312" w:hAnsi="宋体" w:eastAsia="仿宋_GB2312" w:cs="Courier New"/>
          <w:b/>
          <w:bCs/>
          <w:sz w:val="32"/>
          <w:szCs w:val="32"/>
        </w:rPr>
        <w:t>（项）。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0.00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6.28</w:t>
      </w:r>
      <w:r>
        <w:rPr>
          <w:rFonts w:hint="eastAsia" w:ascii="仿宋_GB2312" w:hAnsi="宋体" w:eastAsia="仿宋_GB2312" w:cs="Courier New"/>
          <w:sz w:val="32"/>
          <w:szCs w:val="32"/>
        </w:rPr>
        <w:t>万元，</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主要原因为以前年度结转经费用于本年支出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Courier New"/>
          <w:b/>
          <w:bCs/>
          <w:sz w:val="32"/>
          <w:szCs w:val="32"/>
          <w:lang w:val="en-US" w:eastAsia="zh-CN"/>
        </w:rPr>
        <w:t>6、</w:t>
      </w:r>
      <w:r>
        <w:rPr>
          <w:rFonts w:hint="eastAsia" w:ascii="仿宋_GB2312" w:hAnsi="宋体" w:eastAsia="仿宋_GB2312" w:cs="Courier New"/>
          <w:b/>
          <w:bCs/>
          <w:sz w:val="32"/>
          <w:szCs w:val="32"/>
          <w:lang w:eastAsia="zh-CN"/>
        </w:rPr>
        <w:t>卫生健康支出</w:t>
      </w:r>
      <w:r>
        <w:rPr>
          <w:rFonts w:hint="eastAsia" w:ascii="仿宋_GB2312" w:hAnsi="宋体" w:eastAsia="仿宋_GB2312" w:cs="Courier New"/>
          <w:b/>
          <w:bCs/>
          <w:sz w:val="32"/>
          <w:szCs w:val="32"/>
        </w:rPr>
        <w:t>（类）行政事业单位</w:t>
      </w:r>
      <w:r>
        <w:rPr>
          <w:rFonts w:hint="eastAsia" w:ascii="仿宋_GB2312" w:hAnsi="宋体" w:eastAsia="仿宋_GB2312" w:cs="Courier New"/>
          <w:b/>
          <w:bCs/>
          <w:sz w:val="32"/>
          <w:szCs w:val="32"/>
          <w:lang w:eastAsia="zh-CN"/>
        </w:rPr>
        <w:t>医疗</w:t>
      </w:r>
      <w:r>
        <w:rPr>
          <w:rFonts w:hint="eastAsia" w:ascii="仿宋_GB2312" w:hAnsi="宋体" w:eastAsia="仿宋_GB2312" w:cs="Courier New"/>
          <w:b/>
          <w:bCs/>
          <w:sz w:val="32"/>
          <w:szCs w:val="32"/>
        </w:rPr>
        <w:t>（款）</w:t>
      </w:r>
      <w:r>
        <w:rPr>
          <w:rFonts w:hint="eastAsia" w:ascii="仿宋_GB2312" w:hAnsi="宋体" w:eastAsia="仿宋_GB2312" w:cs="Courier New"/>
          <w:b/>
          <w:bCs/>
          <w:sz w:val="32"/>
          <w:szCs w:val="32"/>
          <w:lang w:eastAsia="zh-CN"/>
        </w:rPr>
        <w:t>行政单位医疗</w:t>
      </w:r>
      <w:r>
        <w:rPr>
          <w:rFonts w:hint="eastAsia" w:ascii="仿宋_GB2312" w:hAnsi="宋体" w:eastAsia="仿宋_GB2312" w:cs="Courier New"/>
          <w:b/>
          <w:bCs/>
          <w:sz w:val="32"/>
          <w:szCs w:val="32"/>
        </w:rPr>
        <w:t>（项）。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0.00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4.24</w:t>
      </w:r>
      <w:r>
        <w:rPr>
          <w:rFonts w:hint="eastAsia" w:ascii="仿宋_GB2312" w:hAnsi="宋体" w:eastAsia="仿宋_GB2312" w:cs="Courier New"/>
          <w:sz w:val="32"/>
          <w:szCs w:val="32"/>
        </w:rPr>
        <w:t>万元，</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主要原因为以前年度结转经费用于本年支出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Courier New"/>
          <w:b/>
          <w:bCs/>
          <w:sz w:val="32"/>
          <w:szCs w:val="32"/>
          <w:lang w:val="en-US" w:eastAsia="zh-CN"/>
        </w:rPr>
        <w:t>7、</w:t>
      </w:r>
      <w:r>
        <w:rPr>
          <w:rFonts w:hint="eastAsia" w:ascii="仿宋_GB2312" w:hAnsi="宋体" w:eastAsia="仿宋_GB2312" w:cs="Courier New"/>
          <w:b/>
          <w:bCs/>
          <w:sz w:val="32"/>
          <w:szCs w:val="32"/>
          <w:lang w:eastAsia="zh-CN"/>
        </w:rPr>
        <w:t>卫生健康支出（类）行政事业单位医疗（款）公务员医疗补助（项）。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0.00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6.14</w:t>
      </w:r>
      <w:r>
        <w:rPr>
          <w:rFonts w:hint="eastAsia" w:ascii="仿宋_GB2312" w:hAnsi="宋体" w:eastAsia="仿宋_GB2312" w:cs="Courier New"/>
          <w:sz w:val="32"/>
          <w:szCs w:val="32"/>
        </w:rPr>
        <w:t>万元，</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主要原因为以前年度结转经费用于本年支出</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813.72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727.39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其他工资福利支出、</w:t>
      </w:r>
      <w:r>
        <w:rPr>
          <w:rFonts w:hint="eastAsia" w:ascii="仿宋_GB2312" w:hAnsi="仿宋_GB2312" w:eastAsia="仿宋_GB2312" w:cs="仿宋_GB2312"/>
          <w:sz w:val="32"/>
          <w:szCs w:val="32"/>
          <w:highlight w:val="none"/>
        </w:rPr>
        <w:t>退休费、住房公积金；公用经费</w:t>
      </w:r>
      <w:r>
        <w:rPr>
          <w:rFonts w:hint="eastAsia" w:ascii="仿宋_GB2312" w:hAnsi="仿宋_GB2312" w:eastAsia="仿宋_GB2312" w:cs="仿宋_GB2312"/>
          <w:sz w:val="32"/>
          <w:szCs w:val="32"/>
          <w:highlight w:val="none"/>
          <w:lang w:val="en-US" w:eastAsia="zh-CN"/>
        </w:rPr>
        <w:t>86.34</w:t>
      </w:r>
      <w:r>
        <w:rPr>
          <w:rFonts w:hint="eastAsia" w:ascii="仿宋_GB2312" w:hAnsi="仿宋_GB2312" w:eastAsia="仿宋_GB2312" w:cs="仿宋_GB2312"/>
          <w:sz w:val="32"/>
          <w:szCs w:val="32"/>
          <w:highlight w:val="none"/>
        </w:rPr>
        <w:t>万元，主要包括：办公费、印刷费、电费、邮电费、物业管理费、差旅费、</w:t>
      </w:r>
      <w:r>
        <w:rPr>
          <w:rFonts w:hint="eastAsia" w:ascii="仿宋_GB2312" w:hAnsi="仿宋_GB2312" w:eastAsia="仿宋_GB2312" w:cs="仿宋_GB2312"/>
          <w:sz w:val="32"/>
          <w:szCs w:val="32"/>
          <w:highlight w:val="none"/>
          <w:lang w:eastAsia="zh-CN"/>
        </w:rPr>
        <w:t>租赁费、</w:t>
      </w:r>
      <w:r>
        <w:rPr>
          <w:rFonts w:hint="eastAsia" w:ascii="仿宋_GB2312" w:hAnsi="仿宋_GB2312" w:eastAsia="仿宋_GB2312" w:cs="仿宋_GB2312"/>
          <w:sz w:val="32"/>
          <w:szCs w:val="32"/>
          <w:highlight w:val="none"/>
        </w:rPr>
        <w:t>会议费、培训费、劳务费、委托业务费、工会经费、福利费、公务用车运行维护费、其他交通费用、其他商品和服务支出</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84.00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eastAsia="仿宋_GB2312"/>
          <w:sz w:val="32"/>
          <w:szCs w:val="32"/>
        </w:rPr>
        <w:t>本年度严格控制公车运行费用和公务接待支出。</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2.10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84.00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84.00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加强车辆管理，严格控制公车运行支出</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2.10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燃料费、维修费、保险费等支出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4辆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无</w:t>
      </w:r>
      <w:r>
        <w:rPr>
          <w:rFonts w:hint="eastAsia" w:ascii="仿宋_GB2312" w:hAnsi="仿宋_GB2312" w:eastAsia="仿宋_GB2312" w:cs="仿宋_GB2312"/>
          <w:sz w:val="32"/>
          <w:szCs w:val="32"/>
          <w:highlight w:val="none"/>
        </w:rPr>
        <w:t>差异。其中：</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val="en-US" w:eastAsia="zh-CN"/>
        </w:rPr>
        <w:t>单位2021年度</w:t>
      </w:r>
      <w:r>
        <w:rPr>
          <w:rFonts w:hint="eastAsia" w:ascii="仿宋_GB2312" w:hAnsi="仿宋_GB2312" w:eastAsia="仿宋_GB2312" w:cs="仿宋_GB2312"/>
          <w:sz w:val="32"/>
          <w:szCs w:val="32"/>
          <w:highlight w:val="none"/>
        </w:rPr>
        <w:t>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110.01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86.34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78.48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eastAsia="仿宋_GB2312" w:cs="宋体"/>
          <w:kern w:val="0"/>
          <w:sz w:val="32"/>
          <w:szCs w:val="32"/>
          <w:highlight w:val="none"/>
          <w:lang w:val="zh-CN"/>
        </w:rPr>
        <w:t>严格落实中央八项规定，厉行节约，压缩各项办公经费开支</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numPr>
          <w:ilvl w:val="0"/>
          <w:numId w:val="3"/>
        </w:numPr>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预算绩效情况说明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根据绩效自评的要求，对照自评方案进行研究和部署，按照自评方案的要求，对照各实施项目逐条逐项自评。在自评过程中发现问题，查找原因，及时纠正偏差，为下一步工作夯实基础。二是项目绩效自评情况。我单位共有0个项目批复了绩效目标，项目金额</w:t>
      </w:r>
      <w:r>
        <w:rPr>
          <w:rFonts w:hint="eastAsia" w:ascii="仿宋_GB2312" w:hAnsi="仿宋_GB2312" w:eastAsia="仿宋_GB2312"/>
          <w:sz w:val="32"/>
          <w:szCs w:val="24"/>
          <w:lang w:val="en-US" w:eastAsia="zh-CN"/>
        </w:rPr>
        <w:t>0.00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7307"/>
    <w:multiLevelType w:val="singleLevel"/>
    <w:tmpl w:val="FBFF7307"/>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6DFECC18"/>
    <w:multiLevelType w:val="singleLevel"/>
    <w:tmpl w:val="6DFECC18"/>
    <w:lvl w:ilvl="0" w:tentative="0">
      <w:start w:val="1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1E303F1"/>
    <w:rsid w:val="0210063F"/>
    <w:rsid w:val="02A3489A"/>
    <w:rsid w:val="02CA138D"/>
    <w:rsid w:val="033646FC"/>
    <w:rsid w:val="03B42718"/>
    <w:rsid w:val="03C75F80"/>
    <w:rsid w:val="0478364D"/>
    <w:rsid w:val="053D4C0D"/>
    <w:rsid w:val="0557532E"/>
    <w:rsid w:val="0799329C"/>
    <w:rsid w:val="08397436"/>
    <w:rsid w:val="085C7B16"/>
    <w:rsid w:val="086F16A7"/>
    <w:rsid w:val="0A0F7225"/>
    <w:rsid w:val="0A2B7D82"/>
    <w:rsid w:val="0ADC40E9"/>
    <w:rsid w:val="0AE607F4"/>
    <w:rsid w:val="0B386127"/>
    <w:rsid w:val="0B451598"/>
    <w:rsid w:val="0BEC73F4"/>
    <w:rsid w:val="0C392698"/>
    <w:rsid w:val="0D447276"/>
    <w:rsid w:val="0E7BAA35"/>
    <w:rsid w:val="10BD36F6"/>
    <w:rsid w:val="11BF0649"/>
    <w:rsid w:val="123E3E08"/>
    <w:rsid w:val="125877B4"/>
    <w:rsid w:val="12A4667E"/>
    <w:rsid w:val="13260CDC"/>
    <w:rsid w:val="133212F4"/>
    <w:rsid w:val="13D22E22"/>
    <w:rsid w:val="13FA0089"/>
    <w:rsid w:val="161C2DFF"/>
    <w:rsid w:val="16373578"/>
    <w:rsid w:val="16D3336B"/>
    <w:rsid w:val="17200028"/>
    <w:rsid w:val="17806C36"/>
    <w:rsid w:val="17A74F62"/>
    <w:rsid w:val="17D30C78"/>
    <w:rsid w:val="181808BC"/>
    <w:rsid w:val="18A47774"/>
    <w:rsid w:val="18D06A98"/>
    <w:rsid w:val="1A8D28EB"/>
    <w:rsid w:val="1A9F2D78"/>
    <w:rsid w:val="1B2E6FD8"/>
    <w:rsid w:val="1B5EA339"/>
    <w:rsid w:val="1B877D21"/>
    <w:rsid w:val="1BFF206C"/>
    <w:rsid w:val="1C4319A9"/>
    <w:rsid w:val="1C6C4AA5"/>
    <w:rsid w:val="1D8B2B4F"/>
    <w:rsid w:val="1DF84E2A"/>
    <w:rsid w:val="1DFEBB75"/>
    <w:rsid w:val="1E443B4B"/>
    <w:rsid w:val="1E994F4A"/>
    <w:rsid w:val="1EAF0224"/>
    <w:rsid w:val="1F2230A4"/>
    <w:rsid w:val="1FCF98FF"/>
    <w:rsid w:val="20210932"/>
    <w:rsid w:val="202448E0"/>
    <w:rsid w:val="20F614FE"/>
    <w:rsid w:val="21302EEA"/>
    <w:rsid w:val="22376FB5"/>
    <w:rsid w:val="22462EF8"/>
    <w:rsid w:val="23E152D7"/>
    <w:rsid w:val="23E730CC"/>
    <w:rsid w:val="23EE2489"/>
    <w:rsid w:val="25406175"/>
    <w:rsid w:val="255D43C8"/>
    <w:rsid w:val="26714EF8"/>
    <w:rsid w:val="26876BDD"/>
    <w:rsid w:val="2714632A"/>
    <w:rsid w:val="27541E73"/>
    <w:rsid w:val="27B0539E"/>
    <w:rsid w:val="29365CF8"/>
    <w:rsid w:val="299469B3"/>
    <w:rsid w:val="29FF6959"/>
    <w:rsid w:val="2A805789"/>
    <w:rsid w:val="2ADC0D75"/>
    <w:rsid w:val="2B4A0E52"/>
    <w:rsid w:val="2BDF8DC0"/>
    <w:rsid w:val="2C975890"/>
    <w:rsid w:val="2DEF21BB"/>
    <w:rsid w:val="2E4A2F05"/>
    <w:rsid w:val="2E7DB70C"/>
    <w:rsid w:val="2ECC1061"/>
    <w:rsid w:val="2EEF3969"/>
    <w:rsid w:val="2FA476AD"/>
    <w:rsid w:val="2FFD4FCA"/>
    <w:rsid w:val="303F7540"/>
    <w:rsid w:val="31DD00BF"/>
    <w:rsid w:val="3293174C"/>
    <w:rsid w:val="32BB38D4"/>
    <w:rsid w:val="32C9376D"/>
    <w:rsid w:val="3319235B"/>
    <w:rsid w:val="33780472"/>
    <w:rsid w:val="33AF0905"/>
    <w:rsid w:val="34655258"/>
    <w:rsid w:val="355932F4"/>
    <w:rsid w:val="35611882"/>
    <w:rsid w:val="36746FC3"/>
    <w:rsid w:val="368763AE"/>
    <w:rsid w:val="37DB2C49"/>
    <w:rsid w:val="37FFBA9A"/>
    <w:rsid w:val="39142E6C"/>
    <w:rsid w:val="395D59E7"/>
    <w:rsid w:val="39A93932"/>
    <w:rsid w:val="3A837285"/>
    <w:rsid w:val="3A915562"/>
    <w:rsid w:val="3ABE0E63"/>
    <w:rsid w:val="3B83319D"/>
    <w:rsid w:val="3B8D4765"/>
    <w:rsid w:val="3C000DBA"/>
    <w:rsid w:val="3CD3CA12"/>
    <w:rsid w:val="3DB7410A"/>
    <w:rsid w:val="3DBF049A"/>
    <w:rsid w:val="3DC045D3"/>
    <w:rsid w:val="3DFFB34B"/>
    <w:rsid w:val="3E1BD959"/>
    <w:rsid w:val="3E504FFB"/>
    <w:rsid w:val="3E615CD0"/>
    <w:rsid w:val="3E9C47F6"/>
    <w:rsid w:val="3ECEFC76"/>
    <w:rsid w:val="3EDAF80C"/>
    <w:rsid w:val="3F8B0112"/>
    <w:rsid w:val="3FAB3095"/>
    <w:rsid w:val="3FB798C7"/>
    <w:rsid w:val="3FE45947"/>
    <w:rsid w:val="3FF7E775"/>
    <w:rsid w:val="3FFFDD7D"/>
    <w:rsid w:val="41242965"/>
    <w:rsid w:val="41B71CC5"/>
    <w:rsid w:val="435671EA"/>
    <w:rsid w:val="440809E9"/>
    <w:rsid w:val="442407A6"/>
    <w:rsid w:val="44805EA1"/>
    <w:rsid w:val="45710696"/>
    <w:rsid w:val="46142B1B"/>
    <w:rsid w:val="47942167"/>
    <w:rsid w:val="47C75559"/>
    <w:rsid w:val="47E60DD0"/>
    <w:rsid w:val="48735039"/>
    <w:rsid w:val="492C684B"/>
    <w:rsid w:val="49500594"/>
    <w:rsid w:val="49E7604E"/>
    <w:rsid w:val="4A6F91CD"/>
    <w:rsid w:val="4BF67CDD"/>
    <w:rsid w:val="4D173441"/>
    <w:rsid w:val="4D603DD6"/>
    <w:rsid w:val="4D7E178D"/>
    <w:rsid w:val="4DB53FB4"/>
    <w:rsid w:val="4DF50B66"/>
    <w:rsid w:val="4DFF7FE8"/>
    <w:rsid w:val="4EBF010F"/>
    <w:rsid w:val="4EED7B9F"/>
    <w:rsid w:val="4F0C7544"/>
    <w:rsid w:val="4F471EB0"/>
    <w:rsid w:val="4FFFE297"/>
    <w:rsid w:val="505C7A00"/>
    <w:rsid w:val="51331326"/>
    <w:rsid w:val="51740A7F"/>
    <w:rsid w:val="51A5541E"/>
    <w:rsid w:val="51C96242"/>
    <w:rsid w:val="53906AE1"/>
    <w:rsid w:val="53CA78E4"/>
    <w:rsid w:val="54353F9D"/>
    <w:rsid w:val="54F46F60"/>
    <w:rsid w:val="55A37BEA"/>
    <w:rsid w:val="55C7559A"/>
    <w:rsid w:val="56362CD2"/>
    <w:rsid w:val="56C1680E"/>
    <w:rsid w:val="56D8466F"/>
    <w:rsid w:val="56F3629C"/>
    <w:rsid w:val="577F5A9F"/>
    <w:rsid w:val="5784687B"/>
    <w:rsid w:val="57846959"/>
    <w:rsid w:val="578E6A87"/>
    <w:rsid w:val="57F222CB"/>
    <w:rsid w:val="57F2F79E"/>
    <w:rsid w:val="59FB1B4B"/>
    <w:rsid w:val="5AC2203A"/>
    <w:rsid w:val="5BDB493B"/>
    <w:rsid w:val="5CBB3334"/>
    <w:rsid w:val="5D115FAF"/>
    <w:rsid w:val="5DED6348"/>
    <w:rsid w:val="5DEDEDA3"/>
    <w:rsid w:val="5F5746BB"/>
    <w:rsid w:val="61C827FF"/>
    <w:rsid w:val="62811722"/>
    <w:rsid w:val="62E75A72"/>
    <w:rsid w:val="63E304FC"/>
    <w:rsid w:val="64571880"/>
    <w:rsid w:val="649125B6"/>
    <w:rsid w:val="652F4C1A"/>
    <w:rsid w:val="657D6283"/>
    <w:rsid w:val="666D37F1"/>
    <w:rsid w:val="67087D8F"/>
    <w:rsid w:val="671F687E"/>
    <w:rsid w:val="67774B40"/>
    <w:rsid w:val="67F415F8"/>
    <w:rsid w:val="682640D1"/>
    <w:rsid w:val="684B73E5"/>
    <w:rsid w:val="687F95C9"/>
    <w:rsid w:val="6A047A2A"/>
    <w:rsid w:val="6A564EFD"/>
    <w:rsid w:val="6BD67AE8"/>
    <w:rsid w:val="6BF890D7"/>
    <w:rsid w:val="6C7F7C77"/>
    <w:rsid w:val="6D523D84"/>
    <w:rsid w:val="6E1B7EF6"/>
    <w:rsid w:val="6EFB7548"/>
    <w:rsid w:val="6F3831C3"/>
    <w:rsid w:val="6F5D4DFE"/>
    <w:rsid w:val="6F8B71C1"/>
    <w:rsid w:val="6FDF8B2A"/>
    <w:rsid w:val="70753482"/>
    <w:rsid w:val="707B522A"/>
    <w:rsid w:val="73194D05"/>
    <w:rsid w:val="73A83B0E"/>
    <w:rsid w:val="73BF6D83"/>
    <w:rsid w:val="744D3EF9"/>
    <w:rsid w:val="74794411"/>
    <w:rsid w:val="751753A4"/>
    <w:rsid w:val="75867C40"/>
    <w:rsid w:val="75B10B26"/>
    <w:rsid w:val="75BD6836"/>
    <w:rsid w:val="76432199"/>
    <w:rsid w:val="767FEC10"/>
    <w:rsid w:val="76E92374"/>
    <w:rsid w:val="76F44829"/>
    <w:rsid w:val="77471B73"/>
    <w:rsid w:val="777F2B8C"/>
    <w:rsid w:val="778959A1"/>
    <w:rsid w:val="77A267C0"/>
    <w:rsid w:val="78882278"/>
    <w:rsid w:val="78B118A6"/>
    <w:rsid w:val="79135044"/>
    <w:rsid w:val="797EBA35"/>
    <w:rsid w:val="7A7D0F99"/>
    <w:rsid w:val="7AFF02EA"/>
    <w:rsid w:val="7B336D95"/>
    <w:rsid w:val="7B7BAE94"/>
    <w:rsid w:val="7B7F027E"/>
    <w:rsid w:val="7BDD4092"/>
    <w:rsid w:val="7BFB8C48"/>
    <w:rsid w:val="7CF99E12"/>
    <w:rsid w:val="7D1F88B9"/>
    <w:rsid w:val="7D7B2513"/>
    <w:rsid w:val="7DDD1DD8"/>
    <w:rsid w:val="7DFAFCC0"/>
    <w:rsid w:val="7DFF55D5"/>
    <w:rsid w:val="7E4A0E7C"/>
    <w:rsid w:val="7EAEE3B8"/>
    <w:rsid w:val="7EDD9603"/>
    <w:rsid w:val="7EFD449D"/>
    <w:rsid w:val="7EFF28E5"/>
    <w:rsid w:val="7EFF5B84"/>
    <w:rsid w:val="7F422CB5"/>
    <w:rsid w:val="7F50D905"/>
    <w:rsid w:val="7F6D0749"/>
    <w:rsid w:val="7FBCDBDE"/>
    <w:rsid w:val="7FBD0CC4"/>
    <w:rsid w:val="7FBE6E95"/>
    <w:rsid w:val="7FD7A2B9"/>
    <w:rsid w:val="7FDE8843"/>
    <w:rsid w:val="7FDF0165"/>
    <w:rsid w:val="7FF7C264"/>
    <w:rsid w:val="7FFBE222"/>
    <w:rsid w:val="7FFFA139"/>
    <w:rsid w:val="9B342605"/>
    <w:rsid w:val="9CAF2E5C"/>
    <w:rsid w:val="9CB3BD1B"/>
    <w:rsid w:val="9F473597"/>
    <w:rsid w:val="ABAAA4D7"/>
    <w:rsid w:val="AFD541EC"/>
    <w:rsid w:val="B057F18D"/>
    <w:rsid w:val="B1FFFEB3"/>
    <w:rsid w:val="B3F47523"/>
    <w:rsid w:val="B75F8CF5"/>
    <w:rsid w:val="BB2F5CF2"/>
    <w:rsid w:val="BBFFCEBE"/>
    <w:rsid w:val="BDD73D88"/>
    <w:rsid w:val="BDE784AE"/>
    <w:rsid w:val="BF6FE8A2"/>
    <w:rsid w:val="BF7EF059"/>
    <w:rsid w:val="BFEA0E9E"/>
    <w:rsid w:val="BFFB2669"/>
    <w:rsid w:val="BFFBE31F"/>
    <w:rsid w:val="CCFB61F7"/>
    <w:rsid w:val="CEDC1975"/>
    <w:rsid w:val="D372A623"/>
    <w:rsid w:val="D7FE7507"/>
    <w:rsid w:val="DDBA89C1"/>
    <w:rsid w:val="DF7B5A1B"/>
    <w:rsid w:val="DFBFADF3"/>
    <w:rsid w:val="DFFBF74B"/>
    <w:rsid w:val="DFFDF7E0"/>
    <w:rsid w:val="E5FFEAA1"/>
    <w:rsid w:val="E7574648"/>
    <w:rsid w:val="E96501FF"/>
    <w:rsid w:val="EBFEFF8F"/>
    <w:rsid w:val="EBFF7670"/>
    <w:rsid w:val="ED7BDA6A"/>
    <w:rsid w:val="EDD755D7"/>
    <w:rsid w:val="EDFAB92F"/>
    <w:rsid w:val="EEBFE4DE"/>
    <w:rsid w:val="EF5B06EF"/>
    <w:rsid w:val="EFFDF996"/>
    <w:rsid w:val="EFFE8262"/>
    <w:rsid w:val="F376D3DE"/>
    <w:rsid w:val="F3FEB740"/>
    <w:rsid w:val="F73AA8BD"/>
    <w:rsid w:val="F7CAC00C"/>
    <w:rsid w:val="F7DB9077"/>
    <w:rsid w:val="F7DEB284"/>
    <w:rsid w:val="F7E564BF"/>
    <w:rsid w:val="F7EA9CF4"/>
    <w:rsid w:val="F7F748B0"/>
    <w:rsid w:val="F7FF1FB4"/>
    <w:rsid w:val="FA96AB6F"/>
    <w:rsid w:val="FBF3CBF1"/>
    <w:rsid w:val="FC59EDCC"/>
    <w:rsid w:val="FDFD6FF8"/>
    <w:rsid w:val="FEC49386"/>
    <w:rsid w:val="FF2D2297"/>
    <w:rsid w:val="FF3F9732"/>
    <w:rsid w:val="FF676E87"/>
    <w:rsid w:val="FF6D003A"/>
    <w:rsid w:val="FF75FFA9"/>
    <w:rsid w:val="FF9DF698"/>
    <w:rsid w:val="FFB17ADF"/>
    <w:rsid w:val="FFDCFF3B"/>
    <w:rsid w:val="FFDF5BE7"/>
    <w:rsid w:val="FFF7A46D"/>
    <w:rsid w:val="FFFBEC79"/>
    <w:rsid w:val="FFFD025F"/>
    <w:rsid w:val="FFFE0286"/>
    <w:rsid w:val="FFFE15DC"/>
    <w:rsid w:val="FFFE6207"/>
    <w:rsid w:val="FFFF5630"/>
    <w:rsid w:val="FFFF9346"/>
    <w:rsid w:val="FFFFEB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paragraph" w:customStyle="1" w:styleId="14">
    <w:name w:val="Normal Indent1"/>
    <w:basedOn w:val="1"/>
    <w:qFormat/>
    <w:uiPriority w:val="0"/>
    <w:pPr>
      <w:ind w:firstLine="420" w:firstLineChars="200"/>
    </w:p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 w:type="paragraph" w:customStyle="1" w:styleId="20">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8069</Words>
  <Characters>9715</Characters>
  <Lines>1</Lines>
  <Paragraphs>1</Paragraphs>
  <TotalTime>124.333333333333</TotalTime>
  <ScaleCrop>false</ScaleCrop>
  <LinksUpToDate>false</LinksUpToDate>
  <CharactersWithSpaces>9931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2007-12-03T11:41:00Z</dcterms:created>
  <dc:creator>管理者</dc:creator>
  <cp:lastModifiedBy>悟の</cp:lastModifiedBy>
  <cp:lastPrinted>2018-07-28T18:50:00Z</cp:lastPrinted>
  <dcterms:modified xsi:type="dcterms:W3CDTF">2023-05-29T03:09:13Z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9C10F73B07EF4BB4A65A68A1070F1613_13</vt:lpwstr>
  </property>
</Properties>
</file>