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bookmarkStart w:id="0" w:name="_GoBack"/>
      <w:bookmarkEnd w:id="0"/>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ind w:firstLine="520" w:firstLineChars="100"/>
        <w:jc w:val="both"/>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许昌市市场监督管理局专业分局</w:t>
      </w:r>
    </w:p>
    <w:p>
      <w:pPr>
        <w:ind w:firstLine="3120" w:firstLineChars="600"/>
        <w:jc w:val="both"/>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单位决算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许昌市市场监督管理局专业分局概况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rPr>
        <w:t xml:space="preserve"> </w:t>
      </w:r>
      <w:r>
        <w:rPr>
          <w:rFonts w:hint="eastAsia" w:ascii="黑体" w:hAnsi="黑体" w:eastAsia="黑体" w:cs="黑体"/>
          <w:sz w:val="48"/>
          <w:szCs w:val="48"/>
          <w:highlight w:val="none"/>
          <w:lang w:eastAsia="zh-CN"/>
        </w:rPr>
        <w:t>许昌市市场监督管理局</w:t>
      </w:r>
    </w:p>
    <w:p>
      <w:pPr>
        <w:widowControl/>
        <w:numPr>
          <w:ilvl w:val="0"/>
          <w:numId w:val="0"/>
        </w:numPr>
        <w:ind w:firstLine="3840" w:firstLineChars="800"/>
        <w:jc w:val="both"/>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lang w:eastAsia="zh-CN"/>
        </w:rPr>
        <w:t>专业分局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宋体"/>
          <w:kern w:val="0"/>
          <w:sz w:val="32"/>
          <w:szCs w:val="32"/>
          <w:highlight w:val="none"/>
        </w:rPr>
      </w:pPr>
      <w:r>
        <w:rPr>
          <w:rFonts w:hint="default" w:ascii="仿宋_GB2312" w:hAnsi="仿宋" w:eastAsia="仿宋_GB2312" w:cs="Times New Roman"/>
          <w:b w:val="0"/>
          <w:bCs w:val="0"/>
          <w:i w:val="0"/>
          <w:iCs w:val="0"/>
          <w:color w:val="auto"/>
          <w:kern w:val="2"/>
          <w:sz w:val="32"/>
          <w:szCs w:val="32"/>
          <w:highlight w:val="none"/>
          <w:vertAlign w:val="baseline"/>
          <w:lang w:val="en-US" w:eastAsia="zh-CN" w:bidi="ar-SA"/>
        </w:rPr>
        <w:t>负责对市区银行、保险、建筑、房地产开发、典当拍卖、中介服务、交通运输、邮政物流等行业的市场经营行为进行依法监管；承担市区国家新兴产业（如电子商务、现代服务业)市场主体经营行为的依法监管与服务工作；负责市区网络市场监管工作；负责市局登记市场主体的“双随机一公开”的核查工作；协助相关分局处理食品安全等突发事件；协助相关分局做好重大活动、会议等食品安全保障工作；完成市局交办的其他任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spacing w:line="240" w:lineRule="auto"/>
        <w:ind w:firstLine="640" w:firstLineChars="200"/>
        <w:jc w:val="left"/>
        <w:rPr>
          <w:rFonts w:hint="eastAsia" w:ascii="仿宋_GB2312" w:hAnsi="仿宋_GB2312" w:eastAsia="仿宋_GB2312" w:cs="仿宋_GB2312"/>
          <w:kern w:val="0"/>
          <w:sz w:val="32"/>
          <w:szCs w:val="32"/>
          <w:highlight w:val="none"/>
        </w:rPr>
      </w:pPr>
      <w:r>
        <w:rPr>
          <w:rFonts w:hint="default" w:ascii="仿宋_GB2312" w:hAnsi="仿宋" w:eastAsia="仿宋_GB2312" w:cs="Times New Roman"/>
          <w:b w:val="0"/>
          <w:bCs w:val="0"/>
          <w:i w:val="0"/>
          <w:iCs w:val="0"/>
          <w:color w:val="auto"/>
          <w:kern w:val="2"/>
          <w:sz w:val="32"/>
          <w:szCs w:val="32"/>
          <w:highlight w:val="none"/>
          <w:vertAlign w:val="baseline"/>
          <w:lang w:val="en-US" w:eastAsia="zh-CN" w:bidi="ar-SA"/>
        </w:rPr>
        <w:t>许昌市市场监督管理局专业分局</w:t>
      </w:r>
      <w:r>
        <w:rPr>
          <w:rFonts w:hint="eastAsia" w:ascii="仿宋_GB2312" w:hAnsi="仿宋_GB2312" w:eastAsia="仿宋_GB2312" w:cs="仿宋_GB2312"/>
          <w:kern w:val="0"/>
          <w:sz w:val="32"/>
          <w:szCs w:val="32"/>
          <w:highlight w:val="none"/>
        </w:rPr>
        <w:t>内设机构4个，包括：</w:t>
      </w:r>
      <w:r>
        <w:rPr>
          <w:rFonts w:hint="default" w:ascii="仿宋_GB2312" w:hAnsi="Times New Roman" w:eastAsia="仿宋_GB2312" w:cs="Times New Roman"/>
          <w:b w:val="0"/>
          <w:bCs w:val="0"/>
          <w:i w:val="0"/>
          <w:iCs w:val="0"/>
          <w:color w:val="auto"/>
          <w:kern w:val="2"/>
          <w:sz w:val="32"/>
          <w:szCs w:val="32"/>
          <w:highlight w:val="none"/>
          <w:vertAlign w:val="baseline"/>
          <w:lang w:val="en-US" w:eastAsia="zh-CN" w:bidi="ar-SA"/>
        </w:rPr>
        <w:t>办公室、监管</w:t>
      </w:r>
      <w:r>
        <w:rPr>
          <w:rFonts w:hint="eastAsia" w:ascii="仿宋_GB2312" w:eastAsia="仿宋_GB2312" w:cs="Times New Roman"/>
          <w:b w:val="0"/>
          <w:bCs w:val="0"/>
          <w:i w:val="0"/>
          <w:iCs w:val="0"/>
          <w:color w:val="auto"/>
          <w:kern w:val="2"/>
          <w:sz w:val="32"/>
          <w:szCs w:val="32"/>
          <w:highlight w:val="none"/>
          <w:vertAlign w:val="baseline"/>
          <w:lang w:val="en-US" w:eastAsia="zh-CN" w:bidi="ar-SA"/>
        </w:rPr>
        <w:t>一</w:t>
      </w:r>
      <w:r>
        <w:rPr>
          <w:rFonts w:hint="default" w:ascii="仿宋_GB2312" w:hAnsi="Times New Roman" w:eastAsia="仿宋_GB2312" w:cs="Times New Roman"/>
          <w:b w:val="0"/>
          <w:bCs w:val="0"/>
          <w:i w:val="0"/>
          <w:iCs w:val="0"/>
          <w:color w:val="auto"/>
          <w:kern w:val="2"/>
          <w:sz w:val="32"/>
          <w:szCs w:val="32"/>
          <w:highlight w:val="none"/>
          <w:vertAlign w:val="baseline"/>
          <w:lang w:val="en-US" w:eastAsia="zh-CN" w:bidi="ar-SA"/>
        </w:rPr>
        <w:t>股</w:t>
      </w:r>
      <w:r>
        <w:rPr>
          <w:rFonts w:hint="eastAsia" w:ascii="仿宋_GB2312" w:eastAsia="仿宋_GB2312" w:cs="Times New Roman"/>
          <w:b w:val="0"/>
          <w:bCs w:val="0"/>
          <w:i w:val="0"/>
          <w:iCs w:val="0"/>
          <w:color w:val="auto"/>
          <w:kern w:val="2"/>
          <w:sz w:val="32"/>
          <w:szCs w:val="32"/>
          <w:highlight w:val="none"/>
          <w:vertAlign w:val="baseline"/>
          <w:lang w:val="en-US" w:eastAsia="zh-CN" w:bidi="ar-SA"/>
        </w:rPr>
        <w:t>、监管二股，监管三股</w:t>
      </w:r>
      <w:r>
        <w:rPr>
          <w:rFonts w:hint="default" w:ascii="仿宋_GB2312" w:hAnsi="Times New Roman" w:eastAsia="仿宋_GB2312" w:cs="Times New Roman"/>
          <w:b w:val="0"/>
          <w:bCs w:val="0"/>
          <w:i w:val="0"/>
          <w:iCs w:val="0"/>
          <w:color w:val="auto"/>
          <w:kern w:val="2"/>
          <w:sz w:val="32"/>
          <w:szCs w:val="32"/>
          <w:highlight w:val="none"/>
          <w:vertAlign w:val="baseline"/>
          <w:lang w:val="en-US" w:eastAsia="zh-CN" w:bidi="ar-SA"/>
        </w:rPr>
        <w:t>。另设有</w:t>
      </w:r>
      <w:r>
        <w:rPr>
          <w:rFonts w:hint="eastAsia" w:ascii="仿宋_GB2312" w:eastAsia="仿宋_GB2312" w:cs="Times New Roman"/>
          <w:b w:val="0"/>
          <w:bCs w:val="0"/>
          <w:i w:val="0"/>
          <w:iCs w:val="0"/>
          <w:color w:val="auto"/>
          <w:kern w:val="2"/>
          <w:sz w:val="32"/>
          <w:szCs w:val="32"/>
          <w:highlight w:val="none"/>
          <w:vertAlign w:val="baseline"/>
          <w:lang w:val="en-US" w:eastAsia="zh-CN" w:bidi="ar-SA"/>
        </w:rPr>
        <w:t>4</w:t>
      </w:r>
      <w:r>
        <w:rPr>
          <w:rFonts w:hint="default" w:ascii="仿宋_GB2312" w:hAnsi="Times New Roman" w:eastAsia="仿宋_GB2312" w:cs="Times New Roman"/>
          <w:b w:val="0"/>
          <w:bCs w:val="0"/>
          <w:i w:val="0"/>
          <w:iCs w:val="0"/>
          <w:color w:val="auto"/>
          <w:kern w:val="2"/>
          <w:sz w:val="32"/>
          <w:szCs w:val="32"/>
          <w:highlight w:val="none"/>
          <w:vertAlign w:val="baseline"/>
          <w:lang w:val="en-US" w:eastAsia="zh-CN" w:bidi="ar-SA"/>
        </w:rPr>
        <w:t>个副科级</w:t>
      </w:r>
      <w:r>
        <w:rPr>
          <w:rFonts w:hint="eastAsia" w:ascii="仿宋_GB2312" w:eastAsia="仿宋_GB2312" w:cs="Times New Roman"/>
          <w:b w:val="0"/>
          <w:bCs w:val="0"/>
          <w:i w:val="0"/>
          <w:iCs w:val="0"/>
          <w:color w:val="auto"/>
          <w:kern w:val="2"/>
          <w:sz w:val="32"/>
          <w:szCs w:val="32"/>
          <w:highlight w:val="none"/>
          <w:vertAlign w:val="baseline"/>
          <w:lang w:val="en-US" w:eastAsia="zh-CN" w:bidi="ar-SA"/>
        </w:rPr>
        <w:t>专业所</w:t>
      </w:r>
      <w:r>
        <w:rPr>
          <w:rFonts w:hint="default" w:ascii="仿宋_GB2312" w:hAnsi="仿宋_GB2312" w:eastAsia="仿宋_GB2312" w:cs="仿宋_GB2312"/>
          <w:b w:val="0"/>
          <w:bCs w:val="0"/>
          <w:i w:val="0"/>
          <w:iCs w:val="0"/>
          <w:color w:val="auto"/>
          <w:kern w:val="0"/>
          <w:sz w:val="32"/>
          <w:szCs w:val="32"/>
          <w:highlight w:val="none"/>
          <w:vertAlign w:val="baseline"/>
          <w:lang w:val="en-US" w:eastAsia="zh-CN" w:bidi="ar-SA"/>
        </w:rPr>
        <w:t>。</w:t>
      </w:r>
    </w:p>
    <w:p>
      <w:pPr>
        <w:widowControl/>
        <w:spacing w:line="240" w:lineRule="auto"/>
        <w:ind w:firstLine="640" w:firstLineChars="200"/>
        <w:jc w:val="left"/>
        <w:rPr>
          <w:rFonts w:hint="eastAsia" w:ascii="仿宋_GB2312" w:hAnsi="仿宋_GB2312" w:eastAsia="仿宋_GB2312" w:cs="仿宋_GB2312"/>
          <w:kern w:val="0"/>
          <w:sz w:val="32"/>
          <w:szCs w:val="32"/>
          <w:highlight w:val="none"/>
        </w:rPr>
      </w:pPr>
      <w:r>
        <w:rPr>
          <w:rFonts w:hint="default" w:ascii="仿宋_GB2312" w:hAnsi="仿宋_GB2312" w:eastAsia="仿宋_GB2312" w:cs="仿宋_GB2312"/>
          <w:b w:val="0"/>
          <w:bCs w:val="0"/>
          <w:i w:val="0"/>
          <w:iCs w:val="0"/>
          <w:color w:val="auto"/>
          <w:kern w:val="0"/>
          <w:sz w:val="32"/>
          <w:szCs w:val="32"/>
          <w:highlight w:val="none"/>
          <w:vertAlign w:val="baseline"/>
          <w:lang w:val="en-US" w:eastAsia="zh-CN" w:bidi="ar-SA"/>
        </w:rPr>
        <w:t>从决算单位构成看，</w:t>
      </w:r>
      <w:r>
        <w:rPr>
          <w:rFonts w:hint="default" w:ascii="仿宋_GB2312" w:hAnsi="仿宋_GB2312" w:eastAsia="仿宋_GB2312" w:cs="仿宋_GB2312"/>
          <w:b w:val="0"/>
          <w:bCs w:val="0"/>
          <w:i w:val="0"/>
          <w:iCs w:val="0"/>
          <w:color w:val="auto"/>
          <w:kern w:val="0"/>
          <w:sz w:val="32"/>
          <w:szCs w:val="32"/>
          <w:highlight w:val="none"/>
          <w:vertAlign w:val="baseline"/>
          <w:lang w:val="zh-CN" w:eastAsia="zh-CN" w:bidi="ar-SA"/>
        </w:rPr>
        <w:t>许昌市</w:t>
      </w:r>
      <w:r>
        <w:rPr>
          <w:rFonts w:hint="eastAsia" w:ascii="仿宋_GB2312" w:hAnsi="仿宋_GB2312" w:eastAsia="仿宋_GB2312" w:cs="仿宋_GB2312"/>
          <w:b w:val="0"/>
          <w:bCs w:val="0"/>
          <w:i w:val="0"/>
          <w:iCs w:val="0"/>
          <w:color w:val="auto"/>
          <w:kern w:val="0"/>
          <w:sz w:val="32"/>
          <w:szCs w:val="32"/>
          <w:highlight w:val="none"/>
          <w:vertAlign w:val="baseline"/>
          <w:lang w:val="zh-CN" w:eastAsia="zh-CN" w:bidi="ar-SA"/>
        </w:rPr>
        <w:t>市场监督</w:t>
      </w:r>
      <w:r>
        <w:rPr>
          <w:rFonts w:hint="default" w:ascii="仿宋_GB2312" w:hAnsi="仿宋_GB2312" w:eastAsia="仿宋_GB2312" w:cs="仿宋_GB2312"/>
          <w:b w:val="0"/>
          <w:bCs w:val="0"/>
          <w:i w:val="0"/>
          <w:iCs w:val="0"/>
          <w:color w:val="auto"/>
          <w:kern w:val="0"/>
          <w:sz w:val="32"/>
          <w:szCs w:val="32"/>
          <w:highlight w:val="none"/>
          <w:vertAlign w:val="baseline"/>
          <w:lang w:val="zh-CN" w:eastAsia="zh-CN" w:bidi="ar-SA"/>
        </w:rPr>
        <w:t>管理局专业分局</w:t>
      </w:r>
      <w:r>
        <w:rPr>
          <w:rFonts w:hint="eastAsia" w:ascii="仿宋_GB2312" w:hAnsi="仿宋_GB2312" w:eastAsia="仿宋_GB2312" w:cs="仿宋_GB2312"/>
          <w:b w:val="0"/>
          <w:bCs w:val="0"/>
          <w:i w:val="0"/>
          <w:iCs w:val="0"/>
          <w:color w:val="auto"/>
          <w:kern w:val="0"/>
          <w:sz w:val="32"/>
          <w:szCs w:val="32"/>
          <w:highlight w:val="none"/>
          <w:vertAlign w:val="baseline"/>
          <w:lang w:val="en-US" w:eastAsia="zh-CN" w:bidi="ar-SA"/>
        </w:rPr>
        <w:t>单位决算</w:t>
      </w:r>
      <w:r>
        <w:rPr>
          <w:rFonts w:hint="default" w:ascii="仿宋_GB2312" w:hAnsi="仿宋_GB2312" w:eastAsia="仿宋_GB2312" w:cs="仿宋_GB2312"/>
          <w:b w:val="0"/>
          <w:bCs w:val="0"/>
          <w:i w:val="0"/>
          <w:iCs w:val="0"/>
          <w:color w:val="auto"/>
          <w:kern w:val="0"/>
          <w:sz w:val="32"/>
          <w:szCs w:val="32"/>
          <w:highlight w:val="none"/>
          <w:vertAlign w:val="baseline"/>
          <w:lang w:val="en-US" w:eastAsia="zh-CN" w:bidi="ar-SA"/>
        </w:rPr>
        <w:t>包括：本级决算</w:t>
      </w:r>
      <w:r>
        <w:rPr>
          <w:rFonts w:hint="eastAsia" w:ascii="仿宋_GB2312" w:hAnsi="仿宋_GB2312" w:eastAsia="仿宋_GB2312" w:cs="仿宋_GB2312"/>
          <w:b w:val="0"/>
          <w:bCs w:val="0"/>
          <w:i w:val="0"/>
          <w:iCs w:val="0"/>
          <w:color w:val="auto"/>
          <w:kern w:val="0"/>
          <w:sz w:val="32"/>
          <w:szCs w:val="32"/>
          <w:highlight w:val="none"/>
          <w:vertAlign w:val="baseline"/>
          <w:lang w:val="en-US" w:eastAsia="zh-CN" w:bidi="ar-SA"/>
        </w:rPr>
        <w:t>（1个）</w:t>
      </w:r>
      <w:r>
        <w:rPr>
          <w:rFonts w:hint="default" w:ascii="仿宋_GB2312" w:hAnsi="仿宋_GB2312" w:eastAsia="仿宋_GB2312" w:cs="仿宋_GB2312"/>
          <w:b w:val="0"/>
          <w:bCs w:val="0"/>
          <w:i w:val="0"/>
          <w:iCs w:val="0"/>
          <w:color w:val="auto"/>
          <w:kern w:val="0"/>
          <w:sz w:val="32"/>
          <w:szCs w:val="32"/>
          <w:highlight w:val="none"/>
          <w:vertAlign w:val="baseline"/>
          <w:lang w:val="en-US" w:eastAsia="zh-CN" w:bidi="ar-SA"/>
        </w:rPr>
        <w:t>。</w:t>
      </w:r>
    </w:p>
    <w:p>
      <w:pPr>
        <w:widowControl/>
        <w:spacing w:line="240" w:lineRule="auto"/>
        <w:ind w:firstLine="640" w:firstLineChars="200"/>
        <w:jc w:val="left"/>
        <w:rPr>
          <w:rFonts w:hint="eastAsia" w:ascii="仿宋_GB2312" w:hAnsi="仿宋_GB2312" w:eastAsia="仿宋_GB2312" w:cs="仿宋_GB2312"/>
          <w:kern w:val="0"/>
          <w:sz w:val="32"/>
          <w:szCs w:val="32"/>
          <w:highlight w:val="none"/>
        </w:rPr>
      </w:pPr>
      <w:r>
        <w:rPr>
          <w:rFonts w:hint="default" w:ascii="仿宋_GB2312" w:hAnsi="仿宋_GB2312" w:eastAsia="仿宋_GB2312" w:cs="仿宋_GB2312"/>
          <w:b w:val="0"/>
          <w:bCs w:val="0"/>
          <w:i w:val="0"/>
          <w:iCs w:val="0"/>
          <w:color w:val="auto"/>
          <w:kern w:val="0"/>
          <w:sz w:val="32"/>
          <w:szCs w:val="32"/>
          <w:highlight w:val="none"/>
          <w:vertAlign w:val="baseline"/>
          <w:lang w:val="en-US" w:eastAsia="zh-CN" w:bidi="ar-SA"/>
        </w:rPr>
        <w:t>纳入本</w:t>
      </w:r>
      <w:r>
        <w:rPr>
          <w:rFonts w:hint="eastAsia" w:ascii="仿宋_GB2312" w:hAnsi="仿宋_GB2312" w:eastAsia="仿宋_GB2312" w:cs="仿宋_GB2312"/>
          <w:b w:val="0"/>
          <w:bCs w:val="0"/>
          <w:i w:val="0"/>
          <w:iCs w:val="0"/>
          <w:color w:val="auto"/>
          <w:kern w:val="0"/>
          <w:sz w:val="32"/>
          <w:szCs w:val="32"/>
          <w:highlight w:val="none"/>
          <w:vertAlign w:val="baseline"/>
          <w:lang w:val="en-US" w:eastAsia="zh-CN" w:bidi="ar-SA"/>
        </w:rPr>
        <w:t>单位2021</w:t>
      </w:r>
      <w:r>
        <w:rPr>
          <w:rFonts w:hint="default" w:ascii="仿宋_GB2312" w:hAnsi="仿宋_GB2312" w:eastAsia="仿宋_GB2312" w:cs="仿宋_GB2312"/>
          <w:b w:val="0"/>
          <w:bCs w:val="0"/>
          <w:i w:val="0"/>
          <w:iCs w:val="0"/>
          <w:color w:val="auto"/>
          <w:kern w:val="0"/>
          <w:sz w:val="32"/>
          <w:szCs w:val="32"/>
          <w:highlight w:val="none"/>
          <w:vertAlign w:val="baseline"/>
          <w:lang w:val="en-US" w:eastAsia="zh-CN" w:bidi="ar-SA"/>
        </w:rPr>
        <w:t>年度</w:t>
      </w:r>
      <w:r>
        <w:rPr>
          <w:rFonts w:hint="eastAsia" w:ascii="仿宋_GB2312" w:hAnsi="仿宋_GB2312" w:eastAsia="仿宋_GB2312" w:cs="仿宋_GB2312"/>
          <w:b w:val="0"/>
          <w:bCs w:val="0"/>
          <w:i w:val="0"/>
          <w:iCs w:val="0"/>
          <w:color w:val="auto"/>
          <w:kern w:val="0"/>
          <w:sz w:val="32"/>
          <w:szCs w:val="32"/>
          <w:highlight w:val="none"/>
          <w:vertAlign w:val="baseline"/>
          <w:lang w:val="en-US" w:eastAsia="zh-CN" w:bidi="ar-SA"/>
        </w:rPr>
        <w:t>单位决算</w:t>
      </w:r>
      <w:r>
        <w:rPr>
          <w:rFonts w:hint="default" w:ascii="仿宋_GB2312" w:hAnsi="仿宋_GB2312" w:eastAsia="仿宋_GB2312" w:cs="仿宋_GB2312"/>
          <w:b w:val="0"/>
          <w:bCs w:val="0"/>
          <w:i w:val="0"/>
          <w:iCs w:val="0"/>
          <w:color w:val="auto"/>
          <w:kern w:val="0"/>
          <w:sz w:val="32"/>
          <w:szCs w:val="32"/>
          <w:highlight w:val="none"/>
          <w:vertAlign w:val="baseline"/>
          <w:lang w:val="en-US" w:eastAsia="zh-CN" w:bidi="ar-SA"/>
        </w:rPr>
        <w:t>编制范围的单位共1个，具体是：</w:t>
      </w:r>
    </w:p>
    <w:p>
      <w:pPr>
        <w:widowControl/>
        <w:spacing w:line="240" w:lineRule="auto"/>
        <w:ind w:firstLine="640" w:firstLineChars="200"/>
        <w:jc w:val="left"/>
        <w:rPr>
          <w:rFonts w:hint="eastAsia" w:ascii="仿宋_GB2312" w:hAnsi="仿宋_GB2312" w:eastAsia="仿宋_GB2312" w:cs="仿宋_GB2312"/>
          <w:kern w:val="0"/>
          <w:sz w:val="32"/>
          <w:szCs w:val="32"/>
          <w:highlight w:val="none"/>
        </w:rPr>
      </w:pPr>
      <w:r>
        <w:rPr>
          <w:rFonts w:hint="default" w:ascii="仿宋_GB2312" w:hAnsi="仿宋_GB2312" w:eastAsia="仿宋_GB2312" w:cs="仿宋_GB2312"/>
          <w:b w:val="0"/>
          <w:bCs w:val="0"/>
          <w:i w:val="0"/>
          <w:iCs w:val="0"/>
          <w:color w:val="auto"/>
          <w:kern w:val="0"/>
          <w:sz w:val="32"/>
          <w:szCs w:val="32"/>
          <w:highlight w:val="none"/>
          <w:vertAlign w:val="baseline"/>
          <w:lang w:val="en-US" w:eastAsia="zh-CN" w:bidi="ar-SA"/>
        </w:rPr>
        <w:t>1、许昌市</w:t>
      </w:r>
      <w:r>
        <w:rPr>
          <w:rFonts w:hint="eastAsia" w:ascii="仿宋_GB2312" w:hAnsi="仿宋_GB2312" w:eastAsia="仿宋_GB2312" w:cs="仿宋_GB2312"/>
          <w:b w:val="0"/>
          <w:bCs w:val="0"/>
          <w:i w:val="0"/>
          <w:iCs w:val="0"/>
          <w:color w:val="auto"/>
          <w:kern w:val="0"/>
          <w:sz w:val="32"/>
          <w:szCs w:val="32"/>
          <w:highlight w:val="none"/>
          <w:vertAlign w:val="baseline"/>
          <w:lang w:val="en-US" w:eastAsia="zh-CN" w:bidi="ar-SA"/>
        </w:rPr>
        <w:t>市场监督管理局</w:t>
      </w:r>
      <w:r>
        <w:rPr>
          <w:rFonts w:hint="default" w:ascii="仿宋_GB2312" w:hAnsi="仿宋_GB2312" w:eastAsia="仿宋_GB2312" w:cs="仿宋_GB2312"/>
          <w:b w:val="0"/>
          <w:bCs w:val="0"/>
          <w:i w:val="0"/>
          <w:iCs w:val="0"/>
          <w:color w:val="auto"/>
          <w:kern w:val="0"/>
          <w:sz w:val="32"/>
          <w:szCs w:val="32"/>
          <w:highlight w:val="none"/>
          <w:vertAlign w:val="baseline"/>
          <w:lang w:val="en-US" w:eastAsia="zh-CN" w:bidi="ar-SA"/>
        </w:rPr>
        <w:t>专业分局。</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4" w:type="default"/>
          <w:footerReference r:id="rId5"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表</w:t>
      </w: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7"/>
        <w:tblpPr w:leftFromText="180" w:rightFromText="180" w:vertAnchor="text" w:horzAnchor="page" w:tblpX="1536" w:tblpY="53"/>
        <w:tblOverlap w:val="never"/>
        <w:tblW w:w="140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54"/>
        <w:gridCol w:w="835"/>
        <w:gridCol w:w="1115"/>
        <w:gridCol w:w="4475"/>
        <w:gridCol w:w="835"/>
        <w:gridCol w:w="2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070" w:type="dxa"/>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704"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：许昌市市场监督管理局专业分局</w:t>
            </w:r>
          </w:p>
        </w:tc>
        <w:tc>
          <w:tcPr>
            <w:tcW w:w="447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3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05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366"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0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3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3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0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700.56</w:t>
            </w: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0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0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0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700.56</w:t>
            </w: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0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74.87</w:t>
            </w: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05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5"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775.43</w:t>
            </w: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0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pPr w:leftFromText="180" w:rightFromText="180" w:vertAnchor="text" w:horzAnchor="page" w:tblpX="1470" w:tblpY="-88"/>
        <w:tblOverlap w:val="never"/>
        <w:tblW w:w="14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0"/>
        <w:gridCol w:w="3742"/>
        <w:gridCol w:w="1477"/>
        <w:gridCol w:w="1477"/>
        <w:gridCol w:w="1217"/>
        <w:gridCol w:w="1217"/>
        <w:gridCol w:w="1217"/>
        <w:gridCol w:w="1217"/>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38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380"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419"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：许昌市市场监督管理局专业分局</w:t>
            </w:r>
          </w:p>
        </w:tc>
        <w:tc>
          <w:tcPr>
            <w:tcW w:w="1477"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121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1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1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1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1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49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7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7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1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1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1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1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20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742"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20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4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20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4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7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700.56</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700.56</w:t>
            </w: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7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514.96</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514.96</w:t>
            </w: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7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7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37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512.36</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512.36</w:t>
            </w: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37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512.36</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512.36</w:t>
            </w: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7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154.64</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154.64</w:t>
            </w: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7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154.64</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154.64</w:t>
            </w: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7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123.54</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123.54</w:t>
            </w: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31.10</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31.10</w:t>
            </w: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7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30.95</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30.95</w:t>
            </w: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7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30.95</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30.95</w:t>
            </w: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7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16.05</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16.05</w:t>
            </w: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7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14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380"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tbl>
      <w:tblPr>
        <w:tblStyle w:val="7"/>
        <w:tblpPr w:leftFromText="180" w:rightFromText="180" w:vertAnchor="text" w:horzAnchor="page" w:tblpX="1486" w:tblpY="11"/>
        <w:tblOverlap w:val="never"/>
        <w:tblW w:w="141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6"/>
        <w:gridCol w:w="3984"/>
        <w:gridCol w:w="1600"/>
        <w:gridCol w:w="1350"/>
        <w:gridCol w:w="1366"/>
        <w:gridCol w:w="1684"/>
        <w:gridCol w:w="1316"/>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14183"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4183" w:type="dxa"/>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150"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：许昌市市场监督管理局专业分局</w:t>
            </w:r>
          </w:p>
        </w:tc>
        <w:tc>
          <w:tcPr>
            <w:tcW w:w="160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5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6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8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1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71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51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6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71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6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84"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8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8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5150"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8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5150"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775.43</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772.63</w:t>
            </w:r>
          </w:p>
        </w:tc>
        <w:tc>
          <w:tcPr>
            <w:tcW w:w="13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2.81</w:t>
            </w:r>
          </w:p>
        </w:tc>
        <w:tc>
          <w:tcPr>
            <w:tcW w:w="16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7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1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583.26</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580.46</w:t>
            </w:r>
          </w:p>
        </w:tc>
        <w:tc>
          <w:tcPr>
            <w:tcW w:w="13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6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1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3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1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3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1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39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580.66</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577.86</w:t>
            </w:r>
          </w:p>
        </w:tc>
        <w:tc>
          <w:tcPr>
            <w:tcW w:w="13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6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1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39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577.86</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577.86</w:t>
            </w:r>
          </w:p>
        </w:tc>
        <w:tc>
          <w:tcPr>
            <w:tcW w:w="13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1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39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6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1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161.22</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161.22</w:t>
            </w:r>
          </w:p>
        </w:tc>
        <w:tc>
          <w:tcPr>
            <w:tcW w:w="13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1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161.22</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161.22</w:t>
            </w:r>
          </w:p>
        </w:tc>
        <w:tc>
          <w:tcPr>
            <w:tcW w:w="13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1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9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130.12</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130.12</w:t>
            </w:r>
          </w:p>
        </w:tc>
        <w:tc>
          <w:tcPr>
            <w:tcW w:w="13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1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31.10</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31.10</w:t>
            </w:r>
          </w:p>
        </w:tc>
        <w:tc>
          <w:tcPr>
            <w:tcW w:w="13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1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30.95</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30.95</w:t>
            </w:r>
          </w:p>
        </w:tc>
        <w:tc>
          <w:tcPr>
            <w:tcW w:w="13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1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30.95</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30.95</w:t>
            </w:r>
          </w:p>
        </w:tc>
        <w:tc>
          <w:tcPr>
            <w:tcW w:w="13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1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16.05</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16.05</w:t>
            </w:r>
          </w:p>
        </w:tc>
        <w:tc>
          <w:tcPr>
            <w:tcW w:w="13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1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13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4183"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tbl>
      <w:tblPr>
        <w:tblStyle w:val="7"/>
        <w:tblpPr w:leftFromText="180" w:rightFromText="180" w:vertAnchor="text" w:horzAnchor="page" w:tblpX="1203" w:tblpY="55"/>
        <w:tblOverlap w:val="never"/>
        <w:tblW w:w="14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7"/>
        <w:gridCol w:w="533"/>
        <w:gridCol w:w="1183"/>
        <w:gridCol w:w="3450"/>
        <w:gridCol w:w="800"/>
        <w:gridCol w:w="884"/>
        <w:gridCol w:w="1583"/>
        <w:gridCol w:w="1567"/>
        <w:gridCol w:w="1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4683" w:type="dxa"/>
            <w:gridSpan w:val="9"/>
            <w:tcBorders>
              <w:top w:val="nil"/>
              <w:left w:val="nil"/>
              <w:bottom w:val="nil"/>
              <w:right w:val="nil"/>
              <w:tl2br w:val="nil"/>
              <w:tr2bl w:val="nil"/>
            </w:tcBorders>
            <w:noWrap w:val="0"/>
            <w:vAlign w:val="top"/>
          </w:tcPr>
          <w:p>
            <w:pPr>
              <w:spacing w:beforeLines="0" w:afterLines="0"/>
              <w:jc w:val="center"/>
              <w:rPr>
                <w:rFonts w:hint="default" w:ascii="Arial" w:hAnsi="Arial"/>
                <w:color w:val="000000"/>
                <w:sz w:val="20"/>
                <w:szCs w:val="24"/>
              </w:rPr>
            </w:pPr>
            <w:r>
              <w:rPr>
                <w:rFonts w:hint="eastAsia" w:ascii="宋体" w:hAnsi="宋体"/>
                <w:color w:val="000000"/>
                <w:sz w:val="30"/>
                <w:szCs w:val="24"/>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683" w:type="dxa"/>
            <w:gridSpan w:val="9"/>
            <w:tcBorders>
              <w:top w:val="nil"/>
              <w:left w:val="nil"/>
              <w:bottom w:val="nil"/>
              <w:right w:val="nil"/>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833" w:type="dxa"/>
            <w:gridSpan w:val="3"/>
            <w:tcBorders>
              <w:top w:val="nil"/>
              <w:left w:val="nil"/>
              <w:bottom w:val="nil"/>
              <w:right w:val="nil"/>
              <w:tl2br w:val="nil"/>
              <w:tr2bl w:val="nil"/>
            </w:tcBorders>
            <w:noWrap w:val="0"/>
            <w:vAlign w:val="top"/>
          </w:tcPr>
          <w:p>
            <w:pPr>
              <w:spacing w:beforeLines="0" w:afterLines="0"/>
              <w:jc w:val="both"/>
              <w:rPr>
                <w:rFonts w:hint="eastAsia" w:ascii="宋体" w:hAnsi="宋体"/>
                <w:color w:val="000000"/>
                <w:sz w:val="18"/>
                <w:szCs w:val="18"/>
              </w:rPr>
            </w:pPr>
            <w:r>
              <w:rPr>
                <w:rFonts w:hint="eastAsia" w:ascii="宋体" w:hAnsi="宋体"/>
                <w:color w:val="000000"/>
                <w:sz w:val="18"/>
                <w:szCs w:val="18"/>
                <w:lang w:eastAsia="zh-CN"/>
              </w:rPr>
              <w:t>单位</w:t>
            </w:r>
            <w:r>
              <w:rPr>
                <w:rFonts w:hint="eastAsia" w:ascii="宋体" w:hAnsi="宋体"/>
                <w:color w:val="000000"/>
                <w:sz w:val="18"/>
                <w:szCs w:val="18"/>
              </w:rPr>
              <w:t>：许昌市市场监督管理局专业分局</w:t>
            </w:r>
          </w:p>
        </w:tc>
        <w:tc>
          <w:tcPr>
            <w:tcW w:w="3450" w:type="dxa"/>
            <w:tcBorders>
              <w:top w:val="nil"/>
              <w:left w:val="nil"/>
              <w:bottom w:val="nil"/>
              <w:right w:val="nil"/>
              <w:tl2br w:val="nil"/>
              <w:tr2bl w:val="nil"/>
            </w:tcBorders>
            <w:noWrap w:val="0"/>
            <w:vAlign w:val="top"/>
          </w:tcPr>
          <w:p>
            <w:pPr>
              <w:spacing w:beforeLines="0" w:afterLines="0"/>
              <w:jc w:val="right"/>
              <w:rPr>
                <w:rFonts w:hint="default" w:ascii="Arial" w:hAnsi="Arial"/>
                <w:color w:val="000000"/>
                <w:sz w:val="18"/>
                <w:szCs w:val="18"/>
              </w:rPr>
            </w:pPr>
          </w:p>
        </w:tc>
        <w:tc>
          <w:tcPr>
            <w:tcW w:w="800" w:type="dxa"/>
            <w:tcBorders>
              <w:top w:val="nil"/>
              <w:left w:val="nil"/>
              <w:bottom w:val="nil"/>
              <w:right w:val="nil"/>
              <w:tl2br w:val="nil"/>
              <w:tr2bl w:val="nil"/>
            </w:tcBorders>
            <w:noWrap w:val="0"/>
            <w:vAlign w:val="top"/>
          </w:tcPr>
          <w:p>
            <w:pPr>
              <w:spacing w:beforeLines="0" w:afterLines="0"/>
              <w:jc w:val="right"/>
              <w:rPr>
                <w:rFonts w:hint="default" w:ascii="Arial" w:hAnsi="Arial"/>
                <w:color w:val="000000"/>
                <w:sz w:val="18"/>
                <w:szCs w:val="18"/>
              </w:rPr>
            </w:pPr>
          </w:p>
        </w:tc>
        <w:tc>
          <w:tcPr>
            <w:tcW w:w="884" w:type="dxa"/>
            <w:tcBorders>
              <w:top w:val="nil"/>
              <w:left w:val="nil"/>
              <w:bottom w:val="nil"/>
              <w:right w:val="nil"/>
              <w:tl2br w:val="nil"/>
              <w:tr2bl w:val="nil"/>
            </w:tcBorders>
            <w:noWrap w:val="0"/>
            <w:vAlign w:val="top"/>
          </w:tcPr>
          <w:p>
            <w:pPr>
              <w:spacing w:beforeLines="0" w:afterLines="0"/>
              <w:jc w:val="right"/>
              <w:rPr>
                <w:rFonts w:hint="default" w:ascii="Arial" w:hAnsi="Arial"/>
                <w:color w:val="000000"/>
                <w:sz w:val="18"/>
                <w:szCs w:val="18"/>
              </w:rPr>
            </w:pPr>
          </w:p>
        </w:tc>
        <w:tc>
          <w:tcPr>
            <w:tcW w:w="1583" w:type="dxa"/>
            <w:tcBorders>
              <w:top w:val="nil"/>
              <w:left w:val="nil"/>
              <w:bottom w:val="nil"/>
              <w:right w:val="nil"/>
              <w:tl2br w:val="nil"/>
              <w:tr2bl w:val="nil"/>
            </w:tcBorders>
            <w:noWrap w:val="0"/>
            <w:vAlign w:val="top"/>
          </w:tcPr>
          <w:p>
            <w:pPr>
              <w:spacing w:beforeLines="0" w:afterLines="0"/>
              <w:jc w:val="right"/>
              <w:rPr>
                <w:rFonts w:hint="default" w:ascii="Arial" w:hAnsi="Arial"/>
                <w:color w:val="000000"/>
                <w:sz w:val="18"/>
                <w:szCs w:val="18"/>
              </w:rPr>
            </w:pPr>
          </w:p>
        </w:tc>
        <w:tc>
          <w:tcPr>
            <w:tcW w:w="3133" w:type="dxa"/>
            <w:gridSpan w:val="2"/>
            <w:tcBorders>
              <w:top w:val="nil"/>
              <w:left w:val="nil"/>
              <w:bottom w:val="nil"/>
              <w:right w:val="nil"/>
              <w:tl2br w:val="nil"/>
              <w:tr2bl w:val="nil"/>
            </w:tcBorders>
            <w:noWrap w:val="0"/>
            <w:vAlign w:val="top"/>
          </w:tcPr>
          <w:p>
            <w:pPr>
              <w:spacing w:beforeLines="0" w:afterLines="0"/>
              <w:jc w:val="right"/>
              <w:rPr>
                <w:rFonts w:hint="eastAsia" w:ascii="宋体" w:hAnsi="宋体"/>
                <w:color w:val="000000"/>
                <w:sz w:val="18"/>
                <w:szCs w:val="18"/>
              </w:rPr>
            </w:pPr>
            <w:r>
              <w:rPr>
                <w:rFonts w:hint="eastAsia" w:ascii="宋体" w:hAnsi="宋体"/>
                <w:color w:val="00000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收     入</w:t>
            </w:r>
          </w:p>
        </w:tc>
        <w:tc>
          <w:tcPr>
            <w:tcW w:w="533" w:type="dxa"/>
            <w:tcBorders>
              <w:top w:val="single" w:color="000000" w:sz="6" w:space="0"/>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p>
        </w:tc>
        <w:tc>
          <w:tcPr>
            <w:tcW w:w="1183" w:type="dxa"/>
            <w:tcBorders>
              <w:top w:val="single" w:color="000000" w:sz="6" w:space="0"/>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p>
        </w:tc>
        <w:tc>
          <w:tcPr>
            <w:tcW w:w="3450" w:type="dxa"/>
            <w:tcBorders>
              <w:top w:val="single" w:color="000000" w:sz="6" w:space="0"/>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支     出</w:t>
            </w:r>
          </w:p>
        </w:tc>
        <w:tc>
          <w:tcPr>
            <w:tcW w:w="800" w:type="dxa"/>
            <w:tcBorders>
              <w:top w:val="single" w:color="000000" w:sz="6" w:space="0"/>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p>
        </w:tc>
        <w:tc>
          <w:tcPr>
            <w:tcW w:w="884" w:type="dxa"/>
            <w:tcBorders>
              <w:top w:val="single" w:color="000000" w:sz="6" w:space="0"/>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p>
        </w:tc>
        <w:tc>
          <w:tcPr>
            <w:tcW w:w="1583" w:type="dxa"/>
            <w:tcBorders>
              <w:top w:val="single" w:color="000000" w:sz="6" w:space="0"/>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p>
        </w:tc>
        <w:tc>
          <w:tcPr>
            <w:tcW w:w="1567" w:type="dxa"/>
            <w:tcBorders>
              <w:top w:val="single" w:color="000000" w:sz="6" w:space="0"/>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p>
        </w:tc>
        <w:tc>
          <w:tcPr>
            <w:tcW w:w="1566" w:type="dxa"/>
            <w:tcBorders>
              <w:top w:val="single" w:color="000000" w:sz="6" w:space="0"/>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w:t>
            </w: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行次</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金额</w:t>
            </w: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行次</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合计</w:t>
            </w: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一般公共预算财政拨款</w:t>
            </w: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政府性基金预算财政拨款</w:t>
            </w: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栏次</w:t>
            </w: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栏次</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2</w:t>
            </w: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3</w:t>
            </w: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4</w:t>
            </w: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一、一般公共预算财政拨款</w:t>
            </w: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r>
              <w:rPr>
                <w:rFonts w:hint="eastAsia" w:ascii="宋体" w:hAnsi="宋体"/>
                <w:color w:val="000000"/>
                <w:sz w:val="22"/>
                <w:szCs w:val="24"/>
              </w:rPr>
              <w:t>700.56</w:t>
            </w: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一、一般公共服务支出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33</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r>
              <w:rPr>
                <w:rFonts w:hint="eastAsia" w:ascii="宋体" w:hAnsi="宋体"/>
                <w:color w:val="000000"/>
                <w:sz w:val="22"/>
                <w:szCs w:val="24"/>
              </w:rPr>
              <w:t>567.89</w:t>
            </w: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r>
              <w:rPr>
                <w:rFonts w:hint="eastAsia" w:ascii="宋体" w:hAnsi="宋体"/>
                <w:color w:val="000000"/>
                <w:sz w:val="22"/>
                <w:szCs w:val="24"/>
              </w:rPr>
              <w:t>567.89</w:t>
            </w: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二、政府性基金预算财政拨款</w:t>
            </w: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2</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二、外交支出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34</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三、国有资本经营财政拨款</w:t>
            </w: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3</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三、国防支出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35</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4</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四、公共安全支出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36</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5</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五、教育支出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37</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6</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六、科学技术支出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38</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7</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七、文化旅游体育与传媒支出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39</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8</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八、社会保障和就业支出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40</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r>
              <w:rPr>
                <w:rFonts w:hint="eastAsia" w:ascii="宋体" w:hAnsi="宋体"/>
                <w:color w:val="000000"/>
                <w:sz w:val="22"/>
                <w:szCs w:val="24"/>
              </w:rPr>
              <w:t>161.22</w:t>
            </w: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r>
              <w:rPr>
                <w:rFonts w:hint="eastAsia" w:ascii="宋体" w:hAnsi="宋体"/>
                <w:color w:val="000000"/>
                <w:sz w:val="22"/>
                <w:szCs w:val="24"/>
              </w:rPr>
              <w:t>161.22</w:t>
            </w: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9</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九、卫生健康支出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41</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r>
              <w:rPr>
                <w:rFonts w:hint="eastAsia" w:ascii="宋体" w:hAnsi="宋体"/>
                <w:color w:val="000000"/>
                <w:sz w:val="22"/>
                <w:szCs w:val="24"/>
              </w:rPr>
              <w:t>30.95</w:t>
            </w: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r>
              <w:rPr>
                <w:rFonts w:hint="eastAsia" w:ascii="宋体" w:hAnsi="宋体"/>
                <w:color w:val="000000"/>
                <w:sz w:val="22"/>
                <w:szCs w:val="24"/>
              </w:rPr>
              <w:t>30.95</w:t>
            </w: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10</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十、节能环保支出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42</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11</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十一、城乡社区支出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43</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12</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十二、农林水支出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44</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13</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十三、交通运输支出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45</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14</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十四、资源勘探工业信息等支出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46</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15</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十五、商业服务业等支出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47</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16</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十六、金融支出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48</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17</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十七、援助其他地区支出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49</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18</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十八、自然资源海洋气象等支出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50</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19</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十九、住房保障支出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51</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20</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二十、粮油物资储备支出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52</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21</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二十一、国有资本经营预算支出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53</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22</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二十二、灾害防治及应急管理支出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54</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23</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二十三、其他支出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55</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b/>
                <w:color w:val="000000"/>
                <w:sz w:val="20"/>
                <w:szCs w:val="24"/>
              </w:rPr>
            </w:pP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24</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二十四、债务还本支出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56</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0"/>
                <w:szCs w:val="24"/>
              </w:rPr>
            </w:pP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25</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二十五、债务付息支出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57</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0"/>
                <w:szCs w:val="24"/>
              </w:rPr>
            </w:pP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26</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二十六、抗疫特别国债安排的支出</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58</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b/>
                <w:color w:val="000000"/>
                <w:sz w:val="22"/>
                <w:szCs w:val="24"/>
              </w:rPr>
            </w:pPr>
            <w:r>
              <w:rPr>
                <w:rFonts w:hint="eastAsia" w:ascii="宋体" w:hAnsi="宋体"/>
                <w:b/>
                <w:color w:val="000000"/>
                <w:sz w:val="22"/>
                <w:szCs w:val="24"/>
              </w:rPr>
              <w:t>本年收入合计</w:t>
            </w: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27</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r>
              <w:rPr>
                <w:rFonts w:hint="eastAsia" w:ascii="宋体" w:hAnsi="宋体"/>
                <w:color w:val="000000"/>
                <w:sz w:val="22"/>
                <w:szCs w:val="24"/>
              </w:rPr>
              <w:t>700.56</w:t>
            </w: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b/>
                <w:color w:val="000000"/>
                <w:sz w:val="22"/>
                <w:szCs w:val="24"/>
              </w:rPr>
            </w:pPr>
            <w:r>
              <w:rPr>
                <w:rFonts w:hint="eastAsia" w:ascii="宋体" w:hAnsi="宋体"/>
                <w:b/>
                <w:color w:val="000000"/>
                <w:sz w:val="22"/>
                <w:szCs w:val="24"/>
              </w:rPr>
              <w:t>本年支出合计</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59</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r>
              <w:rPr>
                <w:rFonts w:hint="eastAsia" w:ascii="宋体" w:hAnsi="宋体"/>
                <w:color w:val="000000"/>
                <w:sz w:val="22"/>
                <w:szCs w:val="24"/>
              </w:rPr>
              <w:t>760.06</w:t>
            </w: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r>
              <w:rPr>
                <w:rFonts w:hint="eastAsia" w:ascii="宋体" w:hAnsi="宋体"/>
                <w:color w:val="000000"/>
                <w:sz w:val="22"/>
                <w:szCs w:val="24"/>
              </w:rPr>
              <w:t>760.06</w:t>
            </w: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年初财政拨款结转和结余</w:t>
            </w: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28</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r>
              <w:rPr>
                <w:rFonts w:hint="eastAsia" w:ascii="宋体" w:hAnsi="宋体"/>
                <w:color w:val="000000"/>
                <w:sz w:val="22"/>
                <w:szCs w:val="24"/>
              </w:rPr>
              <w:t>59.50</w:t>
            </w: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年末财政拨款结转和结余</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60</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 xml:space="preserve">  一般公共预算财政拨款</w:t>
            </w: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29</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r>
              <w:rPr>
                <w:rFonts w:hint="eastAsia" w:ascii="宋体" w:hAnsi="宋体"/>
                <w:color w:val="000000"/>
                <w:sz w:val="22"/>
                <w:szCs w:val="24"/>
              </w:rPr>
              <w:t>59.50</w:t>
            </w: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61</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 xml:space="preserve">  政府性基金预算财政拨款</w:t>
            </w: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30</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62</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 xml:space="preserve">  国有资本经营预算财政拨款</w:t>
            </w:r>
          </w:p>
        </w:tc>
        <w:tc>
          <w:tcPr>
            <w:tcW w:w="53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31</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color w:val="000000"/>
                <w:sz w:val="22"/>
                <w:szCs w:val="24"/>
              </w:rPr>
            </w:pP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63</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7"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b/>
                <w:color w:val="000000"/>
                <w:sz w:val="22"/>
                <w:szCs w:val="24"/>
              </w:rPr>
            </w:pPr>
            <w:r>
              <w:rPr>
                <w:rFonts w:hint="eastAsia" w:ascii="宋体" w:hAnsi="宋体"/>
                <w:b/>
                <w:color w:val="000000"/>
                <w:sz w:val="22"/>
                <w:szCs w:val="24"/>
              </w:rPr>
              <w:t>总计</w:t>
            </w:r>
          </w:p>
        </w:tc>
        <w:tc>
          <w:tcPr>
            <w:tcW w:w="533" w:type="dxa"/>
            <w:tcBorders>
              <w:top w:val="nil"/>
              <w:left w:val="nil"/>
              <w:bottom w:val="single" w:color="000000" w:sz="12"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32</w:t>
            </w:r>
          </w:p>
        </w:tc>
        <w:tc>
          <w:tcPr>
            <w:tcW w:w="11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r>
              <w:rPr>
                <w:rFonts w:hint="eastAsia" w:ascii="宋体" w:hAnsi="宋体"/>
                <w:color w:val="000000"/>
                <w:sz w:val="22"/>
                <w:szCs w:val="24"/>
              </w:rPr>
              <w:t>760.06</w:t>
            </w:r>
          </w:p>
        </w:tc>
        <w:tc>
          <w:tcPr>
            <w:tcW w:w="345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b/>
                <w:color w:val="000000"/>
                <w:sz w:val="22"/>
                <w:szCs w:val="24"/>
              </w:rPr>
            </w:pPr>
            <w:r>
              <w:rPr>
                <w:rFonts w:hint="eastAsia" w:ascii="宋体" w:hAnsi="宋体"/>
                <w:b/>
                <w:color w:val="000000"/>
                <w:sz w:val="22"/>
                <w:szCs w:val="24"/>
              </w:rPr>
              <w:t>总计</w:t>
            </w:r>
          </w:p>
        </w:tc>
        <w:tc>
          <w:tcPr>
            <w:tcW w:w="80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64</w:t>
            </w:r>
          </w:p>
        </w:tc>
        <w:tc>
          <w:tcPr>
            <w:tcW w:w="884"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r>
              <w:rPr>
                <w:rFonts w:hint="eastAsia" w:ascii="宋体" w:hAnsi="宋体"/>
                <w:color w:val="000000"/>
                <w:sz w:val="22"/>
                <w:szCs w:val="24"/>
              </w:rPr>
              <w:t>760.06</w:t>
            </w:r>
          </w:p>
        </w:tc>
        <w:tc>
          <w:tcPr>
            <w:tcW w:w="15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r>
              <w:rPr>
                <w:rFonts w:hint="eastAsia" w:ascii="宋体" w:hAnsi="宋体"/>
                <w:color w:val="000000"/>
                <w:sz w:val="22"/>
                <w:szCs w:val="24"/>
              </w:rPr>
              <w:t>760.06</w:t>
            </w:r>
          </w:p>
        </w:tc>
        <w:tc>
          <w:tcPr>
            <w:tcW w:w="1567"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c>
          <w:tcPr>
            <w:tcW w:w="1566"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683" w:type="dxa"/>
            <w:gridSpan w:val="9"/>
            <w:tcBorders>
              <w:top w:val="nil"/>
              <w:left w:val="nil"/>
              <w:bottom w:val="nil"/>
              <w:right w:val="nil"/>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注：本表反映</w:t>
            </w:r>
            <w:r>
              <w:rPr>
                <w:rFonts w:hint="eastAsia" w:ascii="宋体" w:hAnsi="宋体"/>
                <w:color w:val="000000"/>
                <w:sz w:val="22"/>
                <w:szCs w:val="24"/>
                <w:lang w:eastAsia="zh-CN"/>
              </w:rPr>
              <w:t>单位</w:t>
            </w:r>
            <w:r>
              <w:rPr>
                <w:rFonts w:hint="eastAsia" w:ascii="宋体" w:hAnsi="宋体"/>
                <w:color w:val="000000"/>
                <w:sz w:val="22"/>
                <w:szCs w:val="24"/>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7"/>
        <w:tblW w:w="138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60"/>
        <w:gridCol w:w="3956"/>
        <w:gridCol w:w="1853"/>
        <w:gridCol w:w="1967"/>
        <w:gridCol w:w="2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86"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886" w:type="dxa"/>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60" w:type="dxa"/>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：许昌市市场监督管理局专业分局</w:t>
            </w:r>
          </w:p>
        </w:tc>
        <w:tc>
          <w:tcPr>
            <w:tcW w:w="395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85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96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05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1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7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5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6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0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06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5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6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5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6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1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1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760.06</w:t>
            </w:r>
          </w:p>
        </w:tc>
        <w:tc>
          <w:tcPr>
            <w:tcW w:w="19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757.25</w:t>
            </w:r>
          </w:p>
        </w:tc>
        <w:tc>
          <w:tcPr>
            <w:tcW w:w="2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8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567.89</w:t>
            </w:r>
          </w:p>
        </w:tc>
        <w:tc>
          <w:tcPr>
            <w:tcW w:w="19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565.08</w:t>
            </w:r>
          </w:p>
        </w:tc>
        <w:tc>
          <w:tcPr>
            <w:tcW w:w="2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8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9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8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9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18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565.29</w:t>
            </w:r>
          </w:p>
        </w:tc>
        <w:tc>
          <w:tcPr>
            <w:tcW w:w="19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562.48</w:t>
            </w:r>
          </w:p>
        </w:tc>
        <w:tc>
          <w:tcPr>
            <w:tcW w:w="2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562.48</w:t>
            </w:r>
          </w:p>
        </w:tc>
        <w:tc>
          <w:tcPr>
            <w:tcW w:w="19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562.48</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18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161.22</w:t>
            </w:r>
          </w:p>
        </w:tc>
        <w:tc>
          <w:tcPr>
            <w:tcW w:w="19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161.22</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161.22</w:t>
            </w:r>
          </w:p>
        </w:tc>
        <w:tc>
          <w:tcPr>
            <w:tcW w:w="19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161.22</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8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130.12</w:t>
            </w:r>
          </w:p>
        </w:tc>
        <w:tc>
          <w:tcPr>
            <w:tcW w:w="19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130.12</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8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31.10</w:t>
            </w:r>
          </w:p>
        </w:tc>
        <w:tc>
          <w:tcPr>
            <w:tcW w:w="19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31.10</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8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30.95</w:t>
            </w:r>
          </w:p>
        </w:tc>
        <w:tc>
          <w:tcPr>
            <w:tcW w:w="19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30.95</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8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30.95</w:t>
            </w:r>
          </w:p>
        </w:tc>
        <w:tc>
          <w:tcPr>
            <w:tcW w:w="19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30.95</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8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16.05</w:t>
            </w:r>
          </w:p>
        </w:tc>
        <w:tc>
          <w:tcPr>
            <w:tcW w:w="19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16.05</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8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19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2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86" w:type="dxa"/>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tbl>
      <w:tblPr>
        <w:tblStyle w:val="7"/>
        <w:tblpPr w:leftFromText="180" w:rightFromText="180" w:vertAnchor="text" w:horzAnchor="page" w:tblpX="1520" w:tblpY="15"/>
        <w:tblOverlap w:val="never"/>
        <w:tblW w:w="140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2"/>
        <w:gridCol w:w="2650"/>
        <w:gridCol w:w="1050"/>
        <w:gridCol w:w="1150"/>
        <w:gridCol w:w="1917"/>
        <w:gridCol w:w="1000"/>
        <w:gridCol w:w="1333"/>
        <w:gridCol w:w="2493"/>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81"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52"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：许昌市市场监督管理局专业分局</w:t>
            </w:r>
          </w:p>
        </w:tc>
        <w:tc>
          <w:tcPr>
            <w:tcW w:w="1150" w:type="dxa"/>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1917" w:type="dxa"/>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1000" w:type="dxa"/>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1333" w:type="dxa"/>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3829"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5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9229"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6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11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91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133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49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33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6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91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3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49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3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553.65</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71.85</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211.59</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134.20</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84.36</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0.74</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16.08</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14.91</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0.18</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30.79</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0.79</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30.45</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131.76</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17.68</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112.43</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w:t>
            </w:r>
          </w:p>
        </w:tc>
        <w:tc>
          <w:tcPr>
            <w:tcW w:w="1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24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23.76</w:t>
            </w:r>
          </w:p>
        </w:tc>
        <w:tc>
          <w:tcPr>
            <w:tcW w:w="13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249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2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3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249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265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19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13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249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0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685.40</w:t>
            </w:r>
          </w:p>
        </w:tc>
        <w:tc>
          <w:tcPr>
            <w:tcW w:w="7893"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13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81"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本年度一般公共预算财政拨款基本支出明细情况。本表金额转换为万元时，因四舍五入可能存在尾差。</w:t>
            </w:r>
          </w:p>
        </w:tc>
      </w:tr>
    </w:tbl>
    <w:p>
      <w:pPr>
        <w:rPr>
          <w:rFonts w:hint="eastAsia" w:ascii="宋体" w:hAnsi="宋体" w:eastAsia="宋体" w:cs="宋体"/>
          <w:sz w:val="20"/>
          <w:szCs w:val="20"/>
          <w:highlight w:val="none"/>
        </w:rPr>
      </w:pPr>
    </w:p>
    <w:p>
      <w:pPr>
        <w:rPr>
          <w:rFonts w:hint="eastAsia" w:ascii="仿宋_GB2312" w:hAnsi="仿宋_GB2312" w:eastAsia="仿宋_GB2312" w:cs="仿宋_GB2312"/>
          <w:sz w:val="32"/>
          <w:szCs w:val="32"/>
          <w:highlight w:val="none"/>
        </w:rPr>
      </w:pPr>
    </w:p>
    <w:tbl>
      <w:tblPr>
        <w:tblStyle w:val="7"/>
        <w:tblpPr w:leftFromText="180" w:rightFromText="180" w:vertAnchor="text" w:horzAnchor="page" w:tblpX="1553" w:tblpY="-110"/>
        <w:tblOverlap w:val="never"/>
        <w:tblW w:w="140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45"/>
        <w:gridCol w:w="1145"/>
        <w:gridCol w:w="1145"/>
        <w:gridCol w:w="930"/>
        <w:gridCol w:w="1145"/>
        <w:gridCol w:w="1145"/>
        <w:gridCol w:w="1145"/>
        <w:gridCol w:w="1145"/>
        <w:gridCol w:w="1145"/>
        <w:gridCol w:w="889"/>
        <w:gridCol w:w="1145"/>
        <w:gridCol w:w="1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4064"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w:t>
            </w:r>
            <w:r>
              <w:rPr>
                <w:rFonts w:hint="eastAsia" w:ascii="宋体" w:hAnsi="宋体" w:eastAsia="宋体" w:cs="宋体"/>
                <w:i w:val="0"/>
                <w:iCs w:val="0"/>
                <w:color w:val="000000"/>
                <w:kern w:val="0"/>
                <w:sz w:val="28"/>
                <w:szCs w:val="28"/>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4064" w:type="dxa"/>
            <w:gridSpan w:val="1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510"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：许昌市市场监督管理局专业分局</w:t>
            </w:r>
          </w:p>
        </w:tc>
        <w:tc>
          <w:tcPr>
            <w:tcW w:w="1145"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114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4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4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8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4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94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65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409"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4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2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79"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9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4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8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9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4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8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1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8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19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4064"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7"/>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64"/>
        <w:gridCol w:w="1096"/>
        <w:gridCol w:w="1506"/>
        <w:gridCol w:w="1506"/>
        <w:gridCol w:w="1506"/>
        <w:gridCol w:w="1506"/>
        <w:gridCol w:w="1506"/>
        <w:gridCol w:w="1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3860"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760"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：许昌市市场监督管理局专业分局</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0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0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518"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5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366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366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366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widowControl/>
        <w:jc w:val="left"/>
        <w:textAlignment w:val="center"/>
        <w:rPr>
          <w:rFonts w:ascii="宋体" w:hAnsi="宋体" w:cs="宋体"/>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说明：我单位没有政府性基金收入，也没有使用政府性基金安排的支出，故本表无数据。</w:t>
      </w: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775.43</w:t>
      </w:r>
      <w:r>
        <w:rPr>
          <w:rFonts w:hint="eastAsia" w:ascii="仿宋_GB2312" w:hAnsi="仿宋_GB2312" w:eastAsia="仿宋_GB2312" w:cs="仿宋_GB2312"/>
          <w:sz w:val="32"/>
          <w:szCs w:val="32"/>
          <w:highlight w:val="none"/>
        </w:rPr>
        <w:t>万元。与上年度相比，收、支总计各</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110.93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12.52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本年度人员经费调整，财政拨款收入、支出均有所下降，项目经费逐步压缩</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700.56</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700.56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775.43</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772.63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99.64</w:t>
      </w:r>
      <w:r>
        <w:rPr>
          <w:rFonts w:hint="eastAsia" w:ascii="仿宋_GB2312" w:hAnsi="仿宋_GB2312" w:eastAsia="仿宋_GB2312" w:cs="仿宋_GB2312"/>
          <w:sz w:val="32"/>
          <w:szCs w:val="32"/>
          <w:highlight w:val="none"/>
        </w:rPr>
        <w:t>%；项目支出2</w:t>
      </w:r>
      <w:r>
        <w:rPr>
          <w:rFonts w:hint="default" w:ascii="仿宋_GB2312" w:hAnsi="仿宋_GB2312" w:eastAsia="仿宋_GB2312" w:cs="仿宋_GB2312"/>
          <w:sz w:val="32"/>
          <w:szCs w:val="32"/>
          <w:highlight w:val="none"/>
          <w:lang w:val="en-US"/>
        </w:rPr>
        <w:t>.81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0.36</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760.06</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110.93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12.74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本年度人员经费调整，财政拨款收入、支出均有所下降</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760.06</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98.02</w:t>
      </w:r>
      <w:r>
        <w:rPr>
          <w:rFonts w:hint="eastAsia" w:ascii="仿宋_GB2312" w:hAnsi="仿宋_GB2312" w:eastAsia="仿宋_GB2312" w:cs="仿宋_GB2312"/>
          <w:sz w:val="32"/>
          <w:szCs w:val="32"/>
          <w:highlight w:val="none"/>
        </w:rPr>
        <w:t>%。与上年度相比，一般公共预算财政拨款支出增减少</w:t>
      </w:r>
      <w:r>
        <w:rPr>
          <w:rFonts w:hint="eastAsia" w:ascii="仿宋_GB2312" w:hAnsi="仿宋_GB2312" w:eastAsia="仿宋_GB2312" w:cs="仿宋_GB2312"/>
          <w:sz w:val="32"/>
          <w:szCs w:val="32"/>
          <w:highlight w:val="none"/>
          <w:lang w:val="en-US" w:eastAsia="zh-CN"/>
        </w:rPr>
        <w:t>18.91</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2.43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本年度人员经费调整，财政拨款收入、支出均有所下降</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760.06</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567.89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74.72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社会保障和就业支出</w:t>
      </w:r>
      <w:r>
        <w:rPr>
          <w:rFonts w:hint="eastAsia" w:ascii="仿宋_GB2312" w:hAnsi="仿宋_GB2312" w:eastAsia="仿宋_GB2312" w:cs="仿宋_GB2312"/>
          <w:sz w:val="32"/>
          <w:szCs w:val="32"/>
          <w:highlight w:val="none"/>
          <w:lang w:val="en-US" w:eastAsia="zh-CN"/>
        </w:rPr>
        <w:t>161.22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21.21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卫生健康（类）支出30.95万元，占4.07%</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749.04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760.06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101.47</w:t>
      </w:r>
      <w:r>
        <w:rPr>
          <w:rFonts w:hint="eastAsia" w:ascii="仿宋_GB2312" w:hAnsi="仿宋_GB2312" w:eastAsia="仿宋_GB2312" w:cs="仿宋_GB2312"/>
          <w:sz w:val="32"/>
          <w:szCs w:val="32"/>
          <w:highlight w:val="none"/>
        </w:rPr>
        <w:t>%。其中：</w:t>
      </w:r>
    </w:p>
    <w:p>
      <w:pPr>
        <w:widowControl/>
        <w:numPr>
          <w:ilvl w:val="0"/>
          <w:numId w:val="3"/>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一般公共服务支出（类）群众团体事务（款）工会事务（项）。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万元，支出决算</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万元，完成年初预算的100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%。决算数与年初预算数</w:t>
      </w:r>
      <w:r>
        <w:rPr>
          <w:rFonts w:hint="eastAsia" w:ascii="仿宋_GB2312" w:hAnsi="仿宋_GB2312" w:eastAsia="仿宋_GB2312" w:cs="仿宋_GB2312"/>
          <w:sz w:val="32"/>
          <w:szCs w:val="32"/>
          <w:highlight w:val="none"/>
          <w:lang w:val="en-US" w:eastAsia="zh-CN"/>
        </w:rPr>
        <w:t>不存在差异</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宋体" w:cs="仿宋_GB2312"/>
          <w:sz w:val="32"/>
          <w:szCs w:val="32"/>
          <w:highlight w:val="none"/>
          <w:lang w:val="en-US" w:eastAsia="zh-CN"/>
        </w:rPr>
      </w:pPr>
      <w:r>
        <w:rPr>
          <w:rFonts w:hint="eastAsia" w:ascii="仿宋_GB2312" w:hAnsi="仿宋_GB2312" w:eastAsia="仿宋_GB2312" w:cs="仿宋_GB2312"/>
          <w:b/>
          <w:bCs/>
          <w:sz w:val="32"/>
          <w:szCs w:val="32"/>
          <w:highlight w:val="none"/>
        </w:rPr>
        <w:t>2、一般公共服务支出（类）市场监督管理事务（款）行政运行（项）。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563.06</w:t>
      </w:r>
      <w:r>
        <w:rPr>
          <w:rFonts w:hint="eastAsia" w:ascii="仿宋_GB2312" w:hAnsi="仿宋_GB2312" w:eastAsia="仿宋_GB2312" w:cs="仿宋_GB2312"/>
          <w:sz w:val="32"/>
          <w:szCs w:val="32"/>
          <w:highlight w:val="none"/>
        </w:rPr>
        <w:t>万元，支出决算</w:t>
      </w:r>
      <w:r>
        <w:rPr>
          <w:rFonts w:hint="eastAsia" w:ascii="仿宋_GB2312" w:hAnsi="仿宋_GB2312" w:eastAsia="仿宋_GB2312" w:cs="仿宋_GB2312"/>
          <w:sz w:val="32"/>
          <w:szCs w:val="32"/>
          <w:highlight w:val="none"/>
          <w:lang w:val="en-US" w:eastAsia="zh-CN"/>
        </w:rPr>
        <w:t>562.48</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99.89</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本年度人员减少，经费支出减少</w:t>
      </w:r>
      <w:r>
        <w:rPr>
          <w:rFonts w:hint="eastAsia" w:ascii="仿宋_GB2312" w:hAnsi="仿宋_GB2312" w:eastAsia="宋体" w:cs="仿宋_GB2312"/>
          <w:sz w:val="32"/>
          <w:szCs w:val="32"/>
          <w:highlight w:val="none"/>
          <w:lang w:val="en-US"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3．一般公共服务支出（类）市场监督管理事务（款）</w:t>
      </w:r>
      <w:r>
        <w:rPr>
          <w:rFonts w:hint="eastAsia" w:ascii="仿宋_GB2312" w:hAnsi="仿宋_GB2312" w:eastAsia="仿宋_GB2312" w:cs="仿宋_GB2312"/>
          <w:b/>
          <w:bCs/>
          <w:sz w:val="32"/>
          <w:szCs w:val="32"/>
          <w:highlight w:val="none"/>
          <w:lang w:eastAsia="zh-CN"/>
        </w:rPr>
        <w:t>其他市场监督管理事务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2.81</w:t>
      </w:r>
      <w:r>
        <w:rPr>
          <w:rFonts w:hint="eastAsia" w:ascii="仿宋_GB2312" w:hAnsi="仿宋_GB2312" w:eastAsia="仿宋_GB2312" w:cs="仿宋_GB2312"/>
          <w:sz w:val="32"/>
          <w:szCs w:val="32"/>
          <w:highlight w:val="none"/>
        </w:rPr>
        <w:t>万元。决算数与年初预算数存在差异的主要原因是使用上年结转资金。</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．社会保障和就业支出（类）行政事业单位养老支出（款）</w:t>
      </w:r>
      <w:r>
        <w:rPr>
          <w:rFonts w:hint="eastAsia" w:ascii="仿宋_GB2312" w:hAnsi="仿宋_GB2312" w:eastAsia="仿宋_GB2312" w:cs="仿宋_GB2312"/>
          <w:b/>
          <w:bCs/>
          <w:sz w:val="32"/>
          <w:szCs w:val="32"/>
          <w:highlight w:val="none"/>
          <w:lang w:eastAsia="zh-CN"/>
        </w:rPr>
        <w:t>行政单位离退休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120.36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130.12</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108.1</w:t>
      </w:r>
      <w:r>
        <w:rPr>
          <w:rFonts w:hint="eastAsia" w:ascii="仿宋_GB2312" w:hAnsi="仿宋_GB2312" w:eastAsia="仿宋_GB2312" w:cs="仿宋_GB2312"/>
          <w:sz w:val="32"/>
          <w:szCs w:val="32"/>
          <w:highlight w:val="none"/>
        </w:rPr>
        <w:t>%。决算数与年初预算数存在差异的主要原因是使用上年结转资金。</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．社会保障和就业支出（类）行政事业单位养老支出（款）机关事业单位基本养老保险缴费支出（项）。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31.29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31.10</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99.39</w:t>
      </w:r>
      <w:r>
        <w:rPr>
          <w:rFonts w:hint="eastAsia" w:ascii="仿宋_GB2312" w:hAnsi="仿宋_GB2312" w:eastAsia="仿宋_GB2312" w:cs="仿宋_GB2312"/>
          <w:sz w:val="32"/>
          <w:szCs w:val="32"/>
          <w:highlight w:val="none"/>
        </w:rPr>
        <w:t>%。决算数与年初预算数</w:t>
      </w:r>
      <w:r>
        <w:rPr>
          <w:rFonts w:hint="eastAsia" w:ascii="仿宋_GB2312" w:hAnsi="仿宋_GB2312" w:eastAsia="仿宋_GB2312" w:cs="仿宋_GB2312"/>
          <w:sz w:val="32"/>
          <w:szCs w:val="32"/>
          <w:highlight w:val="none"/>
          <w:lang w:val="en-US" w:eastAsia="zh-CN"/>
        </w:rPr>
        <w:t>存在差异的主要原因是</w:t>
      </w:r>
      <w:r>
        <w:rPr>
          <w:rFonts w:hint="eastAsia" w:ascii="仿宋_GB2312" w:hAnsi="仿宋_GB2312" w:eastAsia="仿宋_GB2312" w:cs="仿宋_GB2312"/>
          <w:sz w:val="32"/>
          <w:szCs w:val="32"/>
          <w:highlight w:val="none"/>
          <w:lang w:eastAsia="zh-CN"/>
        </w:rPr>
        <w:t>人员经费调整</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．卫生健康支出（类）行政事业单位医疗（款）行政单位医疗（项）。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16.25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16.05</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99.39</w:t>
      </w:r>
      <w:r>
        <w:rPr>
          <w:rFonts w:hint="eastAsia" w:ascii="仿宋_GB2312" w:hAnsi="仿宋_GB2312" w:eastAsia="仿宋_GB2312" w:cs="仿宋_GB2312"/>
          <w:sz w:val="32"/>
          <w:szCs w:val="32"/>
          <w:highlight w:val="none"/>
        </w:rPr>
        <w:t>%。决算数与年初预算数存在差异的主要原因</w:t>
      </w:r>
      <w:r>
        <w:rPr>
          <w:rFonts w:hint="eastAsia" w:ascii="仿宋_GB2312" w:hAnsi="仿宋_GB2312" w:eastAsia="仿宋_GB2312" w:cs="仿宋_GB2312"/>
          <w:sz w:val="32"/>
          <w:szCs w:val="32"/>
          <w:highlight w:val="none"/>
          <w:lang w:eastAsia="zh-CN"/>
        </w:rPr>
        <w:t>本年度医疗缴费基数调整</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．卫生健康支出（类）行政事业单位医疗（款）公务员医疗补助（项）。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15.48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14.91</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96.31</w:t>
      </w:r>
      <w:r>
        <w:rPr>
          <w:rFonts w:hint="eastAsia" w:ascii="仿宋_GB2312" w:hAnsi="仿宋_GB2312" w:eastAsia="仿宋_GB2312" w:cs="仿宋_GB2312"/>
          <w:sz w:val="32"/>
          <w:szCs w:val="32"/>
          <w:highlight w:val="none"/>
        </w:rPr>
        <w:t>%。决算数与年初预算数存在差异的主要原因</w:t>
      </w:r>
      <w:r>
        <w:rPr>
          <w:rFonts w:hint="eastAsia" w:ascii="仿宋_GB2312" w:hAnsi="仿宋_GB2312" w:eastAsia="仿宋_GB2312" w:cs="仿宋_GB2312"/>
          <w:sz w:val="32"/>
          <w:szCs w:val="32"/>
          <w:highlight w:val="none"/>
          <w:lang w:eastAsia="zh-CN"/>
        </w:rPr>
        <w:t>医疗缴费基数调整</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757.25</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685.4</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val="en-US" w:eastAsia="zh-CN"/>
        </w:rPr>
        <w:t>职工基本医疗保险缴费、公务员医疗补助缴费、</w:t>
      </w:r>
      <w:r>
        <w:rPr>
          <w:rFonts w:hint="eastAsia" w:ascii="仿宋_GB2312" w:hAnsi="仿宋_GB2312" w:eastAsia="仿宋_GB2312" w:cs="仿宋_GB2312"/>
          <w:sz w:val="32"/>
          <w:szCs w:val="32"/>
          <w:highlight w:val="none"/>
        </w:rPr>
        <w:t>其他社会保障缴费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住房公积金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其他工资福利支出、离休费、退休费、生活补助；公用经费</w:t>
      </w:r>
      <w:r>
        <w:rPr>
          <w:rFonts w:hint="eastAsia" w:ascii="仿宋_GB2312" w:hAnsi="仿宋_GB2312" w:eastAsia="仿宋_GB2312" w:cs="仿宋_GB2312"/>
          <w:sz w:val="32"/>
          <w:szCs w:val="32"/>
          <w:highlight w:val="none"/>
          <w:lang w:val="en-US" w:eastAsia="zh-CN"/>
        </w:rPr>
        <w:t>71.85</w:t>
      </w:r>
      <w:r>
        <w:rPr>
          <w:rFonts w:hint="eastAsia" w:ascii="仿宋_GB2312" w:hAnsi="仿宋_GB2312" w:eastAsia="仿宋_GB2312" w:cs="仿宋_GB2312"/>
          <w:sz w:val="32"/>
          <w:szCs w:val="32"/>
          <w:highlight w:val="none"/>
        </w:rPr>
        <w:t>万元，主要包括：办公费、印刷费、手续费、水费、电费、邮电费、物业管理费、差旅费、维修（护）费、会议费、公务接待费、工会经费、福利费、公务用车运行维护费、其他交通费用、其他商品和服务支出。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8.58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57.2</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eastAsia="仿宋_GB2312"/>
          <w:sz w:val="32"/>
          <w:szCs w:val="32"/>
          <w:highlight w:val="none"/>
        </w:rPr>
        <w:t>本年度严格控制公车运行费用和公务接待支出</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万元，完成预算的0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8.50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70.83</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99.07</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2.77</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0.93</w:t>
      </w:r>
      <w:r>
        <w:rPr>
          <w:rFonts w:hint="eastAsia" w:ascii="仿宋_GB2312" w:hAnsi="仿宋_GB2312" w:eastAsia="仿宋_GB2312" w:cs="仿宋_GB2312"/>
          <w:sz w:val="32"/>
          <w:szCs w:val="32"/>
          <w:highlight w:val="none"/>
        </w:rPr>
        <w:t>%。具体情况如下：</w:t>
      </w:r>
    </w:p>
    <w:p>
      <w:pPr>
        <w:widowControl/>
        <w:adjustRightInd/>
        <w:snapToGrid/>
        <w:spacing w:line="590" w:lineRule="exact"/>
        <w:ind w:left="0" w:leftChars="0" w:right="0" w:rightChars="0" w:firstLine="643" w:firstLineChars="200"/>
        <w:jc w:val="both"/>
        <w:outlineLvl w:val="9"/>
        <w:rPr>
          <w:rFonts w:hint="eastAsia" w:ascii="仿宋_GB2312" w:hAnsi="仿宋_GB2312" w:eastAsia="仿宋_GB2312" w:cs="仿宋_GB2312"/>
          <w:b/>
          <w:bCs/>
          <w:sz w:val="32"/>
          <w:szCs w:val="32"/>
          <w:highlight w:val="none"/>
        </w:rPr>
      </w:pPr>
      <w:r>
        <w:rPr>
          <w:rFonts w:hint="default" w:ascii="仿宋_GB2312" w:hAnsi="仿宋_GB2312" w:eastAsia="仿宋_GB2312" w:cs="仿宋_GB2312"/>
          <w:b/>
          <w:bCs/>
          <w:i w:val="0"/>
          <w:iCs w:val="0"/>
          <w:color w:val="auto"/>
          <w:kern w:val="2"/>
          <w:sz w:val="32"/>
          <w:szCs w:val="32"/>
          <w:highlight w:val="none"/>
          <w:vertAlign w:val="baseline"/>
          <w:lang w:val="en-US" w:eastAsia="zh-CN" w:bidi="ar-SA"/>
        </w:rPr>
        <w:t>1．因公出国（境）费</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预算为0.00万元，支出决算为0.00万元。全年因公出国（境）团组0个，累计0人次。</w:t>
      </w:r>
    </w:p>
    <w:p>
      <w:pPr>
        <w:widowControl/>
        <w:adjustRightInd/>
        <w:snapToGrid/>
        <w:spacing w:line="590" w:lineRule="exact"/>
        <w:ind w:left="0" w:leftChars="0" w:right="0" w:rightChars="0" w:firstLine="643" w:firstLineChars="200"/>
        <w:jc w:val="both"/>
        <w:outlineLvl w:val="9"/>
        <w:rPr>
          <w:rFonts w:hint="eastAsia" w:ascii="仿宋_GB2312" w:hAnsi="仿宋_GB2312" w:eastAsia="仿宋_GB2312" w:cs="仿宋_GB2312"/>
          <w:b/>
          <w:bCs/>
          <w:sz w:val="32"/>
          <w:szCs w:val="32"/>
          <w:highlight w:val="none"/>
        </w:rPr>
      </w:pPr>
      <w:r>
        <w:rPr>
          <w:rFonts w:hint="default" w:ascii="仿宋_GB2312" w:hAnsi="仿宋_GB2312" w:eastAsia="仿宋_GB2312" w:cs="仿宋_GB2312"/>
          <w:b/>
          <w:bCs/>
          <w:i w:val="0"/>
          <w:iCs w:val="0"/>
          <w:color w:val="auto"/>
          <w:kern w:val="2"/>
          <w:sz w:val="32"/>
          <w:szCs w:val="32"/>
          <w:highlight w:val="none"/>
          <w:vertAlign w:val="baseline"/>
          <w:lang w:val="en-US" w:eastAsia="zh-CN" w:bidi="ar-SA"/>
        </w:rPr>
        <w:t>2．公务用车购置及运行费</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预算为12.00万元，支出决算为8.5</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0</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万元，完成预算的</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70.83</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%。决算数与预算数存在差异的主要原因是提倡了绿色出行尽量减少公务用车。其中：</w:t>
      </w:r>
    </w:p>
    <w:p>
      <w:pPr>
        <w:widowControl/>
        <w:adjustRightInd/>
        <w:snapToGrid/>
        <w:spacing w:line="590" w:lineRule="exact"/>
        <w:ind w:left="0" w:leftChars="0" w:right="0" w:rightChars="0" w:firstLine="643" w:firstLineChars="200"/>
        <w:jc w:val="both"/>
        <w:outlineLvl w:val="9"/>
        <w:rPr>
          <w:rFonts w:hint="eastAsia" w:ascii="仿宋_GB2312" w:hAnsi="仿宋_GB2312" w:eastAsia="仿宋_GB2312" w:cs="仿宋_GB2312"/>
          <w:b/>
          <w:bCs/>
          <w:sz w:val="32"/>
          <w:szCs w:val="32"/>
          <w:highlight w:val="none"/>
        </w:rPr>
      </w:pPr>
      <w:r>
        <w:rPr>
          <w:rFonts w:hint="default" w:ascii="仿宋_GB2312" w:hAnsi="仿宋_GB2312" w:eastAsia="仿宋_GB2312" w:cs="仿宋_GB2312"/>
          <w:b/>
          <w:bCs/>
          <w:i w:val="0"/>
          <w:iCs w:val="0"/>
          <w:color w:val="auto"/>
          <w:kern w:val="2"/>
          <w:sz w:val="32"/>
          <w:szCs w:val="32"/>
          <w:highlight w:val="none"/>
          <w:vertAlign w:val="baseline"/>
          <w:lang w:val="en-US" w:eastAsia="zh-CN" w:bidi="ar-SA"/>
        </w:rPr>
        <w:t>公务用车购置支出</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0.00万元，购置车辆0辆。</w:t>
      </w:r>
    </w:p>
    <w:p>
      <w:pPr>
        <w:widowControl/>
        <w:adjustRightInd/>
        <w:snapToGrid/>
        <w:spacing w:line="590" w:lineRule="exact"/>
        <w:ind w:left="0" w:leftChars="0" w:right="0" w:rightChars="0" w:firstLine="643" w:firstLineChars="200"/>
        <w:jc w:val="both"/>
        <w:outlineLvl w:val="9"/>
        <w:rPr>
          <w:rFonts w:hint="eastAsia" w:ascii="仿宋_GB2312" w:hAnsi="仿宋_GB2312" w:eastAsia="仿宋_GB2312" w:cs="仿宋_GB2312"/>
          <w:b/>
          <w:bCs/>
          <w:sz w:val="32"/>
          <w:szCs w:val="32"/>
          <w:highlight w:val="none"/>
        </w:rPr>
      </w:pPr>
      <w:r>
        <w:rPr>
          <w:rFonts w:hint="default" w:ascii="仿宋_GB2312" w:hAnsi="仿宋_GB2312" w:eastAsia="仿宋_GB2312" w:cs="仿宋_GB2312"/>
          <w:b/>
          <w:bCs/>
          <w:i w:val="0"/>
          <w:iCs w:val="0"/>
          <w:color w:val="auto"/>
          <w:kern w:val="2"/>
          <w:sz w:val="32"/>
          <w:szCs w:val="32"/>
          <w:highlight w:val="none"/>
          <w:vertAlign w:val="baseline"/>
          <w:lang w:val="en-US" w:eastAsia="zh-CN" w:bidi="ar-SA"/>
        </w:rPr>
        <w:t>公务用车运行支出</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8.5</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0</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万元。主要用于执法车辆燃油费、维修费、车辆保险等。202</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1</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年期末，</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单位</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开支财政拨款的公务用车保有量为</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4</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辆。</w:t>
      </w:r>
    </w:p>
    <w:p>
      <w:pPr>
        <w:widowControl/>
        <w:adjustRightInd/>
        <w:snapToGrid/>
        <w:spacing w:line="590" w:lineRule="exact"/>
        <w:ind w:right="0" w:rightChars="0" w:firstLine="643" w:firstLineChars="200"/>
        <w:jc w:val="both"/>
        <w:outlineLvl w:val="9"/>
        <w:rPr>
          <w:rFonts w:hint="eastAsia" w:ascii="仿宋_GB2312" w:hAnsi="仿宋_GB2312" w:eastAsia="仿宋_GB2312" w:cs="仿宋_GB2312"/>
          <w:b/>
          <w:bCs/>
          <w:sz w:val="32"/>
          <w:szCs w:val="32"/>
          <w:highlight w:val="none"/>
        </w:rPr>
      </w:pPr>
      <w:r>
        <w:rPr>
          <w:rFonts w:hint="default" w:ascii="仿宋_GB2312" w:hAnsi="仿宋_GB2312" w:eastAsia="仿宋_GB2312" w:cs="仿宋_GB2312"/>
          <w:b/>
          <w:bCs/>
          <w:i w:val="0"/>
          <w:iCs w:val="0"/>
          <w:color w:val="auto"/>
          <w:kern w:val="2"/>
          <w:sz w:val="32"/>
          <w:szCs w:val="32"/>
          <w:highlight w:val="none"/>
          <w:vertAlign w:val="baseline"/>
          <w:lang w:val="en-US" w:eastAsia="zh-CN" w:bidi="ar-SA"/>
        </w:rPr>
        <w:t>3.公务接待费</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预算为3</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.00</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万元，支出决算为0.08万元，完成预算的</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2.67</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%。决算数与预算数存在差异的主要原因是</w:t>
      </w:r>
      <w:r>
        <w:rPr>
          <w:rFonts w:hint="default" w:ascii="仿宋" w:hAnsi="仿宋" w:eastAsia="仿宋" w:cs="仿宋"/>
          <w:b w:val="0"/>
          <w:bCs w:val="0"/>
          <w:i w:val="0"/>
          <w:iCs w:val="0"/>
          <w:color w:val="auto"/>
          <w:kern w:val="2"/>
          <w:sz w:val="32"/>
          <w:szCs w:val="32"/>
          <w:highlight w:val="none"/>
          <w:vertAlign w:val="baseline"/>
          <w:lang w:val="en-US" w:eastAsia="zh-CN" w:bidi="ar-SA"/>
        </w:rPr>
        <w:t>增收节支,</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减少公务接待次数。其中：</w:t>
      </w:r>
    </w:p>
    <w:p>
      <w:pPr>
        <w:widowControl/>
        <w:adjustRightInd/>
        <w:snapToGrid/>
        <w:spacing w:line="590" w:lineRule="exact"/>
        <w:ind w:right="0" w:rightChars="0" w:firstLine="643" w:firstLineChars="200"/>
        <w:jc w:val="both"/>
        <w:outlineLvl w:val="9"/>
        <w:rPr>
          <w:rFonts w:hint="eastAsia" w:ascii="仿宋_GB2312" w:hAnsi="仿宋_GB2312" w:eastAsia="仿宋_GB2312" w:cs="仿宋_GB2312"/>
          <w:b/>
          <w:bCs/>
          <w:sz w:val="32"/>
          <w:szCs w:val="32"/>
          <w:highlight w:val="none"/>
        </w:rPr>
      </w:pPr>
      <w:r>
        <w:rPr>
          <w:rFonts w:hint="default" w:ascii="仿宋_GB2312" w:hAnsi="仿宋_GB2312" w:eastAsia="仿宋_GB2312" w:cs="仿宋_GB2312"/>
          <w:b/>
          <w:bCs/>
          <w:i w:val="0"/>
          <w:iCs w:val="0"/>
          <w:color w:val="auto"/>
          <w:kern w:val="2"/>
          <w:sz w:val="32"/>
          <w:szCs w:val="32"/>
          <w:highlight w:val="none"/>
          <w:vertAlign w:val="baseline"/>
          <w:lang w:val="en-US" w:eastAsia="zh-CN" w:bidi="ar-SA"/>
        </w:rPr>
        <w:t>外宾接待支出</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0.00万元。</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2021</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default" w:ascii="仿宋_GB2312" w:hAnsi="仿宋_GB2312" w:eastAsia="仿宋_GB2312" w:cs="仿宋_GB2312"/>
          <w:b/>
          <w:bCs/>
          <w:i w:val="0"/>
          <w:iCs w:val="0"/>
          <w:color w:val="auto"/>
          <w:kern w:val="2"/>
          <w:sz w:val="32"/>
          <w:szCs w:val="32"/>
          <w:highlight w:val="none"/>
          <w:vertAlign w:val="baseline"/>
          <w:lang w:val="en-US" w:eastAsia="zh-CN" w:bidi="ar-SA"/>
        </w:rPr>
        <w:t>其他国内公务接待支出</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0.08</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万元。主要用于外来单位学习招待。</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2021</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年共接待国内来访团组</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1</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个、来宾</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13</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widowControl/>
        <w:suppressLineNumbers w:val="0"/>
        <w:ind w:firstLine="640" w:firstLineChars="200"/>
        <w:jc w:val="left"/>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pP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2021年度政府性基金预算财政拨款支出年初预算为0.00万元，支出决算为0.00万元，不存在项目年末结转和结余资金数额较大。情况说明：我</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单位</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2021年度没有政府性基金收入，也没有使用政府性基金安排的支出。</w:t>
      </w:r>
    </w:p>
    <w:p>
      <w:pPr>
        <w:keepNext w:val="0"/>
        <w:keepLines w:val="0"/>
        <w:widowControl/>
        <w:suppressLineNumbers w:val="0"/>
        <w:ind w:firstLine="640" w:firstLineChars="20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90.32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71.85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79.55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合理控制支出并逐年压缩。</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用于行政执法办案、专项行动的开展，主要有查处不正当竞争、商业贿赂、商标侵权、违法广告、合同欺诈等办案过程中发生的差旅费、执法车辆运行费用、印刷费等成本性支出。</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w:t>
      </w: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〕1号）等文件精神，我单位对本单位整体绩效目标和项目支出绩效目标进行了自评。一是部门（单位）整体绩效自评情况。</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1.经济效益：履职尽责，加强监管，严厉打击违法违规行为，打击违法违规行为，保护企业合法利益，优化营商环境，全年罚没款入库85.28万元。</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2.社会效益：维护消费者合法权益，优化营商环境，依法行政人民群众满意度不断提高，企业依法经营、诚信经营不断提升。</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3.满意度指标完成情况：企业对依法行政满意度得到提高。人民群众对依法行政满意度得到提升。</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二是项目绩效自评情况。我单位共有0个项目批复了绩效目标，项目金额0.00万元。</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基于项目预期目标的实现程度，对2021年度项目支出绩效进行自评，绩效自评平均得分为/分。其中：0个项目评价等级为“优”、0个项目评价等级为“良”、0个项目评价等级为“中”、0个项目评价等级为“差”。  </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黑体" w:hAnsi="宋体" w:eastAsia="黑体" w:cs="宋体"/>
          <w:kern w:val="0"/>
          <w:sz w:val="28"/>
          <w:szCs w:val="28"/>
          <w:highlight w:val="none"/>
        </w:rPr>
      </w:pPr>
      <w:r>
        <w:rPr>
          <w:rFonts w:hint="eastAsia" w:ascii="仿宋_GB2312" w:hAnsi="仿宋_GB2312" w:eastAsia="仿宋_GB2312" w:cs="仿宋_GB2312"/>
          <w:i w:val="0"/>
          <w:iCs w:val="0"/>
          <w:color w:val="000000"/>
          <w:kern w:val="2"/>
          <w:sz w:val="32"/>
          <w:szCs w:val="32"/>
          <w:highlight w:val="none"/>
          <w:u w:val="none" w:color="auto"/>
          <w:lang w:val="en-US" w:eastAsia="zh-CN" w:bidi="ar-SA"/>
        </w:rPr>
        <w:t>2021年我单位没有开展重点绩效评价项目。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64F6E"/>
    <w:multiLevelType w:val="singleLevel"/>
    <w:tmpl w:val="BF764F6E"/>
    <w:lvl w:ilvl="0" w:tentative="0">
      <w:start w:val="1"/>
      <w:numFmt w:val="chineseCounting"/>
      <w:suff w:val="space"/>
      <w:lvlText w:val="第%1部分"/>
      <w:lvlJc w:val="left"/>
      <w:rPr>
        <w:rFonts w:hint="eastAsia"/>
      </w:rPr>
    </w:lvl>
  </w:abstractNum>
  <w:abstractNum w:abstractNumId="1">
    <w:nsid w:val="E9092C5D"/>
    <w:multiLevelType w:val="singleLevel"/>
    <w:tmpl w:val="E9092C5D"/>
    <w:lvl w:ilvl="0" w:tentative="0">
      <w:start w:val="1"/>
      <w:numFmt w:val="decimal"/>
      <w:suff w:val="nothing"/>
      <w:lvlText w:val="%1、"/>
      <w:lvlJc w:val="left"/>
    </w:lvl>
  </w:abstractNum>
  <w:abstractNum w:abstractNumId="2">
    <w:nsid w:val="00000001"/>
    <w:multiLevelType w:val="singleLevel"/>
    <w:tmpl w:val="00000001"/>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Nzc3YTRmMDRiOWVjMDkxNzUyZGJmYjE3YmRiMjEifQ=="/>
  </w:docVars>
  <w:rsids>
    <w:rsidRoot w:val="00172A27"/>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8411F5"/>
    <w:rsid w:val="02A3489A"/>
    <w:rsid w:val="02CA138D"/>
    <w:rsid w:val="033646FC"/>
    <w:rsid w:val="03C75F80"/>
    <w:rsid w:val="0478364D"/>
    <w:rsid w:val="053D4C0D"/>
    <w:rsid w:val="0557532E"/>
    <w:rsid w:val="0762780F"/>
    <w:rsid w:val="0799329C"/>
    <w:rsid w:val="08397436"/>
    <w:rsid w:val="086F16A7"/>
    <w:rsid w:val="0A0F7225"/>
    <w:rsid w:val="0A2B7D82"/>
    <w:rsid w:val="0AA83B1E"/>
    <w:rsid w:val="0ADC40E9"/>
    <w:rsid w:val="0AE607F4"/>
    <w:rsid w:val="0B386127"/>
    <w:rsid w:val="0B451598"/>
    <w:rsid w:val="0BEC73F4"/>
    <w:rsid w:val="0C392698"/>
    <w:rsid w:val="10BD36F6"/>
    <w:rsid w:val="10CF32FA"/>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C844F99"/>
    <w:rsid w:val="1D6751F7"/>
    <w:rsid w:val="1E443B4B"/>
    <w:rsid w:val="1E994F4A"/>
    <w:rsid w:val="1EAF0224"/>
    <w:rsid w:val="1F2230A4"/>
    <w:rsid w:val="20210932"/>
    <w:rsid w:val="202448E0"/>
    <w:rsid w:val="20D01C4E"/>
    <w:rsid w:val="20F614FE"/>
    <w:rsid w:val="21302EEA"/>
    <w:rsid w:val="22376FB5"/>
    <w:rsid w:val="23E152D7"/>
    <w:rsid w:val="23EE2489"/>
    <w:rsid w:val="24BE0FA2"/>
    <w:rsid w:val="255D43C8"/>
    <w:rsid w:val="26714EF8"/>
    <w:rsid w:val="26876BDD"/>
    <w:rsid w:val="2714632A"/>
    <w:rsid w:val="27541E73"/>
    <w:rsid w:val="277F7F31"/>
    <w:rsid w:val="27B0539E"/>
    <w:rsid w:val="29365CF8"/>
    <w:rsid w:val="299469B3"/>
    <w:rsid w:val="2A805789"/>
    <w:rsid w:val="2ADC0D75"/>
    <w:rsid w:val="2B4A0E52"/>
    <w:rsid w:val="2C975890"/>
    <w:rsid w:val="2CCB6C14"/>
    <w:rsid w:val="2DEF21BB"/>
    <w:rsid w:val="2E4A2F05"/>
    <w:rsid w:val="2ECC1061"/>
    <w:rsid w:val="2FA476AD"/>
    <w:rsid w:val="303F7540"/>
    <w:rsid w:val="31DD00BF"/>
    <w:rsid w:val="3293174C"/>
    <w:rsid w:val="3295693B"/>
    <w:rsid w:val="32BB38D4"/>
    <w:rsid w:val="32C9376D"/>
    <w:rsid w:val="33780472"/>
    <w:rsid w:val="33AF0905"/>
    <w:rsid w:val="355932F4"/>
    <w:rsid w:val="355B4A25"/>
    <w:rsid w:val="35611882"/>
    <w:rsid w:val="35C7EB7C"/>
    <w:rsid w:val="36746FC3"/>
    <w:rsid w:val="368763AE"/>
    <w:rsid w:val="395D59E7"/>
    <w:rsid w:val="39A93932"/>
    <w:rsid w:val="3A915562"/>
    <w:rsid w:val="3ACF163E"/>
    <w:rsid w:val="3B8D4765"/>
    <w:rsid w:val="3C000DBA"/>
    <w:rsid w:val="3DC045D3"/>
    <w:rsid w:val="3DDF37F1"/>
    <w:rsid w:val="3E504FFB"/>
    <w:rsid w:val="3E615CD0"/>
    <w:rsid w:val="3E9C47F6"/>
    <w:rsid w:val="3EED846E"/>
    <w:rsid w:val="3F244573"/>
    <w:rsid w:val="3F8B0112"/>
    <w:rsid w:val="3FAB3095"/>
    <w:rsid w:val="3FE45947"/>
    <w:rsid w:val="41242965"/>
    <w:rsid w:val="41406229"/>
    <w:rsid w:val="435671EA"/>
    <w:rsid w:val="440809E9"/>
    <w:rsid w:val="442407A6"/>
    <w:rsid w:val="44805EA1"/>
    <w:rsid w:val="450F063D"/>
    <w:rsid w:val="45710696"/>
    <w:rsid w:val="46142B1B"/>
    <w:rsid w:val="47E60DD0"/>
    <w:rsid w:val="48735039"/>
    <w:rsid w:val="492C684B"/>
    <w:rsid w:val="49500594"/>
    <w:rsid w:val="49E7604E"/>
    <w:rsid w:val="4BF67CDD"/>
    <w:rsid w:val="4D173441"/>
    <w:rsid w:val="4D603DD6"/>
    <w:rsid w:val="4EBF010F"/>
    <w:rsid w:val="4F471EB0"/>
    <w:rsid w:val="5017716F"/>
    <w:rsid w:val="51331326"/>
    <w:rsid w:val="51740A7F"/>
    <w:rsid w:val="51A5541E"/>
    <w:rsid w:val="51C96242"/>
    <w:rsid w:val="53906AE1"/>
    <w:rsid w:val="54F46F60"/>
    <w:rsid w:val="551B4A12"/>
    <w:rsid w:val="55A37BEA"/>
    <w:rsid w:val="56362CD2"/>
    <w:rsid w:val="5784687B"/>
    <w:rsid w:val="57846959"/>
    <w:rsid w:val="578E6A87"/>
    <w:rsid w:val="5AC2203A"/>
    <w:rsid w:val="5AE51664"/>
    <w:rsid w:val="5CBB3334"/>
    <w:rsid w:val="5D115FAF"/>
    <w:rsid w:val="5F5E268A"/>
    <w:rsid w:val="5FFFD603"/>
    <w:rsid w:val="62811722"/>
    <w:rsid w:val="62E75A72"/>
    <w:rsid w:val="637FD4CB"/>
    <w:rsid w:val="63BB7619"/>
    <w:rsid w:val="64571880"/>
    <w:rsid w:val="649125B6"/>
    <w:rsid w:val="652F4C1A"/>
    <w:rsid w:val="65CF18DD"/>
    <w:rsid w:val="666D37F1"/>
    <w:rsid w:val="67087D8F"/>
    <w:rsid w:val="671F687E"/>
    <w:rsid w:val="67E7767D"/>
    <w:rsid w:val="67F415F8"/>
    <w:rsid w:val="682640D1"/>
    <w:rsid w:val="684B73E5"/>
    <w:rsid w:val="68761E66"/>
    <w:rsid w:val="6A047A2A"/>
    <w:rsid w:val="6EFB7548"/>
    <w:rsid w:val="6F3831C3"/>
    <w:rsid w:val="6F8B71C1"/>
    <w:rsid w:val="70753482"/>
    <w:rsid w:val="707B522A"/>
    <w:rsid w:val="72107CFB"/>
    <w:rsid w:val="73194D05"/>
    <w:rsid w:val="73A83B0E"/>
    <w:rsid w:val="744D3EF9"/>
    <w:rsid w:val="74794411"/>
    <w:rsid w:val="75867C40"/>
    <w:rsid w:val="75B10B26"/>
    <w:rsid w:val="75D85A92"/>
    <w:rsid w:val="75EFED1D"/>
    <w:rsid w:val="76432199"/>
    <w:rsid w:val="76F44829"/>
    <w:rsid w:val="7712545A"/>
    <w:rsid w:val="77A267C0"/>
    <w:rsid w:val="78882278"/>
    <w:rsid w:val="78B118A6"/>
    <w:rsid w:val="78BCBD68"/>
    <w:rsid w:val="79135044"/>
    <w:rsid w:val="7A7D0F99"/>
    <w:rsid w:val="7D755A0B"/>
    <w:rsid w:val="7E4A0E7C"/>
    <w:rsid w:val="7EB70745"/>
    <w:rsid w:val="7EFD449D"/>
    <w:rsid w:val="7F5B579D"/>
    <w:rsid w:val="7F8D1F6C"/>
    <w:rsid w:val="7F9F99CF"/>
    <w:rsid w:val="7FFEF3A2"/>
    <w:rsid w:val="B9F1208C"/>
    <w:rsid w:val="DFBE93C7"/>
    <w:rsid w:val="E79EE5B4"/>
    <w:rsid w:val="FDFF7815"/>
    <w:rsid w:val="FF3D5688"/>
    <w:rsid w:val="FFFE1D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0"/>
      <w:jc w:val="both"/>
    </w:pPr>
    <w:rPr>
      <w:rFonts w:ascii="Times New Roman" w:hAnsi="Times New Roman" w:eastAsia="宋体" w:cs="Times New Roman"/>
      <w:kern w:val="2"/>
      <w:sz w:val="21"/>
      <w:szCs w:val="24"/>
      <w:lang w:val="en-US" w:eastAsia="zh-CN" w:bidi="ar-SA"/>
    </w:rPr>
  </w:style>
  <w:style w:type="character" w:default="1" w:styleId="9">
    <w:name w:val="Default Paragraph Font"/>
    <w:uiPriority w:val="0"/>
    <w:rPr>
      <w:rFonts w:ascii="Times New Roman" w:hAnsi="Times New Roman" w:eastAsia="宋体" w:cs="Times New Roman"/>
    </w:rPr>
  </w:style>
  <w:style w:type="table" w:default="1" w:styleId="7">
    <w:name w:val="Normal Table"/>
    <w:uiPriority w:val="0"/>
    <w:rPr>
      <w:rFonts w:ascii="Times New Roman" w:hAnsi="Times New Roman" w:eastAsia="宋体" w:cs="Times New Roman"/>
    </w:rPr>
    <w:tblPr>
      <w:tblStyle w:val="7"/>
      <w:tblCellMar>
        <w:top w:w="0" w:type="dxa"/>
        <w:left w:w="108" w:type="dxa"/>
        <w:bottom w:w="0" w:type="dxa"/>
        <w:right w:w="108" w:type="dxa"/>
      </w:tblCellMar>
    </w:tblPr>
  </w:style>
  <w:style w:type="paragraph" w:styleId="2">
    <w:name w:val="Body Text Indent"/>
    <w:basedOn w:val="1"/>
    <w:uiPriority w:val="0"/>
    <w:pPr>
      <w:widowControl w:val="0"/>
      <w:spacing w:before="0" w:after="120"/>
      <w:ind w:left="420" w:leftChars="200" w:right="0"/>
      <w:jc w:val="both"/>
    </w:pPr>
    <w:rPr>
      <w:rFonts w:ascii="Times New Roman" w:hAnsi="Times New Roman" w:eastAsia="宋体" w:cs="Times New Roman"/>
      <w:kern w:val="2"/>
      <w:sz w:val="21"/>
      <w:szCs w:val="24"/>
      <w:lang w:val="en-US" w:eastAsia="zh-CN" w:bidi="ar-SA"/>
    </w:rPr>
  </w:style>
  <w:style w:type="paragraph" w:styleId="3">
    <w:name w:val="Balloon Text"/>
    <w:basedOn w:val="1"/>
    <w:link w:val="12"/>
    <w:uiPriority w:val="0"/>
    <w:rPr>
      <w:rFonts w:ascii="Times New Roman" w:hAnsi="Times New Roman" w:eastAsia="宋体" w:cs="Times New Roman"/>
      <w:sz w:val="18"/>
      <w:szCs w:val="18"/>
    </w:rPr>
  </w:style>
  <w:style w:type="paragraph" w:styleId="4">
    <w:name w:val="footer"/>
    <w:basedOn w:val="1"/>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5">
    <w:name w:val="header"/>
    <w:basedOn w:val="1"/>
    <w:link w:val="13"/>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Body Text First Indent 2"/>
    <w:basedOn w:val="2"/>
    <w:uiPriority w:val="0"/>
    <w:pPr>
      <w:widowControl w:val="0"/>
      <w:spacing w:before="0" w:after="120"/>
      <w:ind w:left="420" w:leftChars="200" w:right="0" w:firstLine="420" w:firstLineChars="200"/>
      <w:jc w:val="both"/>
    </w:pPr>
    <w:rPr>
      <w:rFonts w:ascii="Times New Roman" w:hAnsi="Times New Roman" w:eastAsia="宋体" w:cs="Times New Roman"/>
      <w:kern w:val="2"/>
      <w:sz w:val="21"/>
      <w:szCs w:val="24"/>
      <w:lang w:val="en-US" w:eastAsia="zh-CN" w:bidi="ar-SA"/>
    </w:rPr>
  </w:style>
  <w:style w:type="table" w:styleId="8">
    <w:name w:val="Table Grid"/>
    <w:basedOn w:val="7"/>
    <w:uiPriority w:val="0"/>
    <w:pPr>
      <w:widowControl w:val="0"/>
      <w:jc w:val="both"/>
    </w:pPr>
    <w:rPr>
      <w:rFonts w:ascii="Times New Roman" w:hAnsi="Times New Roman" w:eastAsia="宋体" w:cs="Times New Roman"/>
    </w:r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iPriority w:val="0"/>
    <w:rPr>
      <w:rFonts w:ascii="Times New Roman" w:hAnsi="Times New Roman" w:eastAsia="宋体" w:cs="Times New Roman"/>
      <w:color w:val="800080"/>
      <w:u w:val="single"/>
    </w:rPr>
  </w:style>
  <w:style w:type="character" w:styleId="11">
    <w:name w:val="Hyperlink"/>
    <w:uiPriority w:val="0"/>
    <w:rPr>
      <w:rFonts w:ascii="Times New Roman" w:hAnsi="Times New Roman" w:eastAsia="宋体" w:cs="Times New Roman"/>
      <w:color w:val="0000FF"/>
      <w:u w:val="single"/>
    </w:rPr>
  </w:style>
  <w:style w:type="character" w:customStyle="1" w:styleId="12">
    <w:name w:val="批注框文本 Char"/>
    <w:link w:val="3"/>
    <w:uiPriority w:val="0"/>
    <w:rPr>
      <w:rFonts w:ascii="Times New Roman" w:hAnsi="Times New Roman" w:eastAsia="宋体" w:cs="Times New Roman"/>
      <w:kern w:val="2"/>
      <w:sz w:val="18"/>
      <w:szCs w:val="18"/>
    </w:rPr>
  </w:style>
  <w:style w:type="character" w:customStyle="1" w:styleId="13">
    <w:name w:val="页眉 Char"/>
    <w:link w:val="5"/>
    <w:uiPriority w:val="0"/>
    <w:rPr>
      <w:rFonts w:ascii="Times New Roman" w:hAnsi="Times New Roman" w:eastAsia="宋体" w:cs="Times New Roman"/>
      <w:kern w:val="2"/>
      <w:sz w:val="18"/>
      <w:szCs w:val="18"/>
    </w:rPr>
  </w:style>
  <w:style w:type="character" w:customStyle="1" w:styleId="14">
    <w:name w:val="页脚 Char"/>
    <w:uiPriority w:val="0"/>
    <w:rPr>
      <w:rFonts w:ascii="Times New Roman" w:hAnsi="Times New Roman" w:eastAsia="宋体" w:cs="Times New Roman"/>
      <w:kern w:val="2"/>
      <w:sz w:val="18"/>
      <w:szCs w:val="18"/>
    </w:rPr>
  </w:style>
  <w:style w:type="character" w:customStyle="1" w:styleId="15">
    <w:name w:val="font11"/>
    <w:uiPriority w:val="0"/>
    <w:rPr>
      <w:rFonts w:hint="eastAsia" w:ascii="宋体" w:hAnsi="宋体" w:eastAsia="宋体" w:cs="宋体"/>
      <w:color w:val="000000"/>
      <w:sz w:val="20"/>
      <w:szCs w:val="20"/>
      <w:u w:val="none"/>
    </w:rPr>
  </w:style>
  <w:style w:type="character" w:customStyle="1" w:styleId="16">
    <w:name w:val="font01"/>
    <w:uiPriority w:val="0"/>
    <w:rPr>
      <w:rFonts w:hint="eastAsia" w:ascii="宋体" w:hAnsi="宋体" w:eastAsia="宋体" w:cs="宋体"/>
      <w:color w:val="000000"/>
      <w:sz w:val="22"/>
      <w:szCs w:val="22"/>
      <w:u w:val="none"/>
    </w:rPr>
  </w:style>
  <w:style w:type="character" w:customStyle="1" w:styleId="17">
    <w:name w:val="font51"/>
    <w:uiPriority w:val="0"/>
    <w:rPr>
      <w:rFonts w:hint="eastAsia" w:ascii="宋体" w:hAnsi="宋体" w:eastAsia="宋体" w:cs="宋体"/>
      <w:color w:val="000000"/>
      <w:sz w:val="24"/>
      <w:szCs w:val="24"/>
      <w:u w:val="none"/>
    </w:rPr>
  </w:style>
  <w:style w:type="character" w:customStyle="1" w:styleId="18">
    <w:name w:val="font21"/>
    <w:uiPriority w:val="0"/>
    <w:rPr>
      <w:rFonts w:hint="eastAsia" w:ascii="宋体" w:hAnsi="宋体" w:eastAsia="宋体" w:cs="宋体"/>
      <w:color w:val="000000"/>
      <w:sz w:val="22"/>
      <w:szCs w:val="22"/>
      <w:u w:val="none"/>
    </w:rPr>
  </w:style>
  <w:style w:type="character" w:customStyle="1" w:styleId="19">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8119</Words>
  <Characters>9879</Characters>
  <Lines>60</Lines>
  <Paragraphs>16</Paragraphs>
  <TotalTime>5.33333333333333</TotalTime>
  <ScaleCrop>false</ScaleCrop>
  <LinksUpToDate>false</LinksUpToDate>
  <CharactersWithSpaces>10100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2007-11-30T11:41:00Z</dcterms:created>
  <dc:creator>管理者</dc:creator>
  <cp:lastModifiedBy>悟の</cp:lastModifiedBy>
  <cp:lastPrinted>2023-05-10T18:00:23Z</cp:lastPrinted>
  <dcterms:modified xsi:type="dcterms:W3CDTF">2023-05-29T03:08:43Z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825645E3B9504DE491F411403A8702D1_13</vt:lpwstr>
  </property>
</Properties>
</file>