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rPr>
      </w:pPr>
      <w:bookmarkStart w:id="0" w:name="_GoBack"/>
      <w:bookmarkEnd w:id="0"/>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rPr>
          <w:rFonts w:hint="eastAsia"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hint="eastAsia" w:ascii="黑体" w:hAnsi="黑体" w:eastAsia="黑体" w:cs="黑体"/>
          <w:sz w:val="52"/>
          <w:szCs w:val="52"/>
        </w:rPr>
      </w:pPr>
      <w:r>
        <w:rPr>
          <w:rFonts w:hint="eastAsia" w:ascii="黑体" w:hAnsi="黑体" w:eastAsia="黑体" w:cs="黑体"/>
          <w:sz w:val="52"/>
          <w:szCs w:val="52"/>
        </w:rPr>
        <w:t>许昌市工商行政管理局经济检查支队</w:t>
      </w:r>
      <w:r>
        <w:rPr>
          <w:rFonts w:hint="eastAsia" w:ascii="黑体" w:hAnsi="黑体" w:eastAsia="黑体" w:cs="黑体"/>
          <w:sz w:val="52"/>
          <w:szCs w:val="52"/>
          <w:lang w:eastAsia="zh-CN"/>
        </w:rPr>
        <w:t>单位</w:t>
      </w:r>
      <w:r>
        <w:rPr>
          <w:rFonts w:hint="eastAsia" w:ascii="黑体" w:hAnsi="黑体" w:eastAsia="黑体" w:cs="黑体"/>
          <w:sz w:val="52"/>
          <w:szCs w:val="52"/>
        </w:rPr>
        <w:t>决算</w:t>
      </w:r>
    </w:p>
    <w:p>
      <w:pPr>
        <w:jc w:val="center"/>
        <w:rPr>
          <w:rFonts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许昌市工商行政管理局经济检查支队概况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lang w:eastAsia="zh-CN"/>
        </w:rPr>
        <w:t>单位</w:t>
      </w:r>
      <w:r>
        <w:rPr>
          <w:rFonts w:hint="eastAsia" w:ascii="宋体" w:hAnsi="宋体" w:cs="宋体"/>
          <w:sz w:val="32"/>
          <w:szCs w:val="32"/>
        </w:rPr>
        <w:t>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w:t>
      </w:r>
      <w:r>
        <w:rPr>
          <w:rFonts w:hint="eastAsia" w:ascii="黑体" w:hAnsi="黑体" w:eastAsia="黑体" w:cs="黑体"/>
          <w:sz w:val="32"/>
          <w:szCs w:val="32"/>
          <w:lang w:eastAsia="zh-CN"/>
        </w:rPr>
        <w:t>单位</w:t>
      </w:r>
      <w:r>
        <w:rPr>
          <w:rFonts w:hint="eastAsia" w:ascii="黑体" w:hAnsi="黑体" w:eastAsia="黑体" w:cs="黑体"/>
          <w:sz w:val="32"/>
          <w:szCs w:val="32"/>
        </w:rPr>
        <w:t>决算表</w:t>
      </w:r>
    </w:p>
    <w:p>
      <w:pPr>
        <w:ind w:firstLine="640" w:firstLineChars="200"/>
        <w:jc w:val="left"/>
        <w:rPr>
          <w:rFonts w:hint="eastAsia" w:ascii="宋体" w:hAnsi="宋体" w:cs="黑体"/>
          <w:sz w:val="32"/>
          <w:szCs w:val="32"/>
        </w:rPr>
      </w:pPr>
      <w:r>
        <w:rPr>
          <w:rFonts w:hint="eastAsia" w:ascii="宋体" w:hAnsi="宋体" w:cs="黑体"/>
          <w:sz w:val="32"/>
          <w:szCs w:val="32"/>
        </w:rPr>
        <w:t>一、收入支出决算总表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二、收入决算表</w:t>
      </w:r>
    </w:p>
    <w:p>
      <w:pPr>
        <w:ind w:firstLine="640" w:firstLineChars="200"/>
        <w:jc w:val="left"/>
        <w:rPr>
          <w:rFonts w:hint="eastAsia"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hint="eastAsia"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hint="eastAsia" w:ascii="宋体" w:hAnsi="宋体" w:cs="黑体"/>
          <w:sz w:val="32"/>
          <w:szCs w:val="32"/>
        </w:rPr>
      </w:pPr>
      <w:r>
        <w:rPr>
          <w:rFonts w:hint="eastAsia" w:ascii="宋体" w:hAnsi="宋体" w:cs="黑体"/>
          <w:sz w:val="32"/>
          <w:szCs w:val="32"/>
        </w:rPr>
        <w:t>八、政府性基金预算财政拨款收入支出决算表</w:t>
      </w:r>
    </w:p>
    <w:p>
      <w:pPr>
        <w:jc w:val="left"/>
        <w:rPr>
          <w:rFonts w:hint="eastAsia"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hint="eastAsia" w:ascii="黑体" w:hAnsi="黑体" w:eastAsia="黑体" w:cs="黑体"/>
          <w:sz w:val="32"/>
          <w:szCs w:val="32"/>
          <w:lang w:eastAsia="zh-CN"/>
        </w:rPr>
        <w:t>单位</w:t>
      </w:r>
      <w:r>
        <w:rPr>
          <w:rFonts w:hint="eastAsia" w:ascii="黑体" w:hAnsi="黑体" w:eastAsia="黑体" w:cs="黑体"/>
          <w:sz w:val="32"/>
          <w:szCs w:val="32"/>
        </w:rPr>
        <w:t>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二、收入决算情况说明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三、支出决算情况说明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hint="eastAsia" w:ascii="宋体" w:hAnsi="宋体" w:cs="宋体"/>
          <w:sz w:val="32"/>
          <w:szCs w:val="32"/>
        </w:rPr>
      </w:pPr>
      <w:r>
        <w:rPr>
          <w:rFonts w:hint="eastAsia" w:ascii="宋体" w:hAnsi="宋体" w:cs="宋体"/>
          <w:sz w:val="32"/>
          <w:szCs w:val="32"/>
        </w:rPr>
        <w:t>十二、预算绩效情况说明</w:t>
      </w:r>
    </w:p>
    <w:p>
      <w:pPr>
        <w:jc w:val="left"/>
        <w:rPr>
          <w:rFonts w:hint="eastAsia"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both"/>
        <w:outlineLvl w:val="0"/>
        <w:rPr>
          <w:rFonts w:hint="eastAsia" w:ascii="黑体" w:hAnsi="黑体" w:eastAsia="黑体" w:cs="黑体"/>
          <w:sz w:val="48"/>
          <w:szCs w:val="48"/>
        </w:rPr>
      </w:pPr>
    </w:p>
    <w:p>
      <w:pPr>
        <w:widowControl/>
        <w:numPr>
          <w:ilvl w:val="0"/>
          <w:numId w:val="2"/>
        </w:numPr>
        <w:jc w:val="center"/>
        <w:outlineLvl w:val="0"/>
        <w:rPr>
          <w:rFonts w:hint="eastAsia" w:ascii="黑体" w:hAnsi="黑体" w:eastAsia="黑体" w:cs="黑体"/>
          <w:sz w:val="48"/>
          <w:szCs w:val="48"/>
        </w:rPr>
      </w:pPr>
      <w:r>
        <w:rPr>
          <w:rFonts w:hint="eastAsia" w:ascii="黑体" w:hAnsi="黑体" w:eastAsia="黑体" w:cs="黑体"/>
          <w:sz w:val="48"/>
          <w:szCs w:val="48"/>
        </w:rPr>
        <w:t xml:space="preserve"> 许昌市工商行政管理局</w:t>
      </w:r>
    </w:p>
    <w:p>
      <w:pPr>
        <w:widowControl/>
        <w:numPr>
          <w:ilvl w:val="0"/>
          <w:numId w:val="0"/>
        </w:numPr>
        <w:ind w:firstLine="3360" w:firstLineChars="700"/>
        <w:jc w:val="both"/>
        <w:outlineLvl w:val="0"/>
        <w:rPr>
          <w:rFonts w:hint="eastAsia" w:ascii="黑体" w:hAnsi="宋体" w:eastAsia="黑体" w:cs="宋体"/>
          <w:kern w:val="0"/>
          <w:sz w:val="28"/>
          <w:szCs w:val="28"/>
        </w:rPr>
      </w:pPr>
      <w:r>
        <w:rPr>
          <w:rFonts w:hint="eastAsia" w:ascii="黑体" w:hAnsi="黑体" w:eastAsia="黑体" w:cs="黑体"/>
          <w:sz w:val="48"/>
          <w:szCs w:val="48"/>
        </w:rPr>
        <w:t>经济检查支队概况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eastAsia="zh-CN"/>
        </w:rPr>
        <w:t>单位</w:t>
      </w:r>
      <w:r>
        <w:rPr>
          <w:rFonts w:hint="eastAsia" w:ascii="黑体" w:hAnsi="黑体" w:eastAsia="黑体" w:cs="黑体"/>
          <w:bCs/>
          <w:sz w:val="32"/>
          <w:szCs w:val="32"/>
        </w:rPr>
        <w:t>职责</w:t>
      </w:r>
    </w:p>
    <w:p>
      <w:pPr>
        <w:spacing w:line="590" w:lineRule="exact"/>
        <w:ind w:firstLine="640" w:firstLineChars="200"/>
        <w:rPr>
          <w:rFonts w:hint="eastAsia" w:ascii="仿宋_GB2312" w:hAnsi="宋体" w:eastAsia="仿宋_GB2312" w:cs="宋体"/>
          <w:kern w:val="0"/>
          <w:sz w:val="32"/>
          <w:szCs w:val="32"/>
        </w:rPr>
      </w:pPr>
      <w:r>
        <w:rPr>
          <w:rFonts w:hint="eastAsia" w:ascii="仿宋_GB2312" w:eastAsia="仿宋_GB2312"/>
          <w:color w:val="000000"/>
          <w:sz w:val="32"/>
          <w:szCs w:val="32"/>
          <w:shd w:val="clear" w:color="auto" w:fill="FFFFFF"/>
        </w:rPr>
        <w:t>规范行政执法行为，依法查处管辖范围内的重大经济违法案件,会同市局相关科室协调办理跨区域案件;承办市政府、河南省市场监督管理局交办的案件。</w:t>
      </w: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二、机构设置</w:t>
      </w:r>
    </w:p>
    <w:p>
      <w:pPr>
        <w:widowControl/>
        <w:spacing w:line="59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许昌市工商行政管理局经济检查支队内设机构4个，包括：办公室、案件审理科和2个经济检查队。</w:t>
      </w:r>
    </w:p>
    <w:p>
      <w:pPr>
        <w:widowControl/>
        <w:spacing w:line="59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从决算单位构成看，许昌市工商行政管理局经济检查支队</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决算包括：本级决算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widowControl/>
        <w:spacing w:line="59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 xml:space="preserve"> 年度</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决算编制范围的单位共1个，具体是：</w:t>
      </w:r>
    </w:p>
    <w:p>
      <w:pPr>
        <w:widowControl/>
        <w:spacing w:line="590" w:lineRule="exact"/>
        <w:ind w:firstLine="640" w:firstLineChars="200"/>
        <w:jc w:val="left"/>
        <w:rPr>
          <w:rFonts w:hint="eastAsia" w:ascii="黑体" w:hAnsi="宋体" w:eastAsia="黑体" w:cs="宋体"/>
          <w:kern w:val="0"/>
          <w:sz w:val="28"/>
          <w:szCs w:val="28"/>
        </w:rPr>
      </w:pPr>
      <w:r>
        <w:rPr>
          <w:rFonts w:hint="eastAsia" w:ascii="仿宋_GB2312" w:hAnsi="仿宋_GB2312" w:eastAsia="仿宋_GB2312" w:cs="仿宋_GB2312"/>
          <w:kern w:val="0"/>
          <w:sz w:val="32"/>
          <w:szCs w:val="32"/>
        </w:rPr>
        <w:t>1. 许昌市工商行政管理局经济检查支队</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第二部分  2021年度</w:t>
      </w:r>
      <w:r>
        <w:rPr>
          <w:rFonts w:hint="eastAsia" w:ascii="黑体" w:hAnsi="黑体" w:eastAsia="黑体" w:cs="黑体"/>
          <w:sz w:val="48"/>
          <w:szCs w:val="48"/>
          <w:lang w:eastAsia="zh-CN"/>
        </w:rPr>
        <w:t>单位</w:t>
      </w:r>
      <w:r>
        <w:rPr>
          <w:rFonts w:hint="eastAsia" w:ascii="黑体" w:hAnsi="黑体" w:eastAsia="黑体" w:cs="黑体"/>
          <w:sz w:val="48"/>
          <w:szCs w:val="48"/>
        </w:rPr>
        <w:t>决算表</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5"/>
        <w:tblW w:w="12221" w:type="dxa"/>
        <w:tblInd w:w="392" w:type="dxa"/>
        <w:tblLayout w:type="autofit"/>
        <w:tblCellMar>
          <w:top w:w="0" w:type="dxa"/>
          <w:left w:w="108" w:type="dxa"/>
          <w:bottom w:w="0" w:type="dxa"/>
          <w:right w:w="108" w:type="dxa"/>
        </w:tblCellMar>
      </w:tblPr>
      <w:tblGrid>
        <w:gridCol w:w="4370"/>
        <w:gridCol w:w="618"/>
        <w:gridCol w:w="908"/>
        <w:gridCol w:w="4380"/>
        <w:gridCol w:w="213"/>
        <w:gridCol w:w="709"/>
        <w:gridCol w:w="1023"/>
      </w:tblGrid>
      <w:tr>
        <w:tblPrEx>
          <w:tblCellMar>
            <w:top w:w="0" w:type="dxa"/>
            <w:left w:w="108" w:type="dxa"/>
            <w:bottom w:w="0" w:type="dxa"/>
            <w:right w:w="108" w:type="dxa"/>
          </w:tblCellMar>
        </w:tblPrEx>
        <w:trPr>
          <w:trHeight w:val="390" w:hRule="atLeast"/>
        </w:trPr>
        <w:tc>
          <w:tcPr>
            <w:tcW w:w="12221" w:type="dxa"/>
            <w:gridSpan w:val="7"/>
            <w:tcBorders>
              <w:top w:val="nil"/>
              <w:left w:val="nil"/>
              <w:bottom w:val="nil"/>
              <w:right w:val="nil"/>
            </w:tcBorders>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收入支出决算总表</w:t>
            </w:r>
          </w:p>
        </w:tc>
      </w:tr>
      <w:tr>
        <w:tblPrEx>
          <w:tblCellMar>
            <w:top w:w="0" w:type="dxa"/>
            <w:left w:w="108" w:type="dxa"/>
            <w:bottom w:w="0" w:type="dxa"/>
            <w:right w:w="108" w:type="dxa"/>
          </w:tblCellMar>
        </w:tblPrEx>
        <w:trPr>
          <w:trHeight w:val="255" w:hRule="atLeast"/>
        </w:trPr>
        <w:tc>
          <w:tcPr>
            <w:tcW w:w="437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618"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908"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438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945" w:type="dxa"/>
            <w:gridSpan w:val="3"/>
            <w:tcBorders>
              <w:top w:val="nil"/>
              <w:left w:val="nil"/>
              <w:bottom w:val="nil"/>
              <w:right w:val="nil"/>
            </w:tcBorders>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公开01表</w:t>
            </w:r>
          </w:p>
        </w:tc>
      </w:tr>
      <w:tr>
        <w:tblPrEx>
          <w:tblCellMar>
            <w:top w:w="0" w:type="dxa"/>
            <w:left w:w="108" w:type="dxa"/>
            <w:bottom w:w="0" w:type="dxa"/>
            <w:right w:w="108" w:type="dxa"/>
          </w:tblCellMar>
        </w:tblPrEx>
        <w:trPr>
          <w:trHeight w:val="255" w:hRule="atLeast"/>
        </w:trPr>
        <w:tc>
          <w:tcPr>
            <w:tcW w:w="5896" w:type="dxa"/>
            <w:gridSpan w:val="3"/>
            <w:tcBorders>
              <w:top w:val="nil"/>
              <w:left w:val="nil"/>
              <w:bottom w:val="single" w:color="000000" w:sz="4" w:space="0"/>
              <w:right w:val="nil"/>
            </w:tcBorders>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单位</w:t>
            </w:r>
            <w:r>
              <w:rPr>
                <w:rFonts w:hint="eastAsia" w:ascii="宋体" w:hAnsi="宋体" w:cs="Arial"/>
                <w:color w:val="000000"/>
                <w:kern w:val="0"/>
                <w:sz w:val="18"/>
                <w:szCs w:val="18"/>
              </w:rPr>
              <w:t>：许昌市工商行政管理局经济检查支队</w:t>
            </w:r>
          </w:p>
        </w:tc>
        <w:tc>
          <w:tcPr>
            <w:tcW w:w="438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945" w:type="dxa"/>
            <w:gridSpan w:val="3"/>
            <w:tcBorders>
              <w:top w:val="nil"/>
              <w:left w:val="nil"/>
              <w:bottom w:val="single" w:color="000000" w:sz="4" w:space="0"/>
              <w:right w:val="nil"/>
            </w:tcBorders>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5896"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收入</w:t>
            </w:r>
          </w:p>
        </w:tc>
        <w:tc>
          <w:tcPr>
            <w:tcW w:w="6325" w:type="dxa"/>
            <w:gridSpan w:val="4"/>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支出</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9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c>
          <w:tcPr>
            <w:tcW w:w="4593"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023"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90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4593"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023"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一、一般公共预算财政拨款收入</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479.44</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一、一般公共服务支出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32</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428.42</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二、政府性基金预算财政拨款收入</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二、外交支出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33</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三、国有资本经营预算财政拨款收入</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三、国防支出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34</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四、上级补助收入</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四、公共安全支出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35</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五、事业收入</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五、教育支出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36</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六、经营收入</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六、科学技术支出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37</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七、附属单位上缴收入</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七、文化旅游体育与传媒支出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38</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八、其他收入</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八、社会保障和就业支出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39</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71.69</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九、卫生健康支出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40</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23.82</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十、节能环保支出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41</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十一、城乡社区支出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42</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十二、农林水支出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43</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13</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十三、交通运输支出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44</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14</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十四、资源勘探工业信息等支出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45</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15</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十五、商业服务业等支出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46</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16</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十六、金融支出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47</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17</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十七、援助其他地区支出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48</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18</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十八、自然资源海洋气象等支出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49</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19</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十九、住房保障支出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50</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20</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二十、粮油物资储备支出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51</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21</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二十一、国有资本经营预算支出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52</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22</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二十二、灾害防治及应急管理支出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53</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23</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二十三、其他支出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54</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　</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24</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二十四、债务还本支出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55</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25</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二十五、债务付息支出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56</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26</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二十六、抗疫特别国债安排的支出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57</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本年收入合计</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27</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479.44</w:t>
            </w:r>
          </w:p>
        </w:tc>
        <w:tc>
          <w:tcPr>
            <w:tcW w:w="4593"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本年支出合计</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58</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523.92</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使用非财政拨款结余</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28</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结余分配</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59</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年初结转和结余</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29</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79.51</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年末结转和结余</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60</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35.03</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30</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61</w:t>
            </w:r>
          </w:p>
        </w:tc>
        <w:tc>
          <w:tcPr>
            <w:tcW w:w="1023"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618" w:type="dxa"/>
            <w:tcBorders>
              <w:top w:val="nil"/>
              <w:left w:val="nil"/>
              <w:bottom w:val="single" w:color="000000" w:sz="8"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31</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558.96</w:t>
            </w:r>
          </w:p>
        </w:tc>
        <w:tc>
          <w:tcPr>
            <w:tcW w:w="4593"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62</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558.96</w:t>
            </w:r>
          </w:p>
        </w:tc>
      </w:tr>
      <w:tr>
        <w:tblPrEx>
          <w:tblCellMar>
            <w:top w:w="0" w:type="dxa"/>
            <w:left w:w="108" w:type="dxa"/>
            <w:bottom w:w="0" w:type="dxa"/>
            <w:right w:w="108" w:type="dxa"/>
          </w:tblCellMar>
        </w:tblPrEx>
        <w:trPr>
          <w:trHeight w:val="308" w:hRule="atLeast"/>
        </w:trPr>
        <w:tc>
          <w:tcPr>
            <w:tcW w:w="12221" w:type="dxa"/>
            <w:gridSpan w:val="7"/>
            <w:tcBorders>
              <w:top w:val="nil"/>
              <w:left w:val="nil"/>
              <w:bottom w:val="nil"/>
              <w:right w:val="nil"/>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tbl>
      <w:tblPr>
        <w:tblStyle w:val="5"/>
        <w:tblW w:w="14190" w:type="dxa"/>
        <w:tblInd w:w="93" w:type="dxa"/>
        <w:tblLayout w:type="autofit"/>
        <w:tblCellMar>
          <w:top w:w="0" w:type="dxa"/>
          <w:left w:w="108" w:type="dxa"/>
          <w:bottom w:w="0" w:type="dxa"/>
          <w:right w:w="108" w:type="dxa"/>
        </w:tblCellMar>
      </w:tblPr>
      <w:tblGrid>
        <w:gridCol w:w="401"/>
        <w:gridCol w:w="89"/>
        <w:gridCol w:w="224"/>
        <w:gridCol w:w="164"/>
        <w:gridCol w:w="108"/>
        <w:gridCol w:w="186"/>
        <w:gridCol w:w="3991"/>
        <w:gridCol w:w="955"/>
        <w:gridCol w:w="604"/>
        <w:gridCol w:w="904"/>
        <w:gridCol w:w="655"/>
        <w:gridCol w:w="826"/>
        <w:gridCol w:w="733"/>
        <w:gridCol w:w="583"/>
        <w:gridCol w:w="693"/>
        <w:gridCol w:w="484"/>
        <w:gridCol w:w="650"/>
        <w:gridCol w:w="405"/>
        <w:gridCol w:w="587"/>
        <w:gridCol w:w="577"/>
        <w:gridCol w:w="557"/>
      </w:tblGrid>
      <w:tr>
        <w:tblPrEx>
          <w:tblCellMar>
            <w:top w:w="0" w:type="dxa"/>
            <w:left w:w="108" w:type="dxa"/>
            <w:bottom w:w="0" w:type="dxa"/>
            <w:right w:w="108" w:type="dxa"/>
          </w:tblCellMar>
        </w:tblPrEx>
        <w:trPr>
          <w:trHeight w:val="390" w:hRule="atLeast"/>
        </w:trPr>
        <w:tc>
          <w:tcPr>
            <w:tcW w:w="14190" w:type="dxa"/>
            <w:gridSpan w:val="21"/>
            <w:tcBorders>
              <w:top w:val="nil"/>
              <w:left w:val="nil"/>
              <w:bottom w:val="nil"/>
              <w:right w:val="nil"/>
            </w:tcBorders>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收入决算表</w:t>
            </w:r>
          </w:p>
        </w:tc>
      </w:tr>
      <w:tr>
        <w:tblPrEx>
          <w:tblCellMar>
            <w:top w:w="0" w:type="dxa"/>
            <w:left w:w="108" w:type="dxa"/>
            <w:bottom w:w="0" w:type="dxa"/>
            <w:right w:w="108" w:type="dxa"/>
          </w:tblCellMar>
        </w:tblPrEx>
        <w:trPr>
          <w:trHeight w:val="255" w:hRule="atLeast"/>
        </w:trPr>
        <w:tc>
          <w:tcPr>
            <w:tcW w:w="401" w:type="dxa"/>
            <w:gridSpan w:val="2"/>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313" w:type="dxa"/>
            <w:gridSpan w:val="2"/>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272" w:type="dxa"/>
            <w:gridSpan w:val="2"/>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3991"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559" w:type="dxa"/>
            <w:gridSpan w:val="2"/>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559" w:type="dxa"/>
            <w:gridSpan w:val="2"/>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559" w:type="dxa"/>
            <w:gridSpan w:val="2"/>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276" w:type="dxa"/>
            <w:gridSpan w:val="2"/>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134" w:type="dxa"/>
            <w:gridSpan w:val="2"/>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2126" w:type="dxa"/>
            <w:gridSpan w:val="4"/>
            <w:tcBorders>
              <w:top w:val="nil"/>
              <w:left w:val="nil"/>
              <w:bottom w:val="nil"/>
              <w:right w:val="nil"/>
            </w:tcBorders>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公开02表</w:t>
            </w:r>
          </w:p>
        </w:tc>
      </w:tr>
      <w:tr>
        <w:tblPrEx>
          <w:tblCellMar>
            <w:top w:w="0" w:type="dxa"/>
            <w:left w:w="108" w:type="dxa"/>
            <w:bottom w:w="0" w:type="dxa"/>
            <w:right w:w="108" w:type="dxa"/>
          </w:tblCellMar>
        </w:tblPrEx>
        <w:trPr>
          <w:trHeight w:val="255" w:hRule="atLeast"/>
        </w:trPr>
        <w:tc>
          <w:tcPr>
            <w:tcW w:w="4977" w:type="dxa"/>
            <w:gridSpan w:val="7"/>
            <w:tcBorders>
              <w:top w:val="nil"/>
              <w:left w:val="nil"/>
              <w:bottom w:val="nil"/>
              <w:right w:val="nil"/>
            </w:tcBorders>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单位</w:t>
            </w:r>
            <w:r>
              <w:rPr>
                <w:rFonts w:hint="eastAsia" w:ascii="宋体" w:hAnsi="宋体" w:cs="Arial"/>
                <w:color w:val="000000"/>
                <w:kern w:val="0"/>
                <w:sz w:val="18"/>
                <w:szCs w:val="18"/>
              </w:rPr>
              <w:t>：许昌市工商行政管理局经济检查支队</w:t>
            </w:r>
          </w:p>
        </w:tc>
        <w:tc>
          <w:tcPr>
            <w:tcW w:w="1559" w:type="dxa"/>
            <w:gridSpan w:val="2"/>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559" w:type="dxa"/>
            <w:gridSpan w:val="2"/>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559" w:type="dxa"/>
            <w:gridSpan w:val="2"/>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276" w:type="dxa"/>
            <w:gridSpan w:val="2"/>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134" w:type="dxa"/>
            <w:gridSpan w:val="2"/>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2126" w:type="dxa"/>
            <w:gridSpan w:val="4"/>
            <w:tcBorders>
              <w:top w:val="nil"/>
              <w:left w:val="nil"/>
              <w:bottom w:val="single" w:color="000000" w:sz="4" w:space="0"/>
              <w:right w:val="nil"/>
            </w:tcBorders>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4977" w:type="dxa"/>
            <w:gridSpan w:val="7"/>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559" w:type="dxa"/>
            <w:gridSpan w:val="2"/>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本年收入合计</w:t>
            </w:r>
          </w:p>
        </w:tc>
        <w:tc>
          <w:tcPr>
            <w:tcW w:w="1559" w:type="dxa"/>
            <w:gridSpan w:val="2"/>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财政拨款收入</w:t>
            </w:r>
          </w:p>
        </w:tc>
        <w:tc>
          <w:tcPr>
            <w:tcW w:w="1559" w:type="dxa"/>
            <w:gridSpan w:val="2"/>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上级补助收入</w:t>
            </w:r>
          </w:p>
        </w:tc>
        <w:tc>
          <w:tcPr>
            <w:tcW w:w="1276" w:type="dxa"/>
            <w:gridSpan w:val="2"/>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事业收入</w:t>
            </w:r>
          </w:p>
        </w:tc>
        <w:tc>
          <w:tcPr>
            <w:tcW w:w="1134" w:type="dxa"/>
            <w:gridSpan w:val="2"/>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经营收入</w:t>
            </w:r>
          </w:p>
        </w:tc>
        <w:tc>
          <w:tcPr>
            <w:tcW w:w="992"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附属单位上缴收入</w:t>
            </w:r>
          </w:p>
        </w:tc>
        <w:tc>
          <w:tcPr>
            <w:tcW w:w="1134"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其他收入</w:t>
            </w:r>
          </w:p>
        </w:tc>
      </w:tr>
      <w:tr>
        <w:tblPrEx>
          <w:tblCellMar>
            <w:top w:w="0" w:type="dxa"/>
            <w:left w:w="108" w:type="dxa"/>
            <w:bottom w:w="0" w:type="dxa"/>
            <w:right w:w="108" w:type="dxa"/>
          </w:tblCellMar>
        </w:tblPrEx>
        <w:trPr>
          <w:trHeight w:val="312" w:hRule="atLeast"/>
        </w:trPr>
        <w:tc>
          <w:tcPr>
            <w:tcW w:w="986" w:type="dxa"/>
            <w:gridSpan w:val="6"/>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3991" w:type="dxa"/>
            <w:vMerge w:val="restar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559"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559"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559"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276"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34"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92"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34"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986" w:type="dxa"/>
            <w:gridSpan w:val="6"/>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99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559"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559"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559"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276"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34"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92"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34"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986" w:type="dxa"/>
            <w:gridSpan w:val="6"/>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99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559"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559"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559"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276"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34"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92"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34"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4977" w:type="dxa"/>
            <w:gridSpan w:val="7"/>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55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55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55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276"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134"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134"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r>
      <w:tr>
        <w:tblPrEx>
          <w:tblCellMar>
            <w:top w:w="0" w:type="dxa"/>
            <w:left w:w="108" w:type="dxa"/>
            <w:bottom w:w="0" w:type="dxa"/>
            <w:right w:w="108" w:type="dxa"/>
          </w:tblCellMar>
        </w:tblPrEx>
        <w:trPr>
          <w:trHeight w:val="308" w:hRule="atLeast"/>
        </w:trPr>
        <w:tc>
          <w:tcPr>
            <w:tcW w:w="4977" w:type="dxa"/>
            <w:gridSpan w:val="7"/>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b w:val="0"/>
                <w:bCs w:val="0"/>
                <w:color w:val="000000"/>
                <w:kern w:val="0"/>
                <w:sz w:val="22"/>
              </w:rPr>
            </w:pPr>
            <w:r>
              <w:rPr>
                <w:rFonts w:hint="eastAsia" w:ascii="宋体" w:hAnsi="宋体" w:cs="Arial"/>
                <w:b w:val="0"/>
                <w:bCs w:val="0"/>
                <w:color w:val="000000"/>
                <w:kern w:val="0"/>
                <w:sz w:val="22"/>
              </w:rPr>
              <w:t>479.44</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b w:val="0"/>
                <w:bCs w:val="0"/>
                <w:color w:val="000000"/>
                <w:kern w:val="0"/>
                <w:sz w:val="22"/>
              </w:rPr>
            </w:pPr>
            <w:r>
              <w:rPr>
                <w:rFonts w:hint="eastAsia" w:ascii="宋体" w:hAnsi="宋体" w:cs="Arial"/>
                <w:b w:val="0"/>
                <w:bCs w:val="0"/>
                <w:color w:val="000000"/>
                <w:kern w:val="0"/>
                <w:sz w:val="22"/>
              </w:rPr>
              <w:t>479.44</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27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6"/>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3991"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390.67</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390.67</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6"/>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3991"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群众团体事务</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2.10</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2.10</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6"/>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3991"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工会事务</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2.10</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2.10</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6"/>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20138</w:t>
            </w:r>
          </w:p>
        </w:tc>
        <w:tc>
          <w:tcPr>
            <w:tcW w:w="3991"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市场监督管理事务</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388.57</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388.57</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6"/>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2013801</w:t>
            </w:r>
          </w:p>
        </w:tc>
        <w:tc>
          <w:tcPr>
            <w:tcW w:w="3991"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行政运行</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382.04</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382.04</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6"/>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2013899</w:t>
            </w:r>
          </w:p>
        </w:tc>
        <w:tc>
          <w:tcPr>
            <w:tcW w:w="3991"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其他市场监督管理事务</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6.52</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6.52</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6"/>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3991"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65.87</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65.87</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6"/>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3991"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65.87</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65.87</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6"/>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2080501</w:t>
            </w:r>
          </w:p>
        </w:tc>
        <w:tc>
          <w:tcPr>
            <w:tcW w:w="3991"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行政单位离退休</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42.78</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42.78</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6"/>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3991"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23.09</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23.09</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6"/>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3991"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22.90</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22.90</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6"/>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3991"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22.90</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22.90</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6"/>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2101101</w:t>
            </w:r>
          </w:p>
        </w:tc>
        <w:tc>
          <w:tcPr>
            <w:tcW w:w="3991"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行政单位医疗</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11.73</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11.73</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6" w:type="dxa"/>
            <w:gridSpan w:val="6"/>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2101103</w:t>
            </w:r>
          </w:p>
        </w:tc>
        <w:tc>
          <w:tcPr>
            <w:tcW w:w="3991"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公务员医疗补助</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11.17</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11.17</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7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4190" w:type="dxa"/>
            <w:gridSpan w:val="21"/>
            <w:tcBorders>
              <w:top w:val="nil"/>
              <w:left w:val="nil"/>
              <w:bottom w:val="nil"/>
              <w:right w:val="nil"/>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本年度取得的各项收入情况。本表金额转换为万元时，因四舍五入可能存在尾差。</w:t>
            </w:r>
          </w:p>
        </w:tc>
      </w:tr>
      <w:tr>
        <w:tblPrEx>
          <w:tblCellMar>
            <w:top w:w="0" w:type="dxa"/>
            <w:left w:w="108" w:type="dxa"/>
            <w:bottom w:w="0" w:type="dxa"/>
            <w:right w:w="108" w:type="dxa"/>
          </w:tblCellMar>
        </w:tblPrEx>
        <w:trPr>
          <w:trHeight w:val="308" w:hRule="atLeast"/>
        </w:trPr>
        <w:tc>
          <w:tcPr>
            <w:tcW w:w="14190" w:type="dxa"/>
            <w:gridSpan w:val="21"/>
            <w:tcBorders>
              <w:top w:val="nil"/>
              <w:left w:val="nil"/>
              <w:bottom w:val="nil"/>
              <w:right w:val="nil"/>
            </w:tcBorders>
            <w:noWrap/>
            <w:vAlign w:val="center"/>
          </w:tcPr>
          <w:p>
            <w:pPr>
              <w:widowControl/>
              <w:jc w:val="center"/>
              <w:rPr>
                <w:rFonts w:hint="eastAsia" w:ascii="宋体" w:hAnsi="宋体" w:cs="Arial"/>
                <w:color w:val="000000"/>
                <w:kern w:val="0"/>
                <w:sz w:val="30"/>
                <w:szCs w:val="30"/>
              </w:rPr>
            </w:pPr>
          </w:p>
          <w:p>
            <w:pPr>
              <w:widowControl/>
              <w:jc w:val="center"/>
              <w:rPr>
                <w:rFonts w:hint="eastAsia" w:ascii="宋体" w:hAnsi="宋体" w:cs="Arial"/>
                <w:color w:val="000000"/>
                <w:kern w:val="0"/>
                <w:sz w:val="30"/>
                <w:szCs w:val="30"/>
              </w:rPr>
            </w:pPr>
          </w:p>
          <w:p>
            <w:pPr>
              <w:widowControl/>
              <w:jc w:val="center"/>
              <w:rPr>
                <w:rFonts w:hint="eastAsia" w:ascii="宋体" w:hAnsi="宋体" w:cs="Arial"/>
                <w:color w:val="000000"/>
                <w:kern w:val="0"/>
                <w:sz w:val="30"/>
                <w:szCs w:val="30"/>
              </w:rPr>
            </w:pPr>
          </w:p>
          <w:p>
            <w:pPr>
              <w:widowControl/>
              <w:jc w:val="center"/>
              <w:rPr>
                <w:rFonts w:ascii="宋体" w:hAnsi="宋体" w:cs="Arial"/>
                <w:color w:val="000000"/>
                <w:kern w:val="0"/>
                <w:sz w:val="30"/>
                <w:szCs w:val="30"/>
              </w:rPr>
            </w:pPr>
            <w:r>
              <w:rPr>
                <w:rFonts w:hint="eastAsia" w:ascii="宋体" w:hAnsi="宋体" w:cs="Arial"/>
                <w:color w:val="000000"/>
                <w:kern w:val="0"/>
                <w:sz w:val="30"/>
                <w:szCs w:val="30"/>
              </w:rPr>
              <w:t>支出决算表</w:t>
            </w:r>
          </w:p>
        </w:tc>
      </w:tr>
      <w:tr>
        <w:tblPrEx>
          <w:tblCellMar>
            <w:top w:w="0" w:type="dxa"/>
            <w:left w:w="108" w:type="dxa"/>
            <w:bottom w:w="0" w:type="dxa"/>
            <w:right w:w="108" w:type="dxa"/>
          </w:tblCellMar>
        </w:tblPrEx>
        <w:trPr>
          <w:gridAfter w:val="1"/>
          <w:wAfter w:w="557" w:type="dxa"/>
          <w:trHeight w:val="255" w:hRule="atLeast"/>
        </w:trPr>
        <w:tc>
          <w:tcPr>
            <w:tcW w:w="328"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256" w:type="dxa"/>
            <w:gridSpan w:val="2"/>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216" w:type="dxa"/>
            <w:gridSpan w:val="2"/>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5132" w:type="dxa"/>
            <w:gridSpan w:val="3"/>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508" w:type="dxa"/>
            <w:gridSpan w:val="2"/>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481" w:type="dxa"/>
            <w:gridSpan w:val="2"/>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316" w:type="dxa"/>
            <w:gridSpan w:val="2"/>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177" w:type="dxa"/>
            <w:gridSpan w:val="2"/>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2219" w:type="dxa"/>
            <w:gridSpan w:val="4"/>
            <w:tcBorders>
              <w:top w:val="nil"/>
              <w:left w:val="nil"/>
              <w:bottom w:val="nil"/>
              <w:right w:val="nil"/>
            </w:tcBorders>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公开03表</w:t>
            </w:r>
          </w:p>
        </w:tc>
      </w:tr>
      <w:tr>
        <w:tblPrEx>
          <w:tblCellMar>
            <w:top w:w="0" w:type="dxa"/>
            <w:left w:w="108" w:type="dxa"/>
            <w:bottom w:w="0" w:type="dxa"/>
            <w:right w:w="108" w:type="dxa"/>
          </w:tblCellMar>
        </w:tblPrEx>
        <w:trPr>
          <w:gridAfter w:val="1"/>
          <w:wAfter w:w="557" w:type="dxa"/>
          <w:trHeight w:val="255" w:hRule="atLeast"/>
        </w:trPr>
        <w:tc>
          <w:tcPr>
            <w:tcW w:w="5932" w:type="dxa"/>
            <w:gridSpan w:val="8"/>
            <w:tcBorders>
              <w:top w:val="nil"/>
              <w:left w:val="nil"/>
              <w:bottom w:val="nil"/>
              <w:right w:val="nil"/>
            </w:tcBorders>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单位</w:t>
            </w:r>
            <w:r>
              <w:rPr>
                <w:rFonts w:hint="eastAsia" w:ascii="宋体" w:hAnsi="宋体" w:cs="Arial"/>
                <w:color w:val="000000"/>
                <w:kern w:val="0"/>
                <w:sz w:val="18"/>
                <w:szCs w:val="18"/>
              </w:rPr>
              <w:t>：许昌市工商行政管理局经济检查支队</w:t>
            </w:r>
          </w:p>
        </w:tc>
        <w:tc>
          <w:tcPr>
            <w:tcW w:w="1508" w:type="dxa"/>
            <w:gridSpan w:val="2"/>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481" w:type="dxa"/>
            <w:gridSpan w:val="2"/>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316" w:type="dxa"/>
            <w:gridSpan w:val="2"/>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177" w:type="dxa"/>
            <w:gridSpan w:val="2"/>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2219" w:type="dxa"/>
            <w:gridSpan w:val="4"/>
            <w:tcBorders>
              <w:top w:val="nil"/>
              <w:left w:val="nil"/>
              <w:bottom w:val="single" w:color="000000" w:sz="4" w:space="0"/>
              <w:right w:val="nil"/>
            </w:tcBorders>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gridAfter w:val="1"/>
          <w:wAfter w:w="557" w:type="dxa"/>
          <w:trHeight w:val="308" w:hRule="atLeast"/>
        </w:trPr>
        <w:tc>
          <w:tcPr>
            <w:tcW w:w="5932" w:type="dxa"/>
            <w:gridSpan w:val="8"/>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508" w:type="dxa"/>
            <w:gridSpan w:val="2"/>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本年支出合计</w:t>
            </w:r>
          </w:p>
        </w:tc>
        <w:tc>
          <w:tcPr>
            <w:tcW w:w="1481" w:type="dxa"/>
            <w:gridSpan w:val="2"/>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1316" w:type="dxa"/>
            <w:gridSpan w:val="2"/>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1177" w:type="dxa"/>
            <w:gridSpan w:val="2"/>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上缴上级支出</w:t>
            </w:r>
          </w:p>
        </w:tc>
        <w:tc>
          <w:tcPr>
            <w:tcW w:w="1055"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经营支出</w:t>
            </w:r>
          </w:p>
        </w:tc>
        <w:tc>
          <w:tcPr>
            <w:tcW w:w="1164"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对附属单位补助支出</w:t>
            </w:r>
          </w:p>
        </w:tc>
      </w:tr>
      <w:tr>
        <w:tblPrEx>
          <w:tblCellMar>
            <w:top w:w="0" w:type="dxa"/>
            <w:left w:w="108" w:type="dxa"/>
            <w:bottom w:w="0" w:type="dxa"/>
            <w:right w:w="108" w:type="dxa"/>
          </w:tblCellMar>
        </w:tblPrEx>
        <w:trPr>
          <w:gridAfter w:val="1"/>
          <w:wAfter w:w="557" w:type="dxa"/>
          <w:trHeight w:val="312" w:hRule="atLeast"/>
        </w:trPr>
        <w:tc>
          <w:tcPr>
            <w:tcW w:w="800" w:type="dxa"/>
            <w:gridSpan w:val="5"/>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5132" w:type="dxa"/>
            <w:gridSpan w:val="3"/>
            <w:vMerge w:val="restar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508"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481"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316"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77"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055"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64"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gridAfter w:val="1"/>
          <w:wAfter w:w="557" w:type="dxa"/>
          <w:trHeight w:val="312" w:hRule="atLeast"/>
        </w:trPr>
        <w:tc>
          <w:tcPr>
            <w:tcW w:w="800" w:type="dxa"/>
            <w:gridSpan w:val="5"/>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132" w:type="dxa"/>
            <w:gridSpan w:val="3"/>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508"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481"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316"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77"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055"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64"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gridAfter w:val="1"/>
          <w:wAfter w:w="557" w:type="dxa"/>
          <w:trHeight w:val="312" w:hRule="atLeast"/>
        </w:trPr>
        <w:tc>
          <w:tcPr>
            <w:tcW w:w="800" w:type="dxa"/>
            <w:gridSpan w:val="5"/>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132" w:type="dxa"/>
            <w:gridSpan w:val="3"/>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508"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481"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316"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77"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055"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64"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gridAfter w:val="1"/>
          <w:wAfter w:w="557" w:type="dxa"/>
          <w:trHeight w:val="308" w:hRule="atLeast"/>
        </w:trPr>
        <w:tc>
          <w:tcPr>
            <w:tcW w:w="5932" w:type="dxa"/>
            <w:gridSpan w:val="8"/>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508"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48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316"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177"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055"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164"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r>
      <w:tr>
        <w:tblPrEx>
          <w:tblCellMar>
            <w:top w:w="0" w:type="dxa"/>
            <w:left w:w="108" w:type="dxa"/>
            <w:bottom w:w="0" w:type="dxa"/>
            <w:right w:w="108" w:type="dxa"/>
          </w:tblCellMar>
        </w:tblPrEx>
        <w:trPr>
          <w:gridAfter w:val="1"/>
          <w:wAfter w:w="557" w:type="dxa"/>
          <w:trHeight w:val="308" w:hRule="atLeast"/>
        </w:trPr>
        <w:tc>
          <w:tcPr>
            <w:tcW w:w="5932" w:type="dxa"/>
            <w:gridSpan w:val="8"/>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50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b w:val="0"/>
                <w:bCs w:val="0"/>
                <w:color w:val="000000"/>
                <w:kern w:val="0"/>
                <w:sz w:val="22"/>
              </w:rPr>
            </w:pPr>
            <w:r>
              <w:rPr>
                <w:rFonts w:hint="eastAsia" w:ascii="宋体" w:hAnsi="宋体" w:cs="Arial"/>
                <w:b w:val="0"/>
                <w:bCs w:val="0"/>
                <w:color w:val="000000"/>
                <w:kern w:val="0"/>
                <w:sz w:val="22"/>
              </w:rPr>
              <w:t>523.92</w:t>
            </w:r>
          </w:p>
        </w:tc>
        <w:tc>
          <w:tcPr>
            <w:tcW w:w="1481"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b w:val="0"/>
                <w:bCs w:val="0"/>
                <w:color w:val="000000"/>
                <w:kern w:val="0"/>
                <w:sz w:val="22"/>
              </w:rPr>
            </w:pPr>
            <w:r>
              <w:rPr>
                <w:rFonts w:hint="eastAsia" w:ascii="宋体" w:hAnsi="宋体" w:cs="Arial"/>
                <w:b w:val="0"/>
                <w:bCs w:val="0"/>
                <w:color w:val="000000"/>
                <w:kern w:val="0"/>
                <w:sz w:val="22"/>
              </w:rPr>
              <w:t>514.90</w:t>
            </w:r>
          </w:p>
        </w:tc>
        <w:tc>
          <w:tcPr>
            <w:tcW w:w="131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b w:val="0"/>
                <w:bCs w:val="0"/>
                <w:color w:val="000000"/>
                <w:kern w:val="0"/>
                <w:sz w:val="22"/>
              </w:rPr>
            </w:pPr>
            <w:r>
              <w:rPr>
                <w:rFonts w:hint="eastAsia" w:ascii="宋体" w:hAnsi="宋体" w:cs="Arial"/>
                <w:b w:val="0"/>
                <w:bCs w:val="0"/>
                <w:color w:val="000000"/>
                <w:kern w:val="0"/>
                <w:sz w:val="22"/>
              </w:rPr>
              <w:t>9.02</w:t>
            </w:r>
          </w:p>
        </w:tc>
        <w:tc>
          <w:tcPr>
            <w:tcW w:w="1177"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055"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16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CellMar>
            <w:top w:w="0" w:type="dxa"/>
            <w:left w:w="108" w:type="dxa"/>
            <w:bottom w:w="0" w:type="dxa"/>
            <w:right w:w="108" w:type="dxa"/>
          </w:tblCellMar>
        </w:tblPrEx>
        <w:trPr>
          <w:gridAfter w:val="1"/>
          <w:wAfter w:w="557" w:type="dxa"/>
          <w:trHeight w:val="308" w:hRule="atLeast"/>
        </w:trPr>
        <w:tc>
          <w:tcPr>
            <w:tcW w:w="800" w:type="dxa"/>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5132" w:type="dxa"/>
            <w:gridSpan w:val="3"/>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150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428.42</w:t>
            </w:r>
          </w:p>
        </w:tc>
        <w:tc>
          <w:tcPr>
            <w:tcW w:w="1481"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419.40</w:t>
            </w:r>
          </w:p>
        </w:tc>
        <w:tc>
          <w:tcPr>
            <w:tcW w:w="131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9.02</w:t>
            </w:r>
          </w:p>
        </w:tc>
        <w:tc>
          <w:tcPr>
            <w:tcW w:w="1177"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5"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6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557" w:type="dxa"/>
          <w:trHeight w:val="308" w:hRule="atLeast"/>
        </w:trPr>
        <w:tc>
          <w:tcPr>
            <w:tcW w:w="800" w:type="dxa"/>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5132" w:type="dxa"/>
            <w:gridSpan w:val="3"/>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群众团体事务</w:t>
            </w:r>
          </w:p>
        </w:tc>
        <w:tc>
          <w:tcPr>
            <w:tcW w:w="150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2.10</w:t>
            </w:r>
          </w:p>
        </w:tc>
        <w:tc>
          <w:tcPr>
            <w:tcW w:w="1481"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2.10</w:t>
            </w:r>
          </w:p>
        </w:tc>
        <w:tc>
          <w:tcPr>
            <w:tcW w:w="131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7"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5"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6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557" w:type="dxa"/>
          <w:trHeight w:val="308" w:hRule="atLeast"/>
        </w:trPr>
        <w:tc>
          <w:tcPr>
            <w:tcW w:w="800" w:type="dxa"/>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5132" w:type="dxa"/>
            <w:gridSpan w:val="3"/>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工会事务</w:t>
            </w:r>
          </w:p>
        </w:tc>
        <w:tc>
          <w:tcPr>
            <w:tcW w:w="150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2.10</w:t>
            </w:r>
          </w:p>
        </w:tc>
        <w:tc>
          <w:tcPr>
            <w:tcW w:w="1481"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2.10</w:t>
            </w:r>
          </w:p>
        </w:tc>
        <w:tc>
          <w:tcPr>
            <w:tcW w:w="131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7"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5"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6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557" w:type="dxa"/>
          <w:trHeight w:val="308" w:hRule="atLeast"/>
        </w:trPr>
        <w:tc>
          <w:tcPr>
            <w:tcW w:w="800" w:type="dxa"/>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20138</w:t>
            </w:r>
          </w:p>
        </w:tc>
        <w:tc>
          <w:tcPr>
            <w:tcW w:w="5132" w:type="dxa"/>
            <w:gridSpan w:val="3"/>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市场监督管理事务</w:t>
            </w:r>
          </w:p>
        </w:tc>
        <w:tc>
          <w:tcPr>
            <w:tcW w:w="150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426.32</w:t>
            </w:r>
          </w:p>
        </w:tc>
        <w:tc>
          <w:tcPr>
            <w:tcW w:w="1481"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417.30</w:t>
            </w:r>
          </w:p>
        </w:tc>
        <w:tc>
          <w:tcPr>
            <w:tcW w:w="131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9.02</w:t>
            </w:r>
          </w:p>
        </w:tc>
        <w:tc>
          <w:tcPr>
            <w:tcW w:w="1177"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5"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6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557" w:type="dxa"/>
          <w:trHeight w:val="308" w:hRule="atLeast"/>
        </w:trPr>
        <w:tc>
          <w:tcPr>
            <w:tcW w:w="800" w:type="dxa"/>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2013801</w:t>
            </w:r>
          </w:p>
        </w:tc>
        <w:tc>
          <w:tcPr>
            <w:tcW w:w="5132" w:type="dxa"/>
            <w:gridSpan w:val="3"/>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行政运行</w:t>
            </w:r>
          </w:p>
        </w:tc>
        <w:tc>
          <w:tcPr>
            <w:tcW w:w="150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417.30</w:t>
            </w:r>
          </w:p>
        </w:tc>
        <w:tc>
          <w:tcPr>
            <w:tcW w:w="1481"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417.30</w:t>
            </w:r>
          </w:p>
        </w:tc>
        <w:tc>
          <w:tcPr>
            <w:tcW w:w="131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7"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5"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6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557" w:type="dxa"/>
          <w:trHeight w:val="308" w:hRule="atLeast"/>
        </w:trPr>
        <w:tc>
          <w:tcPr>
            <w:tcW w:w="800" w:type="dxa"/>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2013805</w:t>
            </w:r>
          </w:p>
        </w:tc>
        <w:tc>
          <w:tcPr>
            <w:tcW w:w="5132" w:type="dxa"/>
            <w:gridSpan w:val="3"/>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市场秩序执法</w:t>
            </w:r>
          </w:p>
        </w:tc>
        <w:tc>
          <w:tcPr>
            <w:tcW w:w="150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2.50</w:t>
            </w:r>
          </w:p>
        </w:tc>
        <w:tc>
          <w:tcPr>
            <w:tcW w:w="1481"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1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2.50</w:t>
            </w:r>
          </w:p>
        </w:tc>
        <w:tc>
          <w:tcPr>
            <w:tcW w:w="1177"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5"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6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557" w:type="dxa"/>
          <w:trHeight w:val="308" w:hRule="atLeast"/>
        </w:trPr>
        <w:tc>
          <w:tcPr>
            <w:tcW w:w="800" w:type="dxa"/>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2013899</w:t>
            </w:r>
          </w:p>
        </w:tc>
        <w:tc>
          <w:tcPr>
            <w:tcW w:w="5132" w:type="dxa"/>
            <w:gridSpan w:val="3"/>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其他市场监督管理事务</w:t>
            </w:r>
          </w:p>
        </w:tc>
        <w:tc>
          <w:tcPr>
            <w:tcW w:w="150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6.52</w:t>
            </w:r>
          </w:p>
        </w:tc>
        <w:tc>
          <w:tcPr>
            <w:tcW w:w="1481"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1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6.52</w:t>
            </w:r>
          </w:p>
        </w:tc>
        <w:tc>
          <w:tcPr>
            <w:tcW w:w="1177"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5"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6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557" w:type="dxa"/>
          <w:trHeight w:val="308" w:hRule="atLeast"/>
        </w:trPr>
        <w:tc>
          <w:tcPr>
            <w:tcW w:w="800" w:type="dxa"/>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5132" w:type="dxa"/>
            <w:gridSpan w:val="3"/>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150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71.69</w:t>
            </w:r>
          </w:p>
        </w:tc>
        <w:tc>
          <w:tcPr>
            <w:tcW w:w="1481"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71.69</w:t>
            </w:r>
          </w:p>
        </w:tc>
        <w:tc>
          <w:tcPr>
            <w:tcW w:w="131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7"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5"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6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557" w:type="dxa"/>
          <w:trHeight w:val="308" w:hRule="atLeast"/>
        </w:trPr>
        <w:tc>
          <w:tcPr>
            <w:tcW w:w="800" w:type="dxa"/>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5132" w:type="dxa"/>
            <w:gridSpan w:val="3"/>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150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71.69</w:t>
            </w:r>
          </w:p>
        </w:tc>
        <w:tc>
          <w:tcPr>
            <w:tcW w:w="1481"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71.69</w:t>
            </w:r>
          </w:p>
        </w:tc>
        <w:tc>
          <w:tcPr>
            <w:tcW w:w="131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7"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5"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6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557" w:type="dxa"/>
          <w:trHeight w:val="308" w:hRule="atLeast"/>
        </w:trPr>
        <w:tc>
          <w:tcPr>
            <w:tcW w:w="800" w:type="dxa"/>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2080501</w:t>
            </w:r>
          </w:p>
        </w:tc>
        <w:tc>
          <w:tcPr>
            <w:tcW w:w="5132" w:type="dxa"/>
            <w:gridSpan w:val="3"/>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行政单位离退休</w:t>
            </w:r>
          </w:p>
        </w:tc>
        <w:tc>
          <w:tcPr>
            <w:tcW w:w="150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45.38</w:t>
            </w:r>
          </w:p>
        </w:tc>
        <w:tc>
          <w:tcPr>
            <w:tcW w:w="1481"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45.38</w:t>
            </w:r>
          </w:p>
        </w:tc>
        <w:tc>
          <w:tcPr>
            <w:tcW w:w="131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7"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5"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6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557" w:type="dxa"/>
          <w:trHeight w:val="308" w:hRule="atLeast"/>
        </w:trPr>
        <w:tc>
          <w:tcPr>
            <w:tcW w:w="800" w:type="dxa"/>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5132" w:type="dxa"/>
            <w:gridSpan w:val="3"/>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150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26.30</w:t>
            </w:r>
          </w:p>
        </w:tc>
        <w:tc>
          <w:tcPr>
            <w:tcW w:w="1481"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26.30</w:t>
            </w:r>
          </w:p>
        </w:tc>
        <w:tc>
          <w:tcPr>
            <w:tcW w:w="131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7"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5"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6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557" w:type="dxa"/>
          <w:trHeight w:val="308" w:hRule="atLeast"/>
        </w:trPr>
        <w:tc>
          <w:tcPr>
            <w:tcW w:w="800" w:type="dxa"/>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5132" w:type="dxa"/>
            <w:gridSpan w:val="3"/>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150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23.82</w:t>
            </w:r>
          </w:p>
        </w:tc>
        <w:tc>
          <w:tcPr>
            <w:tcW w:w="1481"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23.82</w:t>
            </w:r>
          </w:p>
        </w:tc>
        <w:tc>
          <w:tcPr>
            <w:tcW w:w="131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7"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5"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6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557" w:type="dxa"/>
          <w:trHeight w:val="308" w:hRule="atLeast"/>
        </w:trPr>
        <w:tc>
          <w:tcPr>
            <w:tcW w:w="800" w:type="dxa"/>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5132" w:type="dxa"/>
            <w:gridSpan w:val="3"/>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150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23.82</w:t>
            </w:r>
          </w:p>
        </w:tc>
        <w:tc>
          <w:tcPr>
            <w:tcW w:w="1481"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23.82</w:t>
            </w:r>
          </w:p>
        </w:tc>
        <w:tc>
          <w:tcPr>
            <w:tcW w:w="131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7"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5"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6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557" w:type="dxa"/>
          <w:trHeight w:val="308" w:hRule="atLeast"/>
        </w:trPr>
        <w:tc>
          <w:tcPr>
            <w:tcW w:w="800" w:type="dxa"/>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2101101</w:t>
            </w:r>
          </w:p>
        </w:tc>
        <w:tc>
          <w:tcPr>
            <w:tcW w:w="5132" w:type="dxa"/>
            <w:gridSpan w:val="3"/>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行政单位医疗</w:t>
            </w:r>
          </w:p>
        </w:tc>
        <w:tc>
          <w:tcPr>
            <w:tcW w:w="150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11.88</w:t>
            </w:r>
          </w:p>
        </w:tc>
        <w:tc>
          <w:tcPr>
            <w:tcW w:w="1481"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11.88</w:t>
            </w:r>
          </w:p>
        </w:tc>
        <w:tc>
          <w:tcPr>
            <w:tcW w:w="131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7"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5"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6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557" w:type="dxa"/>
          <w:trHeight w:val="308" w:hRule="atLeast"/>
        </w:trPr>
        <w:tc>
          <w:tcPr>
            <w:tcW w:w="800" w:type="dxa"/>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2101103</w:t>
            </w:r>
          </w:p>
        </w:tc>
        <w:tc>
          <w:tcPr>
            <w:tcW w:w="5132" w:type="dxa"/>
            <w:gridSpan w:val="3"/>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公务员医疗补助</w:t>
            </w:r>
          </w:p>
        </w:tc>
        <w:tc>
          <w:tcPr>
            <w:tcW w:w="150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11.94</w:t>
            </w:r>
          </w:p>
        </w:tc>
        <w:tc>
          <w:tcPr>
            <w:tcW w:w="1481"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11.94</w:t>
            </w:r>
          </w:p>
        </w:tc>
        <w:tc>
          <w:tcPr>
            <w:tcW w:w="131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77"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55"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6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557" w:type="dxa"/>
          <w:trHeight w:val="308" w:hRule="atLeast"/>
        </w:trPr>
        <w:tc>
          <w:tcPr>
            <w:tcW w:w="13633" w:type="dxa"/>
            <w:gridSpan w:val="20"/>
            <w:tcBorders>
              <w:top w:val="nil"/>
              <w:left w:val="nil"/>
              <w:bottom w:val="nil"/>
              <w:right w:val="nil"/>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本年度各项支出情况。本表金额转换为万元时，因四舍五入可能存在尾差。</w:t>
            </w:r>
          </w:p>
        </w:tc>
      </w:tr>
    </w:tbl>
    <w:p>
      <w:pPr>
        <w:rPr>
          <w:rFonts w:hint="eastAsia" w:ascii="仿宋_GB2312" w:hAnsi="仿宋_GB2312" w:eastAsia="仿宋_GB2312" w:cs="仿宋_GB2312"/>
          <w:sz w:val="32"/>
          <w:szCs w:val="32"/>
        </w:rPr>
      </w:pPr>
    </w:p>
    <w:p>
      <w:pPr>
        <w:rPr>
          <w:rFonts w:hint="eastAsia"/>
        </w:rPr>
      </w:pPr>
    </w:p>
    <w:p>
      <w:pPr>
        <w:rPr>
          <w:rFonts w:hint="eastAsia" w:ascii="仿宋_GB2312" w:hAnsi="仿宋_GB2312" w:eastAsia="仿宋_GB2312" w:cs="仿宋_GB2312"/>
          <w:sz w:val="32"/>
          <w:szCs w:val="32"/>
        </w:rPr>
      </w:pPr>
    </w:p>
    <w:tbl>
      <w:tblPr>
        <w:tblStyle w:val="5"/>
        <w:tblW w:w="12720" w:type="dxa"/>
        <w:tblInd w:w="93" w:type="dxa"/>
        <w:tblLayout w:type="autofit"/>
        <w:tblCellMar>
          <w:top w:w="0" w:type="dxa"/>
          <w:left w:w="108" w:type="dxa"/>
          <w:bottom w:w="0" w:type="dxa"/>
          <w:right w:w="108" w:type="dxa"/>
        </w:tblCellMar>
      </w:tblPr>
      <w:tblGrid>
        <w:gridCol w:w="2890"/>
        <w:gridCol w:w="580"/>
        <w:gridCol w:w="1220"/>
        <w:gridCol w:w="3330"/>
        <w:gridCol w:w="580"/>
        <w:gridCol w:w="821"/>
        <w:gridCol w:w="1180"/>
        <w:gridCol w:w="1129"/>
        <w:gridCol w:w="1121"/>
      </w:tblGrid>
      <w:tr>
        <w:tblPrEx>
          <w:tblCellMar>
            <w:top w:w="0" w:type="dxa"/>
            <w:left w:w="108" w:type="dxa"/>
            <w:bottom w:w="0" w:type="dxa"/>
            <w:right w:w="108" w:type="dxa"/>
          </w:tblCellMar>
        </w:tblPrEx>
        <w:trPr>
          <w:trHeight w:val="390" w:hRule="atLeast"/>
        </w:trPr>
        <w:tc>
          <w:tcPr>
            <w:tcW w:w="12720" w:type="dxa"/>
            <w:gridSpan w:val="9"/>
            <w:tcBorders>
              <w:top w:val="nil"/>
              <w:left w:val="nil"/>
              <w:bottom w:val="nil"/>
              <w:right w:val="nil"/>
            </w:tcBorders>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财政拨款收入支出决算总表</w:t>
            </w:r>
          </w:p>
        </w:tc>
      </w:tr>
      <w:tr>
        <w:tblPrEx>
          <w:tblCellMar>
            <w:top w:w="0" w:type="dxa"/>
            <w:left w:w="108" w:type="dxa"/>
            <w:bottom w:w="0" w:type="dxa"/>
            <w:right w:w="108" w:type="dxa"/>
          </w:tblCellMar>
        </w:tblPrEx>
        <w:trPr>
          <w:trHeight w:val="255" w:hRule="atLeast"/>
        </w:trPr>
        <w:tc>
          <w:tcPr>
            <w:tcW w:w="289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58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22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333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58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69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18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2250" w:type="dxa"/>
            <w:gridSpan w:val="2"/>
            <w:tcBorders>
              <w:top w:val="nil"/>
              <w:left w:val="nil"/>
              <w:bottom w:val="nil"/>
              <w:right w:val="nil"/>
            </w:tcBorders>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CellMar>
            <w:top w:w="0" w:type="dxa"/>
            <w:left w:w="108" w:type="dxa"/>
            <w:bottom w:w="0" w:type="dxa"/>
            <w:right w:w="108" w:type="dxa"/>
          </w:tblCellMar>
        </w:tblPrEx>
        <w:trPr>
          <w:trHeight w:val="255" w:hRule="atLeast"/>
        </w:trPr>
        <w:tc>
          <w:tcPr>
            <w:tcW w:w="4690" w:type="dxa"/>
            <w:gridSpan w:val="3"/>
            <w:tcBorders>
              <w:top w:val="nil"/>
              <w:left w:val="nil"/>
              <w:bottom w:val="nil"/>
              <w:right w:val="nil"/>
            </w:tcBorders>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单位</w:t>
            </w:r>
            <w:r>
              <w:rPr>
                <w:rFonts w:hint="eastAsia" w:ascii="宋体" w:hAnsi="宋体" w:cs="Arial"/>
                <w:color w:val="000000"/>
                <w:kern w:val="0"/>
                <w:sz w:val="18"/>
                <w:szCs w:val="18"/>
              </w:rPr>
              <w:t>：许昌市工商行政管理局经济检查支队</w:t>
            </w:r>
          </w:p>
        </w:tc>
        <w:tc>
          <w:tcPr>
            <w:tcW w:w="333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58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69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18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2250" w:type="dxa"/>
            <w:gridSpan w:val="2"/>
            <w:tcBorders>
              <w:top w:val="nil"/>
              <w:left w:val="nil"/>
              <w:bottom w:val="single" w:color="000000" w:sz="4" w:space="0"/>
              <w:right w:val="nil"/>
            </w:tcBorders>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4690"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收     入</w:t>
            </w:r>
          </w:p>
        </w:tc>
        <w:tc>
          <w:tcPr>
            <w:tcW w:w="8030" w:type="dxa"/>
            <w:gridSpan w:val="6"/>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支     出</w:t>
            </w:r>
          </w:p>
        </w:tc>
      </w:tr>
      <w:tr>
        <w:tblPrEx>
          <w:tblCellMar>
            <w:top w:w="0" w:type="dxa"/>
            <w:left w:w="108" w:type="dxa"/>
            <w:bottom w:w="0" w:type="dxa"/>
            <w:right w:w="108" w:type="dxa"/>
          </w:tblCellMar>
        </w:tblPrEx>
        <w:trPr>
          <w:trHeight w:val="312" w:hRule="atLeast"/>
        </w:trPr>
        <w:tc>
          <w:tcPr>
            <w:tcW w:w="2890"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58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22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c>
          <w:tcPr>
            <w:tcW w:w="333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58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690" w:type="dxa"/>
            <w:vMerge w:val="restar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18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一般公共预算财政拨款</w:t>
            </w:r>
          </w:p>
        </w:tc>
        <w:tc>
          <w:tcPr>
            <w:tcW w:w="1129"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政府性基金预算财政拨款</w:t>
            </w:r>
          </w:p>
        </w:tc>
        <w:tc>
          <w:tcPr>
            <w:tcW w:w="1121"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国有资本经营预算财政拨款</w:t>
            </w:r>
          </w:p>
        </w:tc>
      </w:tr>
      <w:tr>
        <w:tblPrEx>
          <w:tblCellMar>
            <w:top w:w="0" w:type="dxa"/>
            <w:left w:w="108" w:type="dxa"/>
            <w:bottom w:w="0" w:type="dxa"/>
            <w:right w:w="108" w:type="dxa"/>
          </w:tblCellMar>
        </w:tblPrEx>
        <w:trPr>
          <w:trHeight w:val="615" w:hRule="atLeast"/>
        </w:trPr>
        <w:tc>
          <w:tcPr>
            <w:tcW w:w="2890"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8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22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33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8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69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8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2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2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22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333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69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1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129"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121"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一、一般公共预算财政拨款</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479.44</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一、一般公共服务支出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33</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428.42</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428.42</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二、政府性基金预算财政拨款</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二、外交支出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34</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三、国有资本经营财政拨款</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三、国防支出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35</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四、公共安全支出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36</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五、教育支出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37</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六、科学技术支出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38</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七、文化旅游体育与传媒支出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39</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八、社会保障和就业支出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40</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71.69</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71.69</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九、卫生健康支出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41</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23.82</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23.82</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十、节能环保支出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42</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十一、城乡社区支出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43</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十二、农林水支出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44</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13</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十三、交通运输支出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45</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14</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十四、资源勘探工业信息等支出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46</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15</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十五、商业服务业等支出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47</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16</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十六、金融支出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48</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17</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十七、援助其他地区支出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49</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18</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十八、自然资源海洋气象等支出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50</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19</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十九、住房保障支出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51</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20</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二十、粮油物资储备支出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52</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21</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二十一、国有资本经营预算支出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53</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22</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二十二、灾害防治及应急管理支出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54</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23</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二十三、其他支出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55</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24</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二十四、债务还本支出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56</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25</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二十五、债务付息支出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57</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26</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二十六、抗疫特别国债安排的支出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58</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本年收入合计</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27</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479.44</w:t>
            </w:r>
          </w:p>
        </w:tc>
        <w:tc>
          <w:tcPr>
            <w:tcW w:w="3330" w:type="dxa"/>
            <w:tcBorders>
              <w:top w:val="nil"/>
              <w:left w:val="nil"/>
              <w:bottom w:val="single" w:color="000000" w:sz="4" w:space="0"/>
              <w:right w:val="single" w:color="000000" w:sz="4" w:space="0"/>
            </w:tcBorders>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本年支出合计</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59</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523.92</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523.92</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年初财政拨款结转和结余</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28</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44.48</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年末财政拨款结转和结余</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60</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一般公共预算财政拨款</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29</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44.48</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61</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政府性基金预算财政拨款</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30</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62</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国有资本经营预算财政拨款</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31</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63</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580" w:type="dxa"/>
            <w:tcBorders>
              <w:top w:val="nil"/>
              <w:left w:val="nil"/>
              <w:bottom w:val="single" w:color="000000" w:sz="8"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32</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523.92</w:t>
            </w:r>
          </w:p>
        </w:tc>
        <w:tc>
          <w:tcPr>
            <w:tcW w:w="3330" w:type="dxa"/>
            <w:tcBorders>
              <w:top w:val="nil"/>
              <w:left w:val="nil"/>
              <w:bottom w:val="single" w:color="000000" w:sz="4" w:space="0"/>
              <w:right w:val="single" w:color="000000" w:sz="4" w:space="0"/>
            </w:tcBorders>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64</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523.92</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523.92</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585" w:hRule="atLeast"/>
        </w:trPr>
        <w:tc>
          <w:tcPr>
            <w:tcW w:w="12720" w:type="dxa"/>
            <w:gridSpan w:val="9"/>
            <w:tcBorders>
              <w:top w:val="nil"/>
              <w:left w:val="nil"/>
              <w:bottom w:val="nil"/>
              <w:right w:val="nil"/>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tbl>
      <w:tblPr>
        <w:tblStyle w:val="5"/>
        <w:tblW w:w="12489" w:type="dxa"/>
        <w:tblInd w:w="93" w:type="dxa"/>
        <w:tblLayout w:type="autofit"/>
        <w:tblCellMar>
          <w:top w:w="0" w:type="dxa"/>
          <w:left w:w="108" w:type="dxa"/>
          <w:bottom w:w="0" w:type="dxa"/>
          <w:right w:w="108" w:type="dxa"/>
        </w:tblCellMar>
      </w:tblPr>
      <w:tblGrid>
        <w:gridCol w:w="400"/>
        <w:gridCol w:w="316"/>
        <w:gridCol w:w="271"/>
        <w:gridCol w:w="5549"/>
        <w:gridCol w:w="1672"/>
        <w:gridCol w:w="2155"/>
        <w:gridCol w:w="2126"/>
      </w:tblGrid>
      <w:tr>
        <w:tblPrEx>
          <w:tblCellMar>
            <w:top w:w="0" w:type="dxa"/>
            <w:left w:w="108" w:type="dxa"/>
            <w:bottom w:w="0" w:type="dxa"/>
            <w:right w:w="108" w:type="dxa"/>
          </w:tblCellMar>
        </w:tblPrEx>
        <w:trPr>
          <w:trHeight w:val="345" w:hRule="atLeast"/>
        </w:trPr>
        <w:tc>
          <w:tcPr>
            <w:tcW w:w="12489" w:type="dxa"/>
            <w:gridSpan w:val="7"/>
            <w:tcBorders>
              <w:top w:val="nil"/>
              <w:left w:val="nil"/>
              <w:bottom w:val="nil"/>
              <w:right w:val="nil"/>
            </w:tcBorders>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一般公共预算财政拨款支出决算表</w:t>
            </w:r>
          </w:p>
        </w:tc>
      </w:tr>
      <w:tr>
        <w:tblPrEx>
          <w:tblCellMar>
            <w:top w:w="0" w:type="dxa"/>
            <w:left w:w="108" w:type="dxa"/>
            <w:bottom w:w="0" w:type="dxa"/>
            <w:right w:w="108" w:type="dxa"/>
          </w:tblCellMar>
        </w:tblPrEx>
        <w:trPr>
          <w:trHeight w:val="225" w:hRule="atLeast"/>
        </w:trPr>
        <w:tc>
          <w:tcPr>
            <w:tcW w:w="40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316"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271"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5549"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672"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4281" w:type="dxa"/>
            <w:gridSpan w:val="2"/>
            <w:tcBorders>
              <w:top w:val="nil"/>
              <w:left w:val="nil"/>
              <w:bottom w:val="nil"/>
              <w:right w:val="nil"/>
            </w:tcBorders>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公开05表</w:t>
            </w:r>
          </w:p>
        </w:tc>
      </w:tr>
      <w:tr>
        <w:tblPrEx>
          <w:tblCellMar>
            <w:top w:w="0" w:type="dxa"/>
            <w:left w:w="108" w:type="dxa"/>
            <w:bottom w:w="0" w:type="dxa"/>
            <w:right w:w="108" w:type="dxa"/>
          </w:tblCellMar>
        </w:tblPrEx>
        <w:trPr>
          <w:trHeight w:val="210" w:hRule="atLeast"/>
        </w:trPr>
        <w:tc>
          <w:tcPr>
            <w:tcW w:w="6536" w:type="dxa"/>
            <w:gridSpan w:val="4"/>
            <w:tcBorders>
              <w:top w:val="nil"/>
              <w:left w:val="nil"/>
              <w:bottom w:val="nil"/>
              <w:right w:val="nil"/>
            </w:tcBorders>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单位</w:t>
            </w:r>
            <w:r>
              <w:rPr>
                <w:rFonts w:hint="eastAsia" w:ascii="宋体" w:hAnsi="宋体" w:cs="Arial"/>
                <w:color w:val="000000"/>
                <w:kern w:val="0"/>
                <w:sz w:val="18"/>
                <w:szCs w:val="18"/>
              </w:rPr>
              <w:t>：许昌市工商行政管理局经济检查支队</w:t>
            </w:r>
          </w:p>
        </w:tc>
        <w:tc>
          <w:tcPr>
            <w:tcW w:w="1672"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4281" w:type="dxa"/>
            <w:gridSpan w:val="2"/>
            <w:tcBorders>
              <w:top w:val="nil"/>
              <w:left w:val="nil"/>
              <w:bottom w:val="single" w:color="000000" w:sz="4" w:space="0"/>
              <w:right w:val="nil"/>
            </w:tcBorders>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6536"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5953"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w:t>
            </w:r>
          </w:p>
        </w:tc>
      </w:tr>
      <w:tr>
        <w:tblPrEx>
          <w:tblCellMar>
            <w:top w:w="0" w:type="dxa"/>
            <w:left w:w="108" w:type="dxa"/>
            <w:bottom w:w="0" w:type="dxa"/>
            <w:right w:w="108" w:type="dxa"/>
          </w:tblCellMar>
        </w:tblPrEx>
        <w:trPr>
          <w:trHeight w:val="312" w:hRule="atLeast"/>
        </w:trPr>
        <w:tc>
          <w:tcPr>
            <w:tcW w:w="987"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5549" w:type="dxa"/>
            <w:vMerge w:val="restar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672"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2155"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2126"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r>
      <w:tr>
        <w:tblPrEx>
          <w:tblCellMar>
            <w:top w:w="0" w:type="dxa"/>
            <w:left w:w="108" w:type="dxa"/>
            <w:bottom w:w="0" w:type="dxa"/>
            <w:right w:w="108" w:type="dxa"/>
          </w:tblCellMar>
        </w:tblPrEx>
        <w:trPr>
          <w:trHeight w:val="312"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54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67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15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12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54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67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15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12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6536" w:type="dxa"/>
            <w:gridSpan w:val="4"/>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672"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2155"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2126"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r>
      <w:tr>
        <w:tblPrEx>
          <w:tblCellMar>
            <w:top w:w="0" w:type="dxa"/>
            <w:left w:w="108" w:type="dxa"/>
            <w:bottom w:w="0" w:type="dxa"/>
            <w:right w:w="108" w:type="dxa"/>
          </w:tblCellMar>
        </w:tblPrEx>
        <w:trPr>
          <w:trHeight w:val="308" w:hRule="atLeast"/>
        </w:trPr>
        <w:tc>
          <w:tcPr>
            <w:tcW w:w="6536" w:type="dxa"/>
            <w:gridSpan w:val="4"/>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672" w:type="dxa"/>
            <w:tcBorders>
              <w:top w:val="nil"/>
              <w:left w:val="nil"/>
              <w:bottom w:val="single" w:color="000000" w:sz="4" w:space="0"/>
              <w:right w:val="single" w:color="000000" w:sz="4" w:space="0"/>
            </w:tcBorders>
            <w:noWrap/>
            <w:vAlign w:val="center"/>
          </w:tcPr>
          <w:p>
            <w:pPr>
              <w:widowControl/>
              <w:jc w:val="right"/>
              <w:rPr>
                <w:rFonts w:ascii="宋体" w:hAnsi="宋体" w:cs="Arial"/>
                <w:b w:val="0"/>
                <w:bCs w:val="0"/>
                <w:color w:val="000000"/>
                <w:kern w:val="0"/>
                <w:sz w:val="22"/>
              </w:rPr>
            </w:pPr>
            <w:r>
              <w:rPr>
                <w:rFonts w:hint="eastAsia" w:ascii="宋体" w:hAnsi="宋体" w:cs="Arial"/>
                <w:b w:val="0"/>
                <w:bCs w:val="0"/>
                <w:color w:val="000000"/>
                <w:kern w:val="0"/>
                <w:sz w:val="22"/>
              </w:rPr>
              <w:t>523.92</w:t>
            </w:r>
          </w:p>
        </w:tc>
        <w:tc>
          <w:tcPr>
            <w:tcW w:w="2155" w:type="dxa"/>
            <w:tcBorders>
              <w:top w:val="nil"/>
              <w:left w:val="nil"/>
              <w:bottom w:val="single" w:color="000000" w:sz="4" w:space="0"/>
              <w:right w:val="single" w:color="000000" w:sz="4" w:space="0"/>
            </w:tcBorders>
            <w:noWrap/>
            <w:vAlign w:val="center"/>
          </w:tcPr>
          <w:p>
            <w:pPr>
              <w:widowControl/>
              <w:jc w:val="right"/>
              <w:rPr>
                <w:rFonts w:ascii="宋体" w:hAnsi="宋体" w:cs="Arial"/>
                <w:b w:val="0"/>
                <w:bCs w:val="0"/>
                <w:color w:val="000000"/>
                <w:kern w:val="0"/>
                <w:sz w:val="22"/>
              </w:rPr>
            </w:pPr>
            <w:r>
              <w:rPr>
                <w:rFonts w:hint="eastAsia" w:ascii="宋体" w:hAnsi="宋体" w:cs="Arial"/>
                <w:b w:val="0"/>
                <w:bCs w:val="0"/>
                <w:color w:val="000000"/>
                <w:kern w:val="0"/>
                <w:sz w:val="22"/>
              </w:rPr>
              <w:t>514.90</w:t>
            </w:r>
          </w:p>
        </w:tc>
        <w:tc>
          <w:tcPr>
            <w:tcW w:w="2126" w:type="dxa"/>
            <w:tcBorders>
              <w:top w:val="nil"/>
              <w:left w:val="nil"/>
              <w:bottom w:val="single" w:color="000000" w:sz="4" w:space="0"/>
              <w:right w:val="single" w:color="000000" w:sz="4" w:space="0"/>
            </w:tcBorders>
            <w:noWrap/>
            <w:vAlign w:val="center"/>
          </w:tcPr>
          <w:p>
            <w:pPr>
              <w:widowControl/>
              <w:jc w:val="right"/>
              <w:rPr>
                <w:rFonts w:ascii="宋体" w:hAnsi="宋体" w:cs="Arial"/>
                <w:b w:val="0"/>
                <w:bCs w:val="0"/>
                <w:color w:val="000000"/>
                <w:kern w:val="0"/>
                <w:sz w:val="22"/>
              </w:rPr>
            </w:pPr>
            <w:r>
              <w:rPr>
                <w:rFonts w:hint="eastAsia" w:ascii="宋体" w:hAnsi="宋体" w:cs="Arial"/>
                <w:b w:val="0"/>
                <w:bCs w:val="0"/>
                <w:color w:val="000000"/>
                <w:kern w:val="0"/>
                <w:sz w:val="22"/>
              </w:rPr>
              <w:t>9.02</w:t>
            </w: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554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167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428.42</w:t>
            </w:r>
          </w:p>
        </w:tc>
        <w:tc>
          <w:tcPr>
            <w:tcW w:w="215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419.40</w:t>
            </w:r>
          </w:p>
        </w:tc>
        <w:tc>
          <w:tcPr>
            <w:tcW w:w="212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9.02</w:t>
            </w: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554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群众团体事务</w:t>
            </w:r>
          </w:p>
        </w:tc>
        <w:tc>
          <w:tcPr>
            <w:tcW w:w="167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2.10</w:t>
            </w:r>
          </w:p>
        </w:tc>
        <w:tc>
          <w:tcPr>
            <w:tcW w:w="215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2.10</w:t>
            </w:r>
          </w:p>
        </w:tc>
        <w:tc>
          <w:tcPr>
            <w:tcW w:w="212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554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工会事务</w:t>
            </w:r>
          </w:p>
        </w:tc>
        <w:tc>
          <w:tcPr>
            <w:tcW w:w="167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2.10</w:t>
            </w:r>
          </w:p>
        </w:tc>
        <w:tc>
          <w:tcPr>
            <w:tcW w:w="215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2.10</w:t>
            </w:r>
          </w:p>
        </w:tc>
        <w:tc>
          <w:tcPr>
            <w:tcW w:w="212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20138</w:t>
            </w:r>
          </w:p>
        </w:tc>
        <w:tc>
          <w:tcPr>
            <w:tcW w:w="554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市场监督管理事务</w:t>
            </w:r>
          </w:p>
        </w:tc>
        <w:tc>
          <w:tcPr>
            <w:tcW w:w="167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426.32</w:t>
            </w:r>
          </w:p>
        </w:tc>
        <w:tc>
          <w:tcPr>
            <w:tcW w:w="215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417.30</w:t>
            </w:r>
          </w:p>
        </w:tc>
        <w:tc>
          <w:tcPr>
            <w:tcW w:w="212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9.02</w:t>
            </w: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2013801</w:t>
            </w:r>
          </w:p>
        </w:tc>
        <w:tc>
          <w:tcPr>
            <w:tcW w:w="554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行政运行</w:t>
            </w:r>
          </w:p>
        </w:tc>
        <w:tc>
          <w:tcPr>
            <w:tcW w:w="167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417.30</w:t>
            </w:r>
          </w:p>
        </w:tc>
        <w:tc>
          <w:tcPr>
            <w:tcW w:w="215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417.30</w:t>
            </w:r>
          </w:p>
        </w:tc>
        <w:tc>
          <w:tcPr>
            <w:tcW w:w="212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2013805</w:t>
            </w:r>
          </w:p>
        </w:tc>
        <w:tc>
          <w:tcPr>
            <w:tcW w:w="554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市场秩序执法</w:t>
            </w:r>
          </w:p>
        </w:tc>
        <w:tc>
          <w:tcPr>
            <w:tcW w:w="167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2.50</w:t>
            </w:r>
          </w:p>
        </w:tc>
        <w:tc>
          <w:tcPr>
            <w:tcW w:w="215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12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2.50</w:t>
            </w: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2013899</w:t>
            </w:r>
          </w:p>
        </w:tc>
        <w:tc>
          <w:tcPr>
            <w:tcW w:w="554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其他市场监督管理事务</w:t>
            </w:r>
          </w:p>
        </w:tc>
        <w:tc>
          <w:tcPr>
            <w:tcW w:w="167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6.52</w:t>
            </w:r>
          </w:p>
        </w:tc>
        <w:tc>
          <w:tcPr>
            <w:tcW w:w="215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12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6.52</w:t>
            </w: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554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167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71.69</w:t>
            </w:r>
          </w:p>
        </w:tc>
        <w:tc>
          <w:tcPr>
            <w:tcW w:w="215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71.69</w:t>
            </w:r>
          </w:p>
        </w:tc>
        <w:tc>
          <w:tcPr>
            <w:tcW w:w="212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554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167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71.69</w:t>
            </w:r>
          </w:p>
        </w:tc>
        <w:tc>
          <w:tcPr>
            <w:tcW w:w="215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71.69</w:t>
            </w:r>
          </w:p>
        </w:tc>
        <w:tc>
          <w:tcPr>
            <w:tcW w:w="212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2080501</w:t>
            </w:r>
          </w:p>
        </w:tc>
        <w:tc>
          <w:tcPr>
            <w:tcW w:w="554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行政单位离退休</w:t>
            </w:r>
          </w:p>
        </w:tc>
        <w:tc>
          <w:tcPr>
            <w:tcW w:w="167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45.38</w:t>
            </w:r>
          </w:p>
        </w:tc>
        <w:tc>
          <w:tcPr>
            <w:tcW w:w="215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45.38</w:t>
            </w:r>
          </w:p>
        </w:tc>
        <w:tc>
          <w:tcPr>
            <w:tcW w:w="212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554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167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26.30</w:t>
            </w:r>
          </w:p>
        </w:tc>
        <w:tc>
          <w:tcPr>
            <w:tcW w:w="215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26.30</w:t>
            </w:r>
          </w:p>
        </w:tc>
        <w:tc>
          <w:tcPr>
            <w:tcW w:w="212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554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167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23.82</w:t>
            </w:r>
          </w:p>
        </w:tc>
        <w:tc>
          <w:tcPr>
            <w:tcW w:w="215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23.82</w:t>
            </w:r>
          </w:p>
        </w:tc>
        <w:tc>
          <w:tcPr>
            <w:tcW w:w="212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554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167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23.82</w:t>
            </w:r>
          </w:p>
        </w:tc>
        <w:tc>
          <w:tcPr>
            <w:tcW w:w="215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23.82</w:t>
            </w:r>
          </w:p>
        </w:tc>
        <w:tc>
          <w:tcPr>
            <w:tcW w:w="212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2101101</w:t>
            </w:r>
          </w:p>
        </w:tc>
        <w:tc>
          <w:tcPr>
            <w:tcW w:w="554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行政单位医疗</w:t>
            </w:r>
          </w:p>
        </w:tc>
        <w:tc>
          <w:tcPr>
            <w:tcW w:w="167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11.88</w:t>
            </w:r>
          </w:p>
        </w:tc>
        <w:tc>
          <w:tcPr>
            <w:tcW w:w="215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11.88</w:t>
            </w:r>
          </w:p>
        </w:tc>
        <w:tc>
          <w:tcPr>
            <w:tcW w:w="212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2101103</w:t>
            </w:r>
          </w:p>
        </w:tc>
        <w:tc>
          <w:tcPr>
            <w:tcW w:w="5549"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公务员医疗补助</w:t>
            </w:r>
          </w:p>
        </w:tc>
        <w:tc>
          <w:tcPr>
            <w:tcW w:w="167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11.94</w:t>
            </w:r>
          </w:p>
        </w:tc>
        <w:tc>
          <w:tcPr>
            <w:tcW w:w="215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11.94</w:t>
            </w:r>
          </w:p>
        </w:tc>
        <w:tc>
          <w:tcPr>
            <w:tcW w:w="2126"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2489" w:type="dxa"/>
            <w:gridSpan w:val="7"/>
            <w:tcBorders>
              <w:top w:val="nil"/>
              <w:left w:val="nil"/>
              <w:bottom w:val="nil"/>
              <w:right w:val="nil"/>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本年度一般公共预算财政拨款支出情况。本套报表金额单位转换时可能存在尾数误差。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tbl>
      <w:tblPr>
        <w:tblStyle w:val="5"/>
        <w:tblW w:w="14190" w:type="dxa"/>
        <w:tblInd w:w="93" w:type="dxa"/>
        <w:tblLayout w:type="autofit"/>
        <w:tblCellMar>
          <w:top w:w="0" w:type="dxa"/>
          <w:left w:w="108" w:type="dxa"/>
          <w:bottom w:w="0" w:type="dxa"/>
          <w:right w:w="108" w:type="dxa"/>
        </w:tblCellMar>
      </w:tblPr>
      <w:tblGrid>
        <w:gridCol w:w="766"/>
        <w:gridCol w:w="3330"/>
        <w:gridCol w:w="1193"/>
        <w:gridCol w:w="766"/>
        <w:gridCol w:w="2230"/>
        <w:gridCol w:w="952"/>
        <w:gridCol w:w="766"/>
        <w:gridCol w:w="2912"/>
        <w:gridCol w:w="1275"/>
      </w:tblGrid>
      <w:tr>
        <w:tblPrEx>
          <w:tblCellMar>
            <w:top w:w="0" w:type="dxa"/>
            <w:left w:w="108" w:type="dxa"/>
            <w:bottom w:w="0" w:type="dxa"/>
            <w:right w:w="108" w:type="dxa"/>
          </w:tblCellMar>
        </w:tblPrEx>
        <w:trPr>
          <w:trHeight w:val="390" w:hRule="atLeast"/>
        </w:trPr>
        <w:tc>
          <w:tcPr>
            <w:tcW w:w="14190" w:type="dxa"/>
            <w:gridSpan w:val="9"/>
            <w:tcBorders>
              <w:top w:val="nil"/>
              <w:left w:val="nil"/>
              <w:bottom w:val="nil"/>
              <w:right w:val="nil"/>
            </w:tcBorders>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一般公共预算财政拨款基本支出决算</w:t>
            </w:r>
            <w:r>
              <w:rPr>
                <w:rFonts w:hint="eastAsia" w:ascii="宋体" w:hAnsi="宋体" w:cs="Arial"/>
                <w:color w:val="000000"/>
                <w:kern w:val="0"/>
                <w:sz w:val="30"/>
                <w:szCs w:val="30"/>
                <w:lang w:eastAsia="zh-CN"/>
              </w:rPr>
              <w:t>明细</w:t>
            </w:r>
            <w:r>
              <w:rPr>
                <w:rFonts w:hint="eastAsia" w:ascii="宋体" w:hAnsi="宋体" w:cs="Arial"/>
                <w:color w:val="000000"/>
                <w:kern w:val="0"/>
                <w:sz w:val="30"/>
                <w:szCs w:val="30"/>
              </w:rPr>
              <w:t>表</w:t>
            </w:r>
          </w:p>
        </w:tc>
      </w:tr>
      <w:tr>
        <w:tblPrEx>
          <w:tblCellMar>
            <w:top w:w="0" w:type="dxa"/>
            <w:left w:w="108" w:type="dxa"/>
            <w:bottom w:w="0" w:type="dxa"/>
            <w:right w:w="108" w:type="dxa"/>
          </w:tblCellMar>
        </w:tblPrEx>
        <w:trPr>
          <w:trHeight w:val="255" w:hRule="atLeast"/>
        </w:trPr>
        <w:tc>
          <w:tcPr>
            <w:tcW w:w="766"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333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193"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766"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223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952"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766"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4187" w:type="dxa"/>
            <w:gridSpan w:val="2"/>
            <w:tcBorders>
              <w:top w:val="nil"/>
              <w:left w:val="nil"/>
              <w:bottom w:val="nil"/>
              <w:right w:val="nil"/>
            </w:tcBorders>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公开06表</w:t>
            </w:r>
          </w:p>
        </w:tc>
      </w:tr>
      <w:tr>
        <w:tblPrEx>
          <w:tblCellMar>
            <w:top w:w="0" w:type="dxa"/>
            <w:left w:w="108" w:type="dxa"/>
            <w:bottom w:w="0" w:type="dxa"/>
            <w:right w:w="108" w:type="dxa"/>
          </w:tblCellMar>
        </w:tblPrEx>
        <w:trPr>
          <w:trHeight w:val="255" w:hRule="atLeast"/>
        </w:trPr>
        <w:tc>
          <w:tcPr>
            <w:tcW w:w="5289" w:type="dxa"/>
            <w:gridSpan w:val="3"/>
            <w:tcBorders>
              <w:top w:val="nil"/>
              <w:left w:val="nil"/>
              <w:bottom w:val="single" w:color="000000" w:sz="4" w:space="0"/>
              <w:right w:val="nil"/>
            </w:tcBorders>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单位</w:t>
            </w:r>
            <w:r>
              <w:rPr>
                <w:rFonts w:hint="eastAsia" w:ascii="宋体" w:hAnsi="宋体" w:cs="Arial"/>
                <w:color w:val="000000"/>
                <w:kern w:val="0"/>
                <w:sz w:val="18"/>
                <w:szCs w:val="18"/>
              </w:rPr>
              <w:t>：许昌市工商行政管理局经济检查支队</w:t>
            </w:r>
          </w:p>
        </w:tc>
        <w:tc>
          <w:tcPr>
            <w:tcW w:w="766"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223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952"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766"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4187" w:type="dxa"/>
            <w:gridSpan w:val="2"/>
            <w:tcBorders>
              <w:top w:val="nil"/>
              <w:left w:val="nil"/>
              <w:bottom w:val="single" w:color="000000" w:sz="4" w:space="0"/>
              <w:right w:val="nil"/>
            </w:tcBorders>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5289"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人员经费</w:t>
            </w:r>
          </w:p>
        </w:tc>
        <w:tc>
          <w:tcPr>
            <w:tcW w:w="8901" w:type="dxa"/>
            <w:gridSpan w:val="6"/>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公用经费</w:t>
            </w:r>
          </w:p>
        </w:tc>
      </w:tr>
      <w:tr>
        <w:tblPrEx>
          <w:tblCellMar>
            <w:top w:w="0" w:type="dxa"/>
            <w:left w:w="108" w:type="dxa"/>
            <w:bottom w:w="0" w:type="dxa"/>
            <w:right w:w="108" w:type="dxa"/>
          </w:tblCellMar>
        </w:tblPrEx>
        <w:trPr>
          <w:trHeight w:val="312" w:hRule="atLeast"/>
        </w:trPr>
        <w:tc>
          <w:tcPr>
            <w:tcW w:w="766"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333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193"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c>
          <w:tcPr>
            <w:tcW w:w="766"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223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952"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c>
          <w:tcPr>
            <w:tcW w:w="766"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2912"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275"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r>
      <w:tr>
        <w:tblPrEx>
          <w:tblCellMar>
            <w:top w:w="0" w:type="dxa"/>
            <w:left w:w="108" w:type="dxa"/>
            <w:bottom w:w="0" w:type="dxa"/>
            <w:right w:w="108" w:type="dxa"/>
          </w:tblCellMar>
        </w:tblPrEx>
        <w:trPr>
          <w:trHeight w:val="312" w:hRule="atLeast"/>
        </w:trPr>
        <w:tc>
          <w:tcPr>
            <w:tcW w:w="766"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33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9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76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23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5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76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91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27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工资福利支出</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414.89</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商品和服务支出</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51.39</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307</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债务利息及费用支出</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30101</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基本工资</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101.07</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30201</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办公费</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4.67</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30701</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国内债务付息</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30102</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津贴补贴</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82.14</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30202</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印刷费</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0.41</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30702</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国外债务付息</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30103</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奖金</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156.26</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30203</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咨询费</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资本性支出</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30106</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伙食补助费</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30204</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手续费</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31001</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房屋建筑物购建</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30107</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绩效工资</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30205</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水费</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31002</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办公设备购置</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30108</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25.20</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30206</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电费</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31003</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专用设备购置</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30109</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职业年金缴费</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30207</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邮电费</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4.27</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31005</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基础设施建设</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30110</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职工基本医疗保险缴费</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12.76</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30208</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取暖费</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31006</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大型修缮</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30111</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公务员医疗补助缴费</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12.16</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30209</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物业管理费</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31007</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信息网络及软件购置更新</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30112</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其他社会保障缴费</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0.17</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30211</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差旅费</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13.04</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31008</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物资储备</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30113</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住房公积金</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24.16</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30212</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因公出国（境）费用</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31009</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土地补偿</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30114</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医疗费</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30213</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维修（护）费</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0.29</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31010</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安置补助</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30199</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其他工资福利支出</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0.98</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30214</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租赁费</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31011</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地上附着物和青苗补偿</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对个人和家庭的补助</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48.62</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30215</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会议费</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31012</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拆迁补偿</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30301</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离休费</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30216</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培训费</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0.12</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31013</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公务用车购置</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30302</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退休费</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46.91</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30217</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公务接待费</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31019</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其他交通工具购置</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30303</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退职（役）费</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30218</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专用材料费</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31021</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文物和陈列品购置</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30304</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抚恤金</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30224</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被装购置费</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31022</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无形资产购置</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30305</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生活补助</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1.71</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30225</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专用燃料费</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31099</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其他资本性支出</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30306</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救济费</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30226</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劳务费</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1.19</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其他支出</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30307</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医疗费补助</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30227</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委托业务费</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1.04</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39906</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赠与</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30308</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助学金</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30228</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工会经费</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2.10</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39907</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国家赔偿费用支出</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30309</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奖励金</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30229</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福利费</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1.65</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39908</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对民间非营利组织和群众性自治组织补贴</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30310</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个人农业生产补贴</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30231</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公务用车运行维护费</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3.36</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39999</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其他支出</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30311</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代缴社会保险费</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30239</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其他交通费用</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18.86</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30399</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其他对个人和家庭的补助</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30240</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税金及附加费用</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30299</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其他商品和服务支出</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0.40</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096" w:type="dxa"/>
            <w:gridSpan w:val="2"/>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人员经费合计</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463.51</w:t>
            </w:r>
          </w:p>
        </w:tc>
        <w:tc>
          <w:tcPr>
            <w:tcW w:w="7626" w:type="dxa"/>
            <w:gridSpan w:val="5"/>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公用经费合计</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51.39</w:t>
            </w:r>
          </w:p>
        </w:tc>
      </w:tr>
      <w:tr>
        <w:tblPrEx>
          <w:tblCellMar>
            <w:top w:w="0" w:type="dxa"/>
            <w:left w:w="108" w:type="dxa"/>
            <w:bottom w:w="0" w:type="dxa"/>
            <w:right w:w="108" w:type="dxa"/>
          </w:tblCellMar>
        </w:tblPrEx>
        <w:trPr>
          <w:trHeight w:val="308" w:hRule="atLeast"/>
        </w:trPr>
        <w:tc>
          <w:tcPr>
            <w:tcW w:w="14190" w:type="dxa"/>
            <w:gridSpan w:val="9"/>
            <w:tcBorders>
              <w:top w:val="nil"/>
              <w:left w:val="nil"/>
              <w:bottom w:val="nil"/>
              <w:right w:val="nil"/>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180" w:type="dxa"/>
        <w:tblInd w:w="93" w:type="dxa"/>
        <w:tblLayout w:type="autofit"/>
        <w:tblCellMar>
          <w:top w:w="0" w:type="dxa"/>
          <w:left w:w="108" w:type="dxa"/>
          <w:bottom w:w="0" w:type="dxa"/>
          <w:right w:w="108" w:type="dxa"/>
        </w:tblCellMar>
      </w:tblPr>
      <w:tblGrid>
        <w:gridCol w:w="1080"/>
        <w:gridCol w:w="1160"/>
        <w:gridCol w:w="1180"/>
        <w:gridCol w:w="780"/>
        <w:gridCol w:w="1180"/>
        <w:gridCol w:w="1180"/>
        <w:gridCol w:w="1260"/>
        <w:gridCol w:w="1120"/>
        <w:gridCol w:w="1260"/>
        <w:gridCol w:w="1260"/>
        <w:gridCol w:w="1420"/>
        <w:gridCol w:w="1300"/>
      </w:tblGrid>
      <w:tr>
        <w:tblPrEx>
          <w:tblCellMar>
            <w:top w:w="0" w:type="dxa"/>
            <w:left w:w="108" w:type="dxa"/>
            <w:bottom w:w="0" w:type="dxa"/>
            <w:right w:w="108" w:type="dxa"/>
          </w:tblCellMar>
        </w:tblPrEx>
        <w:trPr>
          <w:trHeight w:val="540" w:hRule="atLeast"/>
        </w:trPr>
        <w:tc>
          <w:tcPr>
            <w:tcW w:w="14180" w:type="dxa"/>
            <w:gridSpan w:val="12"/>
            <w:tcBorders>
              <w:top w:val="nil"/>
              <w:left w:val="nil"/>
              <w:bottom w:val="nil"/>
              <w:right w:val="nil"/>
            </w:tcBorders>
            <w:noWrap/>
            <w:vAlign w:val="bottom"/>
          </w:tcPr>
          <w:p>
            <w:pPr>
              <w:widowControl/>
              <w:jc w:val="center"/>
              <w:rPr>
                <w:rFonts w:ascii="宋体" w:hAnsi="宋体" w:cs="Arial"/>
                <w:color w:val="000000"/>
                <w:kern w:val="0"/>
                <w:sz w:val="44"/>
                <w:szCs w:val="44"/>
              </w:rPr>
            </w:pPr>
            <w:r>
              <w:rPr>
                <w:rFonts w:hint="eastAsia" w:ascii="宋体" w:hAnsi="宋体" w:cs="Arial"/>
                <w:color w:val="000000"/>
                <w:kern w:val="0"/>
                <w:sz w:val="30"/>
                <w:szCs w:val="30"/>
              </w:rPr>
              <w:t>一般公共预算财政拨款“三公”经费支出决算表</w:t>
            </w:r>
          </w:p>
        </w:tc>
      </w:tr>
      <w:tr>
        <w:tblPrEx>
          <w:tblCellMar>
            <w:top w:w="0" w:type="dxa"/>
            <w:left w:w="108" w:type="dxa"/>
            <w:bottom w:w="0" w:type="dxa"/>
            <w:right w:w="108" w:type="dxa"/>
          </w:tblCellMar>
        </w:tblPrEx>
        <w:trPr>
          <w:trHeight w:val="255" w:hRule="atLeast"/>
        </w:trPr>
        <w:tc>
          <w:tcPr>
            <w:tcW w:w="108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16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18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78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18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18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26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12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26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26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2720" w:type="dxa"/>
            <w:gridSpan w:val="2"/>
            <w:tcBorders>
              <w:top w:val="nil"/>
              <w:left w:val="nil"/>
              <w:bottom w:val="nil"/>
              <w:right w:val="nil"/>
            </w:tcBorders>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公开07表</w:t>
            </w:r>
          </w:p>
        </w:tc>
      </w:tr>
      <w:tr>
        <w:tblPrEx>
          <w:tblCellMar>
            <w:top w:w="0" w:type="dxa"/>
            <w:left w:w="108" w:type="dxa"/>
            <w:bottom w:w="0" w:type="dxa"/>
            <w:right w:w="108" w:type="dxa"/>
          </w:tblCellMar>
        </w:tblPrEx>
        <w:trPr>
          <w:trHeight w:val="255" w:hRule="atLeast"/>
        </w:trPr>
        <w:tc>
          <w:tcPr>
            <w:tcW w:w="5380" w:type="dxa"/>
            <w:gridSpan w:val="5"/>
            <w:tcBorders>
              <w:top w:val="nil"/>
              <w:left w:val="nil"/>
              <w:bottom w:val="single" w:color="000000" w:sz="4" w:space="0"/>
              <w:right w:val="nil"/>
            </w:tcBorders>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单位</w:t>
            </w:r>
            <w:r>
              <w:rPr>
                <w:rFonts w:hint="eastAsia" w:ascii="宋体" w:hAnsi="宋体" w:cs="Arial"/>
                <w:color w:val="000000"/>
                <w:kern w:val="0"/>
                <w:sz w:val="18"/>
                <w:szCs w:val="18"/>
              </w:rPr>
              <w:t>：许昌市工商行政管理局经济检查支队</w:t>
            </w:r>
          </w:p>
        </w:tc>
        <w:tc>
          <w:tcPr>
            <w:tcW w:w="118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26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12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260" w:type="dxa"/>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3980" w:type="dxa"/>
            <w:gridSpan w:val="3"/>
            <w:tcBorders>
              <w:top w:val="nil"/>
              <w:left w:val="nil"/>
              <w:bottom w:val="single" w:color="000000" w:sz="4" w:space="0"/>
              <w:right w:val="nil"/>
            </w:tcBorders>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6560"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预算数</w:t>
            </w:r>
          </w:p>
        </w:tc>
        <w:tc>
          <w:tcPr>
            <w:tcW w:w="7620" w:type="dxa"/>
            <w:gridSpan w:val="6"/>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r>
      <w:tr>
        <w:tblPrEx>
          <w:tblCellMar>
            <w:top w:w="0" w:type="dxa"/>
            <w:left w:w="108" w:type="dxa"/>
            <w:bottom w:w="0" w:type="dxa"/>
            <w:right w:w="108" w:type="dxa"/>
          </w:tblCellMar>
        </w:tblPrEx>
        <w:trPr>
          <w:trHeight w:val="308" w:hRule="atLeast"/>
        </w:trPr>
        <w:tc>
          <w:tcPr>
            <w:tcW w:w="1080"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16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因公出国（境）费</w:t>
            </w:r>
          </w:p>
        </w:tc>
        <w:tc>
          <w:tcPr>
            <w:tcW w:w="3140" w:type="dxa"/>
            <w:gridSpan w:val="3"/>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公务用车购置及运行费</w:t>
            </w:r>
          </w:p>
        </w:tc>
        <w:tc>
          <w:tcPr>
            <w:tcW w:w="118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公务接待费</w:t>
            </w:r>
          </w:p>
        </w:tc>
        <w:tc>
          <w:tcPr>
            <w:tcW w:w="126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12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因公出国（境）费</w:t>
            </w:r>
          </w:p>
        </w:tc>
        <w:tc>
          <w:tcPr>
            <w:tcW w:w="3940" w:type="dxa"/>
            <w:gridSpan w:val="3"/>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公务用车购置及运行费</w:t>
            </w:r>
          </w:p>
        </w:tc>
        <w:tc>
          <w:tcPr>
            <w:tcW w:w="130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公务接待费</w:t>
            </w:r>
          </w:p>
        </w:tc>
      </w:tr>
      <w:tr>
        <w:tblPrEx>
          <w:tblCellMar>
            <w:top w:w="0" w:type="dxa"/>
            <w:left w:w="108" w:type="dxa"/>
            <w:bottom w:w="0" w:type="dxa"/>
            <w:right w:w="108" w:type="dxa"/>
          </w:tblCellMar>
        </w:tblPrEx>
        <w:trPr>
          <w:trHeight w:val="615" w:hRule="atLeast"/>
        </w:trPr>
        <w:tc>
          <w:tcPr>
            <w:tcW w:w="1080"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6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8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78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公务用车购置费</w:t>
            </w:r>
          </w:p>
        </w:tc>
        <w:tc>
          <w:tcPr>
            <w:tcW w:w="118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公务用车运行费</w:t>
            </w:r>
          </w:p>
        </w:tc>
        <w:tc>
          <w:tcPr>
            <w:tcW w:w="118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26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2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2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2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公务用车购置费</w:t>
            </w:r>
          </w:p>
        </w:tc>
        <w:tc>
          <w:tcPr>
            <w:tcW w:w="142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公务用车运行费</w:t>
            </w:r>
          </w:p>
        </w:tc>
        <w:tc>
          <w:tcPr>
            <w:tcW w:w="130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1080"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1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18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78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18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18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2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112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12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12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42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130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r>
      <w:tr>
        <w:tblPrEx>
          <w:tblCellMar>
            <w:top w:w="0" w:type="dxa"/>
            <w:left w:w="108" w:type="dxa"/>
            <w:bottom w:w="0" w:type="dxa"/>
            <w:right w:w="108" w:type="dxa"/>
          </w:tblCellMar>
        </w:tblPrEx>
        <w:trPr>
          <w:trHeight w:val="308" w:hRule="atLeast"/>
        </w:trPr>
        <w:tc>
          <w:tcPr>
            <w:tcW w:w="1080" w:type="dxa"/>
            <w:tcBorders>
              <w:top w:val="nil"/>
              <w:left w:val="single" w:color="000000" w:sz="4" w:space="0"/>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12.43</w:t>
            </w:r>
          </w:p>
        </w:tc>
        <w:tc>
          <w:tcPr>
            <w:tcW w:w="11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12.00</w:t>
            </w:r>
          </w:p>
        </w:tc>
        <w:tc>
          <w:tcPr>
            <w:tcW w:w="7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12.00</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0.43</w:t>
            </w:r>
          </w:p>
        </w:tc>
        <w:tc>
          <w:tcPr>
            <w:tcW w:w="12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3.36</w:t>
            </w:r>
          </w:p>
        </w:tc>
        <w:tc>
          <w:tcPr>
            <w:tcW w:w="112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3.36</w:t>
            </w:r>
          </w:p>
        </w:tc>
        <w:tc>
          <w:tcPr>
            <w:tcW w:w="126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2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3.36</w:t>
            </w:r>
          </w:p>
        </w:tc>
        <w:tc>
          <w:tcPr>
            <w:tcW w:w="13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615" w:hRule="atLeast"/>
        </w:trPr>
        <w:tc>
          <w:tcPr>
            <w:tcW w:w="14180" w:type="dxa"/>
            <w:gridSpan w:val="12"/>
            <w:tcBorders>
              <w:top w:val="nil"/>
              <w:left w:val="nil"/>
              <w:bottom w:val="nil"/>
              <w:right w:val="nil"/>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rPr>
      </w:pPr>
    </w:p>
    <w:tbl>
      <w:tblPr>
        <w:tblStyle w:val="5"/>
        <w:tblW w:w="13801" w:type="dxa"/>
        <w:tblInd w:w="93" w:type="dxa"/>
        <w:tblLayout w:type="autofit"/>
        <w:tblCellMar>
          <w:top w:w="0" w:type="dxa"/>
          <w:left w:w="108" w:type="dxa"/>
          <w:bottom w:w="0" w:type="dxa"/>
          <w:right w:w="108" w:type="dxa"/>
        </w:tblCellMar>
      </w:tblPr>
      <w:tblGrid>
        <w:gridCol w:w="3636"/>
        <w:gridCol w:w="222"/>
        <w:gridCol w:w="222"/>
        <w:gridCol w:w="1096"/>
        <w:gridCol w:w="1416"/>
        <w:gridCol w:w="1416"/>
        <w:gridCol w:w="1416"/>
        <w:gridCol w:w="1416"/>
        <w:gridCol w:w="1416"/>
        <w:gridCol w:w="1545"/>
      </w:tblGrid>
      <w:tr>
        <w:tblPrEx>
          <w:tblCellMar>
            <w:top w:w="0" w:type="dxa"/>
            <w:left w:w="108" w:type="dxa"/>
            <w:bottom w:w="0" w:type="dxa"/>
            <w:right w:w="108" w:type="dxa"/>
          </w:tblCellMar>
        </w:tblPrEx>
        <w:trPr>
          <w:trHeight w:val="390" w:hRule="atLeast"/>
        </w:trPr>
        <w:tc>
          <w:tcPr>
            <w:tcW w:w="13801" w:type="dxa"/>
            <w:gridSpan w:val="10"/>
            <w:tcBorders>
              <w:top w:val="nil"/>
              <w:left w:val="nil"/>
              <w:bottom w:val="nil"/>
              <w:right w:val="nil"/>
            </w:tcBorders>
            <w:noWrap/>
            <w:vAlign w:val="bottom"/>
          </w:tcPr>
          <w:p>
            <w:pPr>
              <w:widowControl/>
              <w:jc w:val="both"/>
              <w:textAlignment w:val="bottom"/>
              <w:rPr>
                <w:rFonts w:hint="eastAsia" w:ascii="宋体" w:hAnsi="宋体" w:cs="宋体"/>
                <w:color w:val="000000"/>
                <w:kern w:val="0"/>
                <w:sz w:val="30"/>
                <w:szCs w:val="30"/>
                <w:lang w:bidi="ar"/>
              </w:rPr>
            </w:pPr>
          </w:p>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lang w:bidi="ar"/>
              </w:rPr>
              <w:t>政府性基金预算财政拨款收入支出决算表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公开08表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widowControl/>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eastAsia="zh-CN" w:bidi="ar"/>
              </w:rPr>
              <w:t>单位</w:t>
            </w:r>
            <w:r>
              <w:rPr>
                <w:rFonts w:hint="eastAsia" w:ascii="宋体" w:hAnsi="宋体" w:cs="宋体"/>
                <w:color w:val="000000"/>
                <w:kern w:val="0"/>
                <w:sz w:val="18"/>
                <w:szCs w:val="18"/>
                <w:lang w:bidi="ar"/>
              </w:rPr>
              <w:t>：许昌市工商行政管理局经济检查支队</w:t>
            </w: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1416"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年初结转和结余</w:t>
            </w:r>
          </w:p>
        </w:tc>
        <w:tc>
          <w:tcPr>
            <w:tcW w:w="1416"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本年收入</w:t>
            </w:r>
          </w:p>
        </w:tc>
        <w:tc>
          <w:tcPr>
            <w:tcW w:w="4248" w:type="dxa"/>
            <w:gridSpan w:val="3"/>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本年支出</w:t>
            </w:r>
          </w:p>
        </w:tc>
        <w:tc>
          <w:tcPr>
            <w:tcW w:w="1545"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年末结转和结余</w:t>
            </w:r>
          </w:p>
        </w:tc>
      </w:tr>
      <w:tr>
        <w:tblPrEx>
          <w:tblCellMar>
            <w:top w:w="0" w:type="dxa"/>
            <w:left w:w="108" w:type="dxa"/>
            <w:bottom w:w="0" w:type="dxa"/>
            <w:right w:w="108" w:type="dxa"/>
          </w:tblCellMar>
        </w:tblPrEx>
        <w:trPr>
          <w:trHeight w:val="312" w:hRule="atLeast"/>
        </w:trPr>
        <w:tc>
          <w:tcPr>
            <w:tcW w:w="4080"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14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4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416"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小计</w:t>
            </w:r>
          </w:p>
        </w:tc>
        <w:tc>
          <w:tcPr>
            <w:tcW w:w="1416"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w:t>
            </w:r>
          </w:p>
        </w:tc>
        <w:tc>
          <w:tcPr>
            <w:tcW w:w="1416"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w:t>
            </w:r>
          </w:p>
        </w:tc>
        <w:tc>
          <w:tcPr>
            <w:tcW w:w="15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12" w:hRule="atLeast"/>
        </w:trPr>
        <w:tc>
          <w:tcPr>
            <w:tcW w:w="408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14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4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4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4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4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12" w:hRule="atLeast"/>
        </w:trPr>
        <w:tc>
          <w:tcPr>
            <w:tcW w:w="408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cs="宋体"/>
                <w:color w:val="000000"/>
                <w:sz w:val="22"/>
              </w:rPr>
            </w:pPr>
          </w:p>
        </w:tc>
        <w:tc>
          <w:tcPr>
            <w:tcW w:w="14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4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4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4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4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注：本表反映</w:t>
            </w:r>
            <w:r>
              <w:rPr>
                <w:rFonts w:hint="eastAsia" w:ascii="宋体" w:hAnsi="宋体" w:cs="宋体"/>
                <w:color w:val="000000"/>
                <w:kern w:val="0"/>
                <w:sz w:val="22"/>
                <w:lang w:eastAsia="zh-CN" w:bidi="ar"/>
              </w:rPr>
              <w:t>单位</w:t>
            </w:r>
            <w:r>
              <w:rPr>
                <w:rFonts w:hint="eastAsia" w:ascii="宋体" w:hAnsi="宋体" w:cs="宋体"/>
                <w:color w:val="000000"/>
                <w:kern w:val="0"/>
                <w:sz w:val="22"/>
                <w:lang w:bidi="ar"/>
              </w:rPr>
              <w:t>本年度政府性基金预算财政拨款收入、支出及结转和结余情况。本表金额转换为万元时，因四舍五入可能存在尾差。</w:t>
            </w:r>
          </w:p>
          <w:p>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说明：我</w:t>
            </w:r>
            <w:r>
              <w:rPr>
                <w:rFonts w:hint="eastAsia" w:ascii="宋体" w:hAnsi="宋体" w:cs="宋体"/>
                <w:color w:val="000000"/>
                <w:kern w:val="0"/>
                <w:sz w:val="22"/>
                <w:lang w:eastAsia="zh-CN" w:bidi="ar"/>
              </w:rPr>
              <w:t>单位</w:t>
            </w:r>
            <w:r>
              <w:rPr>
                <w:rFonts w:hint="eastAsia" w:ascii="宋体" w:hAnsi="宋体" w:cs="宋体"/>
                <w:color w:val="000000"/>
                <w:kern w:val="0"/>
                <w:sz w:val="22"/>
                <w:lang w:bidi="ar"/>
              </w:rPr>
              <w:t>没有政府性基金收入，也没有使用政府性基金安排的支出，故本表无数据。</w:t>
            </w:r>
          </w:p>
          <w:p>
            <w:pPr>
              <w:widowControl/>
              <w:jc w:val="left"/>
              <w:textAlignment w:val="center"/>
              <w:rPr>
                <w:rFonts w:hint="eastAsia" w:ascii="宋体" w:hAnsi="宋体" w:cs="宋体"/>
                <w:color w:val="000000"/>
                <w:kern w:val="0"/>
                <w:sz w:val="22"/>
                <w:lang w:bidi="ar"/>
              </w:rPr>
            </w:pPr>
          </w:p>
        </w:tc>
      </w:tr>
    </w:tbl>
    <w:p>
      <w:pPr>
        <w:widowControl/>
        <w:spacing w:line="590" w:lineRule="exact"/>
        <w:jc w:val="left"/>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第三部分 2021年度</w:t>
      </w:r>
      <w:r>
        <w:rPr>
          <w:rFonts w:hint="eastAsia" w:ascii="黑体" w:hAnsi="黑体" w:eastAsia="黑体" w:cs="黑体"/>
          <w:sz w:val="48"/>
          <w:szCs w:val="48"/>
          <w:lang w:eastAsia="zh-CN"/>
        </w:rPr>
        <w:t>单位</w:t>
      </w:r>
      <w:r>
        <w:rPr>
          <w:rFonts w:hint="eastAsia" w:ascii="黑体" w:hAnsi="黑体" w:eastAsia="黑体" w:cs="黑体"/>
          <w:sz w:val="48"/>
          <w:szCs w:val="48"/>
        </w:rPr>
        <w:t>决算情况说明</w:t>
      </w:r>
    </w:p>
    <w:p>
      <w:pPr>
        <w:widowControl/>
        <w:jc w:val="left"/>
        <w:rPr>
          <w:rFonts w:hint="eastAsia"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w:t>
      </w:r>
      <w:r>
        <w:rPr>
          <w:rFonts w:ascii="仿宋_GB2312" w:eastAsia="仿宋_GB2312" w:cs="仿宋_GB2312"/>
          <w:sz w:val="32"/>
          <w:szCs w:val="32"/>
        </w:rPr>
        <w:t>558.96</w:t>
      </w:r>
      <w:r>
        <w:rPr>
          <w:rFonts w:hint="eastAsia" w:ascii="仿宋_GB2312" w:hAnsi="仿宋_GB2312" w:eastAsia="仿宋_GB2312" w:cs="仿宋_GB2312"/>
          <w:sz w:val="32"/>
          <w:szCs w:val="32"/>
        </w:rPr>
        <w:t>万元。与上年度相比，收、支总计各减少</w:t>
      </w:r>
      <w:r>
        <w:rPr>
          <w:rFonts w:ascii="仿宋_GB2312" w:hAnsi="仿宋_GB2312" w:eastAsia="仿宋_GB2312"/>
          <w:sz w:val="32"/>
          <w:szCs w:val="24"/>
        </w:rPr>
        <w:t>29.69</w:t>
      </w:r>
      <w:r>
        <w:rPr>
          <w:rFonts w:hint="eastAsia" w:ascii="仿宋_GB2312" w:hAnsi="仿宋_GB2312" w:eastAsia="仿宋_GB2312" w:cs="仿宋_GB2312"/>
          <w:sz w:val="32"/>
          <w:szCs w:val="32"/>
        </w:rPr>
        <w:t>万元，下降</w:t>
      </w:r>
      <w:r>
        <w:rPr>
          <w:rFonts w:hint="eastAsia" w:ascii="仿宋_GB2312" w:hAnsi="仿宋_GB2312" w:eastAsia="仿宋_GB2312"/>
          <w:sz w:val="32"/>
          <w:szCs w:val="24"/>
          <w:highlight w:val="none"/>
        </w:rPr>
        <w:t>5.0</w:t>
      </w:r>
      <w:r>
        <w:rPr>
          <w:rFonts w:hint="eastAsia" w:ascii="仿宋_GB2312" w:hAnsi="仿宋_GB2312" w:eastAsia="仿宋_GB2312"/>
          <w:sz w:val="32"/>
          <w:szCs w:val="24"/>
          <w:highlight w:val="none"/>
          <w:lang w:val="en-US" w:eastAsia="zh-CN"/>
        </w:rPr>
        <w:t>4</w:t>
      </w:r>
      <w:r>
        <w:rPr>
          <w:rFonts w:hint="eastAsia" w:ascii="仿宋_GB2312" w:hAnsi="仿宋_GB2312" w:eastAsia="仿宋_GB2312" w:cs="仿宋_GB2312"/>
          <w:sz w:val="32"/>
          <w:szCs w:val="32"/>
        </w:rPr>
        <w:t>%。主要原因是按照上级要求，压缩了项目经费；严格按照中央“八项规定”精神，厉行节约压减一般性支出。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w:t>
      </w:r>
      <w:r>
        <w:rPr>
          <w:rFonts w:ascii="仿宋_GB2312" w:hAnsi="仿宋_GB2312" w:eastAsia="仿宋_GB2312"/>
          <w:sz w:val="32"/>
          <w:szCs w:val="24"/>
        </w:rPr>
        <w:t>479.44</w:t>
      </w:r>
      <w:r>
        <w:rPr>
          <w:rFonts w:hint="eastAsia" w:ascii="仿宋_GB2312" w:hAnsi="仿宋_GB2312" w:eastAsia="仿宋_GB2312" w:cs="仿宋_GB2312"/>
          <w:sz w:val="32"/>
          <w:szCs w:val="32"/>
        </w:rPr>
        <w:t>万元，其中：财政拨款收入</w:t>
      </w:r>
      <w:r>
        <w:rPr>
          <w:rFonts w:ascii="仿宋_GB2312" w:hAnsi="仿宋_GB2312" w:eastAsia="仿宋_GB2312"/>
          <w:sz w:val="32"/>
          <w:szCs w:val="24"/>
        </w:rPr>
        <w:t>479.44</w:t>
      </w:r>
      <w:r>
        <w:rPr>
          <w:rFonts w:hint="eastAsia" w:ascii="仿宋_GB2312" w:hAnsi="仿宋_GB2312" w:eastAsia="仿宋_GB2312" w:cs="仿宋_GB2312"/>
          <w:sz w:val="32"/>
          <w:szCs w:val="32"/>
        </w:rPr>
        <w:t>万元，占</w:t>
      </w:r>
      <w:r>
        <w:rPr>
          <w:rFonts w:hint="eastAsia" w:ascii="仿宋_GB2312" w:hAnsi="仿宋_GB2312" w:eastAsia="仿宋_GB2312"/>
          <w:sz w:val="32"/>
          <w:szCs w:val="24"/>
        </w:rPr>
        <w:t>100</w:t>
      </w:r>
      <w:r>
        <w:rPr>
          <w:rFonts w:hint="eastAsia" w:ascii="仿宋_GB2312" w:hAnsi="仿宋_GB2312" w:eastAsia="仿宋_GB2312" w:cs="仿宋_GB2312"/>
          <w:sz w:val="32"/>
          <w:szCs w:val="32"/>
        </w:rPr>
        <w:t>%；上级补助收入0.00万元，占0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%；事业收入0.00万元，占0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%；经营收入0.00万元，占0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%；附属单位上缴收入0.00万元，占0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%；其他收入0.00万元，占0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三、支出决算情况说明</w:t>
      </w:r>
    </w:p>
    <w:p>
      <w:pPr>
        <w:autoSpaceDE w:val="0"/>
        <w:autoSpaceDN w:val="0"/>
        <w:adjustRightInd w:val="0"/>
        <w:spacing w:line="590" w:lineRule="exact"/>
        <w:ind w:firstLine="640"/>
        <w:rPr>
          <w:rFonts w:hint="eastAsia" w:eastAsia="仿宋_GB2312"/>
          <w:kern w:val="0"/>
          <w:sz w:val="18"/>
          <w:szCs w:val="18"/>
          <w:lang w:val="zh-CN" w:eastAsia="zh-CN"/>
        </w:rPr>
      </w:pPr>
      <w:r>
        <w:rPr>
          <w:rFonts w:ascii="仿宋_GB2312" w:eastAsia="仿宋_GB2312" w:cs="仿宋_GB2312"/>
          <w:sz w:val="32"/>
          <w:szCs w:val="32"/>
        </w:rPr>
        <w:t>2021</w:t>
      </w:r>
      <w:r>
        <w:rPr>
          <w:rFonts w:hint="eastAsia" w:ascii="仿宋_GB2312" w:eastAsia="仿宋_GB2312" w:cs="仿宋_GB2312"/>
          <w:sz w:val="32"/>
          <w:szCs w:val="32"/>
        </w:rPr>
        <w:t>年度支出合计</w:t>
      </w:r>
      <w:r>
        <w:rPr>
          <w:rFonts w:ascii="仿宋_GB2312" w:eastAsia="仿宋_GB2312" w:cs="仿宋_GB2312"/>
          <w:sz w:val="32"/>
          <w:szCs w:val="32"/>
        </w:rPr>
        <w:t>523.92</w:t>
      </w:r>
      <w:r>
        <w:rPr>
          <w:rFonts w:hint="eastAsia" w:ascii="仿宋_GB2312" w:eastAsia="仿宋_GB2312" w:cs="仿宋_GB2312"/>
          <w:sz w:val="32"/>
          <w:szCs w:val="32"/>
        </w:rPr>
        <w:t>万元，其中：基本支出</w:t>
      </w:r>
      <w:r>
        <w:rPr>
          <w:rFonts w:ascii="仿宋_GB2312" w:eastAsia="仿宋_GB2312" w:cs="仿宋_GB2312"/>
          <w:sz w:val="32"/>
          <w:szCs w:val="32"/>
        </w:rPr>
        <w:t>514.9</w:t>
      </w:r>
      <w:r>
        <w:rPr>
          <w:rFonts w:hint="eastAsia" w:ascii="仿宋_GB2312" w:eastAsia="仿宋_GB2312" w:cs="仿宋_GB2312"/>
          <w:sz w:val="32"/>
          <w:szCs w:val="32"/>
        </w:rPr>
        <w:t>万元，占</w:t>
      </w:r>
      <w:r>
        <w:rPr>
          <w:rFonts w:ascii="仿宋_GB2312" w:eastAsia="仿宋_GB2312" w:cs="仿宋_GB2312"/>
          <w:sz w:val="32"/>
          <w:szCs w:val="32"/>
        </w:rPr>
        <w:t>98.28%</w:t>
      </w:r>
      <w:r>
        <w:rPr>
          <w:rFonts w:hint="eastAsia" w:ascii="仿宋_GB2312" w:eastAsia="仿宋_GB2312" w:cs="仿宋_GB2312"/>
          <w:sz w:val="32"/>
          <w:szCs w:val="32"/>
        </w:rPr>
        <w:t>；项目支出</w:t>
      </w:r>
      <w:r>
        <w:rPr>
          <w:rFonts w:ascii="仿宋_GB2312" w:eastAsia="仿宋_GB2312" w:cs="仿宋_GB2312"/>
          <w:sz w:val="32"/>
          <w:szCs w:val="32"/>
        </w:rPr>
        <w:t>9.02</w:t>
      </w:r>
      <w:r>
        <w:rPr>
          <w:rFonts w:hint="eastAsia" w:ascii="仿宋_GB2312" w:eastAsia="仿宋_GB2312" w:cs="仿宋_GB2312"/>
          <w:sz w:val="32"/>
          <w:szCs w:val="32"/>
        </w:rPr>
        <w:t>万元，占</w:t>
      </w:r>
      <w:r>
        <w:rPr>
          <w:rFonts w:ascii="仿宋_GB2312" w:eastAsia="仿宋_GB2312" w:cs="仿宋_GB2312"/>
          <w:sz w:val="32"/>
          <w:szCs w:val="32"/>
        </w:rPr>
        <w:t>1.72%</w:t>
      </w:r>
      <w:r>
        <w:rPr>
          <w:rFonts w:hint="eastAsia" w:ascii="仿宋_GB2312" w:eastAsia="仿宋_GB2312" w:cs="仿宋_GB2312"/>
          <w:sz w:val="32"/>
          <w:szCs w:val="32"/>
        </w:rPr>
        <w:t>；上缴上级支出</w:t>
      </w:r>
      <w:r>
        <w:rPr>
          <w:rFonts w:hint="eastAsia" w:ascii="仿宋_GB2312" w:eastAsia="仿宋_GB2312" w:cs="仿宋_GB2312"/>
          <w:sz w:val="32"/>
          <w:szCs w:val="32"/>
          <w:lang w:val="en-US" w:eastAsia="zh-CN"/>
        </w:rPr>
        <w:t>0.00</w:t>
      </w:r>
      <w:r>
        <w:rPr>
          <w:rFonts w:hint="eastAsia" w:ascii="仿宋_GB2312" w:eastAsia="仿宋_GB2312" w:cs="仿宋_GB2312"/>
          <w:sz w:val="32"/>
          <w:szCs w:val="32"/>
        </w:rPr>
        <w:t>万元，</w:t>
      </w:r>
      <w:r>
        <w:rPr>
          <w:rFonts w:hint="eastAsia" w:ascii="仿宋_GB2312" w:hAnsi="仿宋_GB2312" w:eastAsia="仿宋_GB2312" w:cs="仿宋_GB2312"/>
          <w:sz w:val="32"/>
          <w:szCs w:val="32"/>
        </w:rPr>
        <w:t>占0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w:t>
      </w:r>
      <w:r>
        <w:rPr>
          <w:rFonts w:hint="eastAsia" w:ascii="仿宋_GB2312" w:eastAsia="仿宋_GB2312" w:cs="仿宋_GB2312"/>
          <w:sz w:val="32"/>
          <w:szCs w:val="32"/>
        </w:rPr>
        <w:t>经营支出</w:t>
      </w:r>
      <w:r>
        <w:rPr>
          <w:rFonts w:hint="eastAsia" w:ascii="仿宋_GB2312" w:eastAsia="仿宋_GB2312" w:cs="仿宋_GB2312"/>
          <w:sz w:val="32"/>
          <w:szCs w:val="32"/>
          <w:lang w:val="en-US" w:eastAsia="zh-CN"/>
        </w:rPr>
        <w:t>0.00</w:t>
      </w:r>
      <w:r>
        <w:rPr>
          <w:rFonts w:hint="eastAsia" w:ascii="仿宋_GB2312" w:eastAsia="仿宋_GB2312" w:cs="仿宋_GB2312"/>
          <w:sz w:val="32"/>
          <w:szCs w:val="32"/>
        </w:rPr>
        <w:t>万元，</w:t>
      </w:r>
      <w:r>
        <w:rPr>
          <w:rFonts w:hint="eastAsia" w:ascii="仿宋_GB2312" w:hAnsi="仿宋_GB2312" w:eastAsia="仿宋_GB2312" w:cs="仿宋_GB2312"/>
          <w:sz w:val="32"/>
          <w:szCs w:val="32"/>
        </w:rPr>
        <w:t>占0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w:t>
      </w:r>
      <w:r>
        <w:rPr>
          <w:rFonts w:hint="eastAsia" w:ascii="仿宋_GB2312" w:eastAsia="仿宋_GB2312" w:cs="仿宋_GB2312"/>
          <w:sz w:val="32"/>
          <w:szCs w:val="32"/>
        </w:rPr>
        <w:t>对附属单位补助支出</w:t>
      </w:r>
      <w:r>
        <w:rPr>
          <w:rFonts w:hint="eastAsia" w:ascii="仿宋_GB2312" w:eastAsia="仿宋_GB2312" w:cs="仿宋_GB2312"/>
          <w:sz w:val="32"/>
          <w:szCs w:val="32"/>
          <w:lang w:val="en-US" w:eastAsia="zh-CN"/>
        </w:rPr>
        <w:t>0.00</w:t>
      </w:r>
      <w:r>
        <w:rPr>
          <w:rFonts w:hint="eastAsia" w:ascii="仿宋_GB2312" w:eastAsia="仿宋_GB2312" w:cs="仿宋_GB2312"/>
          <w:sz w:val="32"/>
          <w:szCs w:val="32"/>
        </w:rPr>
        <w:t>万元，</w:t>
      </w:r>
      <w:r>
        <w:rPr>
          <w:rFonts w:hint="eastAsia" w:ascii="仿宋_GB2312" w:hAnsi="仿宋_GB2312" w:eastAsia="仿宋_GB2312" w:cs="仿宋_GB2312"/>
          <w:sz w:val="32"/>
          <w:szCs w:val="32"/>
        </w:rPr>
        <w:t>占0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w:t>
      </w:r>
      <w:r>
        <w:rPr>
          <w:rFonts w:ascii="仿宋_GB2312" w:eastAsia="仿宋_GB2312" w:cs="仿宋_GB2312"/>
          <w:sz w:val="32"/>
          <w:szCs w:val="32"/>
        </w:rPr>
        <w:t>523.92</w:t>
      </w:r>
      <w:r>
        <w:rPr>
          <w:rFonts w:hint="eastAsia" w:ascii="仿宋_GB2312" w:eastAsia="仿宋_GB2312" w:cs="仿宋_GB2312"/>
          <w:sz w:val="32"/>
          <w:szCs w:val="32"/>
        </w:rPr>
        <w:t>万元。</w:t>
      </w:r>
      <w:r>
        <w:rPr>
          <w:rFonts w:hint="eastAsia" w:ascii="仿宋_GB2312" w:hAnsi="仿宋_GB2312" w:eastAsia="仿宋_GB2312" w:cs="仿宋_GB2312"/>
          <w:sz w:val="32"/>
          <w:szCs w:val="32"/>
        </w:rPr>
        <w:t>与上年度相比，财政拨款收、支总计各减少</w:t>
      </w:r>
      <w:r>
        <w:rPr>
          <w:rFonts w:ascii="仿宋_GB2312" w:eastAsia="仿宋_GB2312" w:cs="仿宋_GB2312"/>
          <w:sz w:val="32"/>
          <w:szCs w:val="32"/>
        </w:rPr>
        <w:t>61.24</w:t>
      </w:r>
      <w:r>
        <w:rPr>
          <w:rFonts w:hint="eastAsia" w:ascii="仿宋_GB2312" w:hAnsi="仿宋_GB2312" w:eastAsia="仿宋_GB2312" w:cs="仿宋_GB2312"/>
          <w:sz w:val="32"/>
          <w:szCs w:val="32"/>
        </w:rPr>
        <w:t>万元，下降</w:t>
      </w:r>
      <w:r>
        <w:rPr>
          <w:rFonts w:hint="eastAsia" w:ascii="仿宋_GB2312" w:hAnsi="仿宋_GB2312" w:eastAsia="仿宋_GB2312"/>
          <w:sz w:val="32"/>
          <w:szCs w:val="24"/>
        </w:rPr>
        <w:t>10.47</w:t>
      </w:r>
      <w:r>
        <w:rPr>
          <w:rFonts w:hint="eastAsia" w:ascii="仿宋_GB2312" w:hAnsi="仿宋_GB2312" w:eastAsia="仿宋_GB2312" w:cs="仿宋_GB2312"/>
          <w:sz w:val="32"/>
          <w:szCs w:val="32"/>
        </w:rPr>
        <w:t>%。主要原因是按照上级要求，压缩了项目经费；严格按照中央“八项规定”精神，压减一般性支出。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w:t>
      </w:r>
      <w:r>
        <w:rPr>
          <w:rFonts w:ascii="仿宋_GB2312" w:eastAsia="仿宋_GB2312" w:cs="仿宋_GB2312"/>
          <w:sz w:val="32"/>
          <w:szCs w:val="32"/>
        </w:rPr>
        <w:t>523.92</w:t>
      </w:r>
      <w:r>
        <w:rPr>
          <w:rFonts w:hint="eastAsia" w:ascii="仿宋_GB2312" w:hAnsi="仿宋_GB2312" w:eastAsia="仿宋_GB2312" w:cs="仿宋_GB2312"/>
          <w:sz w:val="32"/>
          <w:szCs w:val="32"/>
        </w:rPr>
        <w:t>万元，占支出合计的</w:t>
      </w:r>
      <w:r>
        <w:rPr>
          <w:rFonts w:hint="eastAsia" w:ascii="仿宋_GB2312" w:hAnsi="仿宋_GB2312" w:eastAsia="仿宋_GB2312"/>
          <w:sz w:val="32"/>
          <w:szCs w:val="24"/>
        </w:rPr>
        <w:t>100</w:t>
      </w:r>
      <w:r>
        <w:rPr>
          <w:rFonts w:hint="eastAsia" w:ascii="仿宋_GB2312" w:hAnsi="仿宋_GB2312" w:eastAsia="仿宋_GB2312"/>
          <w:sz w:val="32"/>
          <w:szCs w:val="24"/>
          <w:lang w:val="en-US" w:eastAsia="zh-CN"/>
        </w:rPr>
        <w:t>.00</w:t>
      </w:r>
      <w:r>
        <w:rPr>
          <w:rFonts w:hint="eastAsia" w:ascii="仿宋_GB2312" w:hAnsi="仿宋_GB2312" w:eastAsia="仿宋_GB2312" w:cs="仿宋_GB2312"/>
          <w:sz w:val="32"/>
          <w:szCs w:val="32"/>
        </w:rPr>
        <w:t>%。与上年度相比，一般公共预算财政拨款支出增加</w:t>
      </w:r>
      <w:r>
        <w:rPr>
          <w:rFonts w:ascii="仿宋_GB2312" w:eastAsia="仿宋_GB2312" w:cs="仿宋_GB2312"/>
          <w:sz w:val="32"/>
          <w:szCs w:val="32"/>
        </w:rPr>
        <w:t>22.54</w:t>
      </w:r>
      <w:r>
        <w:rPr>
          <w:rFonts w:hint="eastAsia" w:ascii="仿宋_GB2312" w:hAnsi="仿宋_GB2312" w:eastAsia="仿宋_GB2312" w:cs="仿宋_GB2312"/>
          <w:sz w:val="32"/>
          <w:szCs w:val="32"/>
        </w:rPr>
        <w:t>万元，增长</w:t>
      </w:r>
      <w:r>
        <w:rPr>
          <w:rFonts w:hint="eastAsia" w:ascii="仿宋_GB2312" w:hAnsi="仿宋_GB2312" w:eastAsia="仿宋_GB2312"/>
          <w:sz w:val="32"/>
          <w:szCs w:val="24"/>
        </w:rPr>
        <w:t>4.5</w:t>
      </w:r>
      <w:r>
        <w:rPr>
          <w:rFonts w:hint="eastAsia" w:ascii="仿宋_GB2312" w:hAnsi="仿宋_GB2312" w:eastAsia="仿宋_GB2312"/>
          <w:sz w:val="32"/>
          <w:szCs w:val="24"/>
          <w:lang w:val="en-US" w:eastAsia="zh-CN"/>
        </w:rPr>
        <w:t>0</w:t>
      </w:r>
      <w:r>
        <w:rPr>
          <w:rFonts w:hint="eastAsia" w:ascii="仿宋_GB2312" w:hAnsi="仿宋_GB2312" w:eastAsia="仿宋_GB2312" w:cs="仿宋_GB2312"/>
          <w:sz w:val="32"/>
          <w:szCs w:val="32"/>
        </w:rPr>
        <w:t>%。主要原因是2021年人员职级晋升、晋级晋档，养老缴费基数进行了调整。</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szCs w:val="21"/>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w:t>
      </w:r>
      <w:r>
        <w:rPr>
          <w:rFonts w:ascii="仿宋_GB2312" w:eastAsia="仿宋_GB2312" w:cs="仿宋_GB2312"/>
          <w:sz w:val="32"/>
          <w:szCs w:val="32"/>
        </w:rPr>
        <w:t>523.92</w:t>
      </w:r>
      <w:r>
        <w:rPr>
          <w:rFonts w:hint="eastAsia" w:ascii="仿宋_GB2312" w:hAnsi="仿宋_GB2312" w:eastAsia="仿宋_GB2312" w:cs="仿宋_GB2312"/>
          <w:sz w:val="32"/>
          <w:szCs w:val="32"/>
        </w:rPr>
        <w:t>万元，主要用于以下方面：</w:t>
      </w:r>
      <w:r>
        <w:rPr>
          <w:rFonts w:hint="eastAsia" w:ascii="仿宋_GB2312" w:eastAsia="仿宋_GB2312" w:cs="宋体"/>
          <w:kern w:val="0"/>
          <w:sz w:val="32"/>
          <w:szCs w:val="32"/>
          <w:lang w:val="zh-CN"/>
        </w:rPr>
        <w:t>一般公共服务（类）支出</w:t>
      </w:r>
      <w:r>
        <w:rPr>
          <w:rFonts w:hint="eastAsia" w:ascii="仿宋_GB2312" w:eastAsia="仿宋_GB2312" w:cs="宋体"/>
          <w:kern w:val="0"/>
          <w:sz w:val="32"/>
          <w:szCs w:val="32"/>
        </w:rPr>
        <w:t>428.42</w:t>
      </w:r>
      <w:r>
        <w:rPr>
          <w:rFonts w:hint="eastAsia" w:ascii="仿宋_GB2312" w:eastAsia="仿宋_GB2312" w:cs="宋体"/>
          <w:kern w:val="0"/>
          <w:sz w:val="32"/>
          <w:szCs w:val="32"/>
          <w:lang w:val="zh-CN"/>
        </w:rPr>
        <w:t>万元，占</w:t>
      </w:r>
      <w:r>
        <w:rPr>
          <w:rFonts w:hint="eastAsia" w:ascii="仿宋_GB2312" w:eastAsia="仿宋_GB2312" w:cs="宋体"/>
          <w:kern w:val="0"/>
          <w:sz w:val="32"/>
          <w:szCs w:val="32"/>
        </w:rPr>
        <w:t>81.77</w:t>
      </w:r>
      <w:r>
        <w:rPr>
          <w:rFonts w:ascii="仿宋_GB2312" w:eastAsia="仿宋_GB2312" w:cs="宋体"/>
          <w:kern w:val="0"/>
          <w:sz w:val="32"/>
          <w:szCs w:val="32"/>
          <w:lang w:val="zh-CN"/>
        </w:rPr>
        <w:t>%</w:t>
      </w:r>
      <w:r>
        <w:rPr>
          <w:rFonts w:hint="eastAsia" w:ascii="仿宋_GB2312" w:eastAsia="仿宋_GB2312" w:cs="宋体"/>
          <w:kern w:val="0"/>
          <w:sz w:val="32"/>
          <w:szCs w:val="32"/>
          <w:lang w:val="zh-CN"/>
        </w:rPr>
        <w:t>；</w:t>
      </w:r>
      <w:r>
        <w:rPr>
          <w:rFonts w:hint="eastAsia" w:ascii="仿宋" w:hAnsi="仿宋" w:eastAsia="仿宋"/>
          <w:sz w:val="32"/>
          <w:szCs w:val="32"/>
        </w:rPr>
        <w:t>社会保障和就业（类）支出</w:t>
      </w:r>
      <w:r>
        <w:rPr>
          <w:rFonts w:hint="eastAsia" w:ascii="仿宋_GB2312" w:hAnsi="仿宋_GB2312" w:eastAsia="仿宋_GB2312" w:cs="仿宋_GB2312"/>
          <w:sz w:val="32"/>
          <w:szCs w:val="32"/>
        </w:rPr>
        <w:t>71.69</w:t>
      </w:r>
      <w:r>
        <w:rPr>
          <w:rFonts w:hint="eastAsia" w:ascii="仿宋_GB2312" w:eastAsia="仿宋_GB2312" w:cs="宋体"/>
          <w:kern w:val="0"/>
          <w:sz w:val="32"/>
          <w:szCs w:val="32"/>
          <w:lang w:val="zh-CN"/>
        </w:rPr>
        <w:t>万元，占</w:t>
      </w:r>
      <w:r>
        <w:rPr>
          <w:rFonts w:hint="eastAsia" w:ascii="仿宋_GB2312" w:eastAsia="仿宋_GB2312" w:cs="宋体"/>
          <w:kern w:val="0"/>
          <w:sz w:val="32"/>
          <w:szCs w:val="32"/>
        </w:rPr>
        <w:t>13.68</w:t>
      </w:r>
      <w:r>
        <w:rPr>
          <w:rFonts w:ascii="仿宋_GB2312" w:eastAsia="仿宋_GB2312" w:cs="宋体"/>
          <w:kern w:val="0"/>
          <w:sz w:val="32"/>
          <w:szCs w:val="32"/>
          <w:lang w:val="zh-CN"/>
        </w:rPr>
        <w:t>%</w:t>
      </w:r>
      <w:r>
        <w:rPr>
          <w:rFonts w:hint="eastAsia" w:ascii="仿宋_GB2312" w:eastAsia="仿宋_GB2312" w:cs="宋体"/>
          <w:kern w:val="0"/>
          <w:sz w:val="32"/>
          <w:szCs w:val="32"/>
          <w:lang w:val="zh-CN"/>
        </w:rPr>
        <w:t>；卫生健康（类）支出</w:t>
      </w:r>
      <w:r>
        <w:rPr>
          <w:rFonts w:hint="eastAsia" w:ascii="仿宋_GB2312" w:eastAsia="仿宋_GB2312" w:cs="宋体"/>
          <w:kern w:val="0"/>
          <w:sz w:val="32"/>
          <w:szCs w:val="32"/>
        </w:rPr>
        <w:t>23.82万元，占4.55%。</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autoSpaceDE w:val="0"/>
        <w:autoSpaceDN w:val="0"/>
        <w:adjustRightInd w:val="0"/>
        <w:spacing w:line="590" w:lineRule="exact"/>
        <w:ind w:firstLine="640"/>
        <w:rPr>
          <w:rFonts w:hint="eastAsia" w:eastAsia="仿宋_GB2312"/>
          <w:sz w:val="32"/>
          <w:szCs w:val="32"/>
        </w:rPr>
      </w:pPr>
      <w:r>
        <w:rPr>
          <w:rFonts w:ascii="仿宋_GB2312" w:eastAsia="仿宋_GB2312" w:cs="仿宋_GB2312"/>
          <w:sz w:val="32"/>
          <w:szCs w:val="32"/>
        </w:rPr>
        <w:t>2021</w:t>
      </w:r>
      <w:r>
        <w:rPr>
          <w:rFonts w:hint="eastAsia" w:ascii="仿宋_GB2312" w:eastAsia="仿宋_GB2312" w:cs="仿宋_GB2312"/>
          <w:sz w:val="32"/>
          <w:szCs w:val="32"/>
        </w:rPr>
        <w:t>年度一般公共预算财政拨款支出年初预算为</w:t>
      </w:r>
      <w:r>
        <w:rPr>
          <w:rFonts w:ascii="仿宋_GB2312" w:eastAsia="仿宋_GB2312" w:cs="仿宋_GB2312"/>
          <w:sz w:val="32"/>
          <w:szCs w:val="32"/>
        </w:rPr>
        <w:t>527.38</w:t>
      </w:r>
      <w:r>
        <w:rPr>
          <w:rFonts w:hint="eastAsia" w:ascii="仿宋_GB2312" w:eastAsia="仿宋_GB2312" w:cs="仿宋_GB2312"/>
          <w:sz w:val="32"/>
          <w:szCs w:val="32"/>
        </w:rPr>
        <w:t>万元，支出决算为</w:t>
      </w:r>
      <w:r>
        <w:rPr>
          <w:rFonts w:ascii="仿宋_GB2312" w:eastAsia="仿宋_GB2312" w:cs="仿宋_GB2312"/>
          <w:sz w:val="32"/>
          <w:szCs w:val="32"/>
        </w:rPr>
        <w:t>523.92</w:t>
      </w:r>
      <w:r>
        <w:rPr>
          <w:rFonts w:hint="eastAsia" w:ascii="仿宋_GB2312" w:eastAsia="仿宋_GB2312" w:cs="仿宋_GB2312"/>
          <w:sz w:val="32"/>
          <w:szCs w:val="32"/>
        </w:rPr>
        <w:t>万元，完成年初预算的</w:t>
      </w:r>
      <w:r>
        <w:rPr>
          <w:rFonts w:ascii="仿宋_GB2312" w:eastAsia="仿宋_GB2312" w:cs="仿宋_GB2312"/>
          <w:sz w:val="32"/>
          <w:szCs w:val="32"/>
        </w:rPr>
        <w:t>99.3</w:t>
      </w:r>
      <w:r>
        <w:rPr>
          <w:rFonts w:hint="default" w:ascii="仿宋_GB2312" w:eastAsia="仿宋_GB2312" w:cs="仿宋_GB2312"/>
          <w:sz w:val="32"/>
          <w:szCs w:val="32"/>
          <w:lang w:val="en"/>
        </w:rPr>
        <w:t>5</w:t>
      </w:r>
      <w:r>
        <w:rPr>
          <w:rFonts w:ascii="仿宋_GB2312" w:eastAsia="仿宋_GB2312" w:cs="仿宋_GB2312"/>
          <w:sz w:val="32"/>
          <w:szCs w:val="32"/>
        </w:rPr>
        <w:t>%</w:t>
      </w:r>
      <w:r>
        <w:rPr>
          <w:rFonts w:hint="eastAsia" w:ascii="仿宋_GB2312" w:eastAsia="仿宋_GB2312" w:cs="仿宋_GB2312"/>
          <w:sz w:val="32"/>
          <w:szCs w:val="32"/>
        </w:rPr>
        <w:t>。其中：</w:t>
      </w:r>
    </w:p>
    <w:p>
      <w:pPr>
        <w:widowControl/>
        <w:adjustRightInd w:val="0"/>
        <w:snapToGrid w:val="0"/>
        <w:spacing w:line="590" w:lineRule="exact"/>
        <w:ind w:firstLine="643" w:firstLineChars="200"/>
        <w:rPr>
          <w:rFonts w:hint="eastAsia" w:ascii="仿宋_GB2312" w:hAnsi="宋体" w:eastAsia="仿宋_GB2312" w:cs="Courier New"/>
          <w:sz w:val="32"/>
          <w:szCs w:val="32"/>
        </w:rPr>
      </w:pPr>
      <w:r>
        <w:rPr>
          <w:rFonts w:hint="eastAsia" w:ascii="仿宋_GB2312" w:hAnsi="宋体" w:eastAsia="仿宋_GB2312" w:cs="Courier New"/>
          <w:b/>
          <w:bCs/>
          <w:sz w:val="32"/>
          <w:szCs w:val="32"/>
        </w:rPr>
        <w:t>1．一般公共服务（类）群众团体事务（款）工会事务（项）。</w:t>
      </w:r>
      <w:r>
        <w:rPr>
          <w:rFonts w:hint="eastAsia" w:ascii="仿宋_GB2312" w:hAnsi="宋体" w:eastAsia="仿宋_GB2312" w:cs="Courier New"/>
          <w:sz w:val="32"/>
          <w:szCs w:val="32"/>
        </w:rPr>
        <w:t>年初预算为2.10万元，支出决算为2.10万元，完成年初预算的100</w:t>
      </w:r>
      <w:r>
        <w:rPr>
          <w:rFonts w:hint="eastAsia" w:ascii="仿宋_GB2312" w:hAnsi="宋体" w:eastAsia="仿宋_GB2312" w:cs="Courier New"/>
          <w:sz w:val="32"/>
          <w:szCs w:val="32"/>
          <w:lang w:val="en-US" w:eastAsia="zh-CN"/>
        </w:rPr>
        <w:t>.00</w:t>
      </w:r>
      <w:r>
        <w:rPr>
          <w:rFonts w:hint="eastAsia" w:ascii="仿宋_GB2312" w:hAnsi="宋体" w:eastAsia="仿宋_GB2312" w:cs="Courier New"/>
          <w:sz w:val="32"/>
          <w:szCs w:val="32"/>
        </w:rPr>
        <w:t>%。决算数与年初预算数无差异。</w:t>
      </w:r>
    </w:p>
    <w:p>
      <w:pPr>
        <w:widowControl/>
        <w:adjustRightInd w:val="0"/>
        <w:snapToGrid w:val="0"/>
        <w:spacing w:line="590" w:lineRule="exact"/>
        <w:ind w:firstLine="643" w:firstLineChars="200"/>
        <w:rPr>
          <w:rFonts w:hint="eastAsia" w:ascii="仿宋_GB2312" w:hAnsi="宋体" w:eastAsia="仿宋_GB2312" w:cs="Courier New"/>
          <w:sz w:val="32"/>
          <w:szCs w:val="32"/>
          <w:lang w:val="en-US" w:eastAsia="zh-CN"/>
        </w:rPr>
      </w:pPr>
      <w:r>
        <w:rPr>
          <w:rFonts w:hint="eastAsia" w:ascii="仿宋_GB2312" w:hAnsi="宋体" w:eastAsia="仿宋_GB2312" w:cs="Courier New"/>
          <w:b/>
          <w:bCs/>
          <w:sz w:val="32"/>
          <w:szCs w:val="32"/>
        </w:rPr>
        <w:t>2．一般公共服务（类）市场监督管理事务（款）行政运行（项）。</w:t>
      </w:r>
      <w:r>
        <w:rPr>
          <w:rFonts w:hint="eastAsia" w:ascii="仿宋_GB2312" w:hAnsi="宋体" w:eastAsia="仿宋_GB2312" w:cs="Courier New"/>
          <w:sz w:val="32"/>
          <w:szCs w:val="32"/>
        </w:rPr>
        <w:t>年初预算为428.92万元，支出决算为417.30万元，完成年初预算的</w:t>
      </w:r>
      <w:r>
        <w:rPr>
          <w:rFonts w:hint="eastAsia" w:ascii="仿宋_GB2312" w:hAnsi="宋体" w:eastAsia="仿宋_GB2312" w:cs="Courier New"/>
          <w:sz w:val="32"/>
          <w:szCs w:val="32"/>
          <w:lang w:val="en-US" w:eastAsia="zh-CN"/>
        </w:rPr>
        <w:t>97.29</w:t>
      </w:r>
      <w:r>
        <w:rPr>
          <w:rFonts w:hint="eastAsia" w:ascii="仿宋_GB2312" w:hAnsi="宋体" w:eastAsia="仿宋_GB2312" w:cs="Courier New"/>
          <w:sz w:val="32"/>
          <w:szCs w:val="32"/>
        </w:rPr>
        <w:t>%。决算数与年初预算数存在差异的主要原因是</w:t>
      </w:r>
      <w:r>
        <w:rPr>
          <w:rFonts w:hint="eastAsia" w:ascii="仿宋_GB2312" w:hAnsi="宋体" w:eastAsia="仿宋_GB2312" w:cs="Courier New"/>
          <w:sz w:val="32"/>
          <w:szCs w:val="32"/>
          <w:lang w:val="en-US" w:eastAsia="zh-CN"/>
        </w:rPr>
        <w:t>贯彻落实上级过紧日子要求，厉行节约，压减支出。</w:t>
      </w:r>
    </w:p>
    <w:p>
      <w:pPr>
        <w:widowControl/>
        <w:adjustRightInd w:val="0"/>
        <w:snapToGrid w:val="0"/>
        <w:spacing w:line="590" w:lineRule="exact"/>
        <w:ind w:firstLine="643" w:firstLineChars="200"/>
        <w:rPr>
          <w:rFonts w:hint="eastAsia" w:ascii="仿宋_GB2312" w:hAnsi="宋体" w:eastAsia="仿宋_GB2312" w:cs="Courier New"/>
          <w:sz w:val="32"/>
          <w:szCs w:val="32"/>
        </w:rPr>
      </w:pPr>
      <w:r>
        <w:rPr>
          <w:rFonts w:hint="eastAsia" w:ascii="仿宋_GB2312" w:hAnsi="宋体" w:eastAsia="仿宋_GB2312" w:cs="Courier New"/>
          <w:b/>
          <w:bCs/>
          <w:sz w:val="32"/>
          <w:szCs w:val="32"/>
        </w:rPr>
        <w:t>3、一般公共服务（类）市场监督管理事务（款）市场秩序执法（项）。</w:t>
      </w:r>
      <w:r>
        <w:rPr>
          <w:rFonts w:hint="eastAsia" w:ascii="仿宋_GB2312" w:hAnsi="宋体" w:eastAsia="仿宋_GB2312" w:cs="Courier New"/>
          <w:sz w:val="32"/>
          <w:szCs w:val="32"/>
        </w:rPr>
        <w:t>年初预算为0.00万元，支出决算为2.50万元。</w:t>
      </w:r>
      <w:r>
        <w:rPr>
          <w:rFonts w:hint="eastAsia" w:ascii="仿宋_GB2312" w:hAnsi="仿宋_GB2312" w:eastAsia="仿宋_GB2312" w:cs="仿宋_GB2312"/>
          <w:sz w:val="32"/>
          <w:szCs w:val="32"/>
        </w:rPr>
        <w:t>决算数与年初预算数存在差异的主要原因</w:t>
      </w:r>
      <w:r>
        <w:rPr>
          <w:rFonts w:hint="eastAsia" w:ascii="仿宋_GB2312" w:hAnsi="宋体" w:eastAsia="仿宋_GB2312" w:cs="Courier New"/>
          <w:sz w:val="32"/>
          <w:szCs w:val="32"/>
        </w:rPr>
        <w:t>是2020年度未完成预算项目在2021年度完成。</w:t>
      </w:r>
    </w:p>
    <w:p>
      <w:pPr>
        <w:widowControl/>
        <w:spacing w:line="590" w:lineRule="exact"/>
        <w:ind w:firstLine="643" w:firstLineChars="200"/>
        <w:rPr>
          <w:rFonts w:hint="eastAsia" w:ascii="仿宋_GB2312" w:hAnsi="宋体" w:eastAsia="仿宋_GB2312" w:cs="Courier New"/>
          <w:color w:val="auto"/>
          <w:sz w:val="32"/>
          <w:szCs w:val="32"/>
          <w:lang w:eastAsia="zh-CN"/>
        </w:rPr>
      </w:pPr>
      <w:r>
        <w:rPr>
          <w:rFonts w:hint="eastAsia" w:ascii="仿宋_GB2312" w:hAnsi="宋体" w:eastAsia="仿宋_GB2312" w:cs="Courier New"/>
          <w:b/>
          <w:bCs/>
          <w:color w:val="auto"/>
          <w:sz w:val="32"/>
          <w:szCs w:val="32"/>
        </w:rPr>
        <w:t>4、一般公共服务（类）市场监督管理事务（款）其他市场监督管理事务（项）。</w:t>
      </w:r>
      <w:r>
        <w:rPr>
          <w:rFonts w:hint="eastAsia" w:ascii="仿宋_GB2312" w:hAnsi="宋体" w:eastAsia="仿宋_GB2312" w:cs="Courier New"/>
          <w:color w:val="auto"/>
          <w:sz w:val="32"/>
          <w:szCs w:val="32"/>
        </w:rPr>
        <w:t>年初预算为0.00万元，支出决算为6.52万元。</w:t>
      </w:r>
      <w:r>
        <w:rPr>
          <w:rFonts w:hint="eastAsia" w:ascii="仿宋_GB2312" w:hAnsi="仿宋_GB2312" w:eastAsia="仿宋_GB2312" w:cs="仿宋_GB2312"/>
          <w:color w:val="auto"/>
          <w:sz w:val="32"/>
          <w:szCs w:val="32"/>
        </w:rPr>
        <w:t>决算数与年初预算数存在差异的主要原因</w:t>
      </w:r>
      <w:r>
        <w:rPr>
          <w:rFonts w:hint="eastAsia" w:ascii="仿宋_GB2312" w:hAnsi="宋体" w:eastAsia="仿宋_GB2312" w:cs="Courier New"/>
          <w:color w:val="auto"/>
          <w:sz w:val="32"/>
          <w:szCs w:val="32"/>
        </w:rPr>
        <w:t>是</w:t>
      </w:r>
      <w:r>
        <w:rPr>
          <w:rFonts w:hint="eastAsia" w:ascii="仿宋_GB2312" w:hAnsi="宋体" w:eastAsia="仿宋_GB2312" w:cs="Courier New"/>
          <w:color w:val="auto"/>
          <w:sz w:val="32"/>
          <w:szCs w:val="32"/>
          <w:lang w:eastAsia="zh-CN"/>
        </w:rPr>
        <w:t>年中上级财政下达专项资金</w:t>
      </w:r>
      <w:r>
        <w:rPr>
          <w:rFonts w:hint="eastAsia" w:ascii="仿宋_GB2312" w:hAnsi="宋体" w:eastAsia="仿宋_GB2312" w:cs="Courier New"/>
          <w:color w:val="auto"/>
          <w:sz w:val="32"/>
          <w:szCs w:val="32"/>
          <w:lang w:val="en-US" w:eastAsia="zh-CN"/>
        </w:rPr>
        <w:t>10.00万元</w:t>
      </w:r>
      <w:r>
        <w:rPr>
          <w:rFonts w:hint="eastAsia" w:ascii="仿宋_GB2312" w:hAnsi="宋体" w:eastAsia="仿宋_GB2312" w:cs="Courier New"/>
          <w:color w:val="auto"/>
          <w:sz w:val="32"/>
          <w:szCs w:val="32"/>
          <w:lang w:eastAsia="zh-CN"/>
        </w:rPr>
        <w:t>，该项目在年终尚未全部完成。</w:t>
      </w:r>
    </w:p>
    <w:p>
      <w:pPr>
        <w:widowControl/>
        <w:spacing w:line="590" w:lineRule="exact"/>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5、社会保障和就业支出（类）行政事业单位养老支出（款）行政单位离退休（项）。</w:t>
      </w:r>
      <w:r>
        <w:rPr>
          <w:rFonts w:hint="eastAsia" w:ascii="仿宋_GB2312" w:hAnsi="仿宋_GB2312" w:eastAsia="仿宋_GB2312" w:cs="仿宋_GB2312"/>
          <w:color w:val="auto"/>
          <w:sz w:val="32"/>
          <w:szCs w:val="32"/>
        </w:rPr>
        <w:t>年初预算为45.31万元，支出决算为45.38万元，完成年初预算的</w:t>
      </w:r>
      <w:r>
        <w:rPr>
          <w:rFonts w:hint="eastAsia" w:ascii="仿宋_GB2312" w:hAnsi="仿宋_GB2312" w:eastAsia="仿宋_GB2312" w:cs="仿宋_GB2312"/>
          <w:color w:val="auto"/>
          <w:sz w:val="32"/>
          <w:szCs w:val="32"/>
          <w:lang w:val="en-US" w:eastAsia="zh-CN"/>
        </w:rPr>
        <w:t>100.15</w:t>
      </w:r>
      <w:r>
        <w:rPr>
          <w:rFonts w:hint="eastAsia" w:ascii="仿宋_GB2312" w:hAnsi="仿宋_GB2312" w:eastAsia="仿宋_GB2312" w:cs="仿宋_GB2312"/>
          <w:color w:val="auto"/>
          <w:sz w:val="32"/>
          <w:szCs w:val="32"/>
        </w:rPr>
        <w:t>%。决算数与年初预算数</w:t>
      </w:r>
      <w:r>
        <w:rPr>
          <w:rFonts w:hint="eastAsia" w:ascii="仿宋_GB2312" w:hAnsi="仿宋_GB2312" w:eastAsia="仿宋_GB2312" w:cs="仿宋_GB2312"/>
          <w:color w:val="auto"/>
          <w:sz w:val="32"/>
          <w:szCs w:val="32"/>
          <w:lang w:eastAsia="zh-CN"/>
        </w:rPr>
        <w:t>基本持平。</w:t>
      </w:r>
    </w:p>
    <w:p>
      <w:pPr>
        <w:widowControl/>
        <w:spacing w:line="59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6.社会保障和就业支出（类）行政事业单位养老支出（款）机关事业单位基本养老保险缴费支出（项）。</w:t>
      </w:r>
      <w:r>
        <w:rPr>
          <w:rFonts w:hint="eastAsia" w:ascii="仿宋_GB2312" w:hAnsi="仿宋_GB2312" w:eastAsia="仿宋_GB2312" w:cs="仿宋_GB2312"/>
          <w:color w:val="auto"/>
          <w:sz w:val="32"/>
          <w:szCs w:val="32"/>
        </w:rPr>
        <w:t>年初预算为25.33万元，支出决算为26.30万元，完成年初预算的</w:t>
      </w:r>
      <w:r>
        <w:rPr>
          <w:rFonts w:hint="eastAsia" w:ascii="仿宋_GB2312" w:hAnsi="仿宋_GB2312" w:eastAsia="仿宋_GB2312" w:cs="仿宋_GB2312"/>
          <w:color w:val="auto"/>
          <w:sz w:val="32"/>
          <w:szCs w:val="32"/>
          <w:lang w:val="en-US" w:eastAsia="zh-CN"/>
        </w:rPr>
        <w:t>103.82</w:t>
      </w:r>
      <w:r>
        <w:rPr>
          <w:rFonts w:hint="eastAsia" w:ascii="仿宋_GB2312" w:hAnsi="仿宋_GB2312" w:eastAsia="仿宋_GB2312" w:cs="仿宋_GB2312"/>
          <w:color w:val="auto"/>
          <w:sz w:val="32"/>
          <w:szCs w:val="32"/>
        </w:rPr>
        <w:t>%。决算数与年初预算数存在差异的主要原因养老缴费基数调整。</w:t>
      </w:r>
    </w:p>
    <w:p>
      <w:pPr>
        <w:widowControl/>
        <w:spacing w:line="59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7</w:t>
      </w:r>
      <w:r>
        <w:rPr>
          <w:rFonts w:hint="eastAsia" w:ascii="仿宋_GB2312" w:hAnsi="仿宋_GB2312" w:eastAsia="仿宋_GB2312" w:cs="仿宋_GB2312"/>
          <w:b/>
          <w:bCs/>
          <w:color w:val="auto"/>
          <w:sz w:val="32"/>
          <w:szCs w:val="32"/>
        </w:rPr>
        <w:t>．卫生健康支出（类）行政事业单位医疗（款）行政单位医疗（项）。</w:t>
      </w:r>
      <w:r>
        <w:rPr>
          <w:rFonts w:hint="eastAsia" w:ascii="仿宋_GB2312" w:hAnsi="仿宋_GB2312" w:eastAsia="仿宋_GB2312" w:cs="仿宋_GB2312"/>
          <w:color w:val="auto"/>
          <w:sz w:val="32"/>
          <w:szCs w:val="32"/>
        </w:rPr>
        <w:t>年初预算为13.17万元，支出决算为11.88万元，完成年初预算的</w:t>
      </w:r>
      <w:r>
        <w:rPr>
          <w:rFonts w:hint="eastAsia" w:ascii="仿宋_GB2312" w:hAnsi="仿宋_GB2312" w:eastAsia="仿宋_GB2312" w:cs="仿宋_GB2312"/>
          <w:color w:val="auto"/>
          <w:sz w:val="32"/>
          <w:szCs w:val="32"/>
          <w:lang w:val="en-US" w:eastAsia="zh-CN"/>
        </w:rPr>
        <w:t>90.21</w:t>
      </w:r>
      <w:r>
        <w:rPr>
          <w:rFonts w:hint="eastAsia" w:ascii="仿宋_GB2312" w:hAnsi="仿宋_GB2312" w:eastAsia="仿宋_GB2312" w:cs="仿宋_GB2312"/>
          <w:color w:val="auto"/>
          <w:sz w:val="32"/>
          <w:szCs w:val="32"/>
        </w:rPr>
        <w:t>%。决算数与年初预算数存在差异的主要原因是2021年</w:t>
      </w:r>
      <w:r>
        <w:rPr>
          <w:rFonts w:hint="eastAsia" w:ascii="仿宋_GB2312" w:hAnsi="仿宋_GB2312" w:eastAsia="仿宋_GB2312" w:cs="仿宋_GB2312"/>
          <w:color w:val="auto"/>
          <w:sz w:val="32"/>
          <w:szCs w:val="32"/>
          <w:lang w:eastAsia="zh-CN"/>
        </w:rPr>
        <w:t>年中调出人员</w:t>
      </w:r>
      <w:r>
        <w:rPr>
          <w:rFonts w:hint="eastAsia" w:ascii="仿宋_GB2312" w:hAnsi="仿宋_GB2312" w:eastAsia="仿宋_GB2312" w:cs="仿宋_GB2312"/>
          <w:color w:val="auto"/>
          <w:sz w:val="32"/>
          <w:szCs w:val="32"/>
        </w:rPr>
        <w:t>。</w:t>
      </w:r>
    </w:p>
    <w:p>
      <w:pPr>
        <w:widowControl/>
        <w:spacing w:line="59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8</w:t>
      </w:r>
      <w:r>
        <w:rPr>
          <w:rFonts w:hint="eastAsia" w:ascii="仿宋_GB2312" w:hAnsi="仿宋_GB2312" w:eastAsia="仿宋_GB2312" w:cs="仿宋_GB2312"/>
          <w:b/>
          <w:bCs/>
          <w:color w:val="auto"/>
          <w:sz w:val="32"/>
          <w:szCs w:val="32"/>
        </w:rPr>
        <w:t>. 卫生健康支出（类）行政事业单位医疗（款）公务员医疗补助（项）。</w:t>
      </w:r>
      <w:r>
        <w:rPr>
          <w:rFonts w:hint="eastAsia" w:ascii="仿宋_GB2312" w:hAnsi="仿宋_GB2312" w:eastAsia="仿宋_GB2312" w:cs="仿宋_GB2312"/>
          <w:color w:val="auto"/>
          <w:sz w:val="32"/>
          <w:szCs w:val="32"/>
        </w:rPr>
        <w:t>年初预算为12.55万元，支出决算为11.94万元，完成年初预算的</w:t>
      </w:r>
      <w:r>
        <w:rPr>
          <w:rFonts w:hint="eastAsia" w:ascii="仿宋_GB2312" w:hAnsi="仿宋_GB2312" w:eastAsia="仿宋_GB2312" w:cs="仿宋_GB2312"/>
          <w:color w:val="auto"/>
          <w:sz w:val="32"/>
          <w:szCs w:val="32"/>
          <w:lang w:val="en-US" w:eastAsia="zh-CN"/>
        </w:rPr>
        <w:t>95.14</w:t>
      </w:r>
      <w:r>
        <w:rPr>
          <w:rFonts w:hint="eastAsia" w:ascii="仿宋_GB2312" w:hAnsi="仿宋_GB2312" w:eastAsia="仿宋_GB2312" w:cs="仿宋_GB2312"/>
          <w:color w:val="auto"/>
          <w:sz w:val="32"/>
          <w:szCs w:val="32"/>
        </w:rPr>
        <w:t>%。决算数与年初预算数存在差异的主要原因是2021年</w:t>
      </w:r>
      <w:r>
        <w:rPr>
          <w:rFonts w:hint="eastAsia" w:ascii="仿宋_GB2312" w:hAnsi="仿宋_GB2312" w:eastAsia="仿宋_GB2312" w:cs="仿宋_GB2312"/>
          <w:color w:val="auto"/>
          <w:sz w:val="32"/>
          <w:szCs w:val="32"/>
          <w:lang w:eastAsia="zh-CN"/>
        </w:rPr>
        <w:t>年中调出人员</w:t>
      </w:r>
      <w:r>
        <w:rPr>
          <w:rFonts w:hint="eastAsia" w:ascii="仿宋_GB2312" w:hAnsi="仿宋_GB2312" w:eastAsia="仿宋_GB2312" w:cs="仿宋_GB2312"/>
          <w:color w:val="auto"/>
          <w:sz w:val="32"/>
          <w:szCs w:val="32"/>
        </w:rPr>
        <w:t>。</w:t>
      </w:r>
    </w:p>
    <w:p>
      <w:pPr>
        <w:widowControl/>
        <w:spacing w:line="590" w:lineRule="exact"/>
        <w:ind w:firstLine="640" w:firstLineChars="200"/>
        <w:outlineLvl w:val="1"/>
        <w:rPr>
          <w:rFonts w:hint="eastAsia" w:ascii="黑体" w:hAnsi="黑体" w:eastAsia="黑体" w:cs="黑体"/>
          <w:color w:val="auto"/>
          <w:sz w:val="32"/>
          <w:szCs w:val="32"/>
        </w:rPr>
      </w:pPr>
      <w:r>
        <w:rPr>
          <w:rFonts w:hint="eastAsia" w:ascii="黑体" w:hAnsi="黑体" w:eastAsia="黑体" w:cs="黑体"/>
          <w:color w:val="auto"/>
          <w:sz w:val="32"/>
          <w:szCs w:val="32"/>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w:t>
      </w:r>
      <w:r>
        <w:rPr>
          <w:rFonts w:ascii="仿宋_GB2312" w:eastAsia="仿宋_GB2312" w:cs="仿宋_GB2312"/>
          <w:sz w:val="32"/>
          <w:szCs w:val="32"/>
        </w:rPr>
        <w:t>514.9</w:t>
      </w:r>
      <w:r>
        <w:rPr>
          <w:rFonts w:hint="eastAsia" w:ascii="仿宋_GB2312" w:hAnsi="仿宋_GB2312" w:eastAsia="仿宋_GB2312" w:cs="仿宋_GB2312"/>
          <w:sz w:val="32"/>
          <w:szCs w:val="32"/>
        </w:rPr>
        <w:t>万元。其中：人员经费</w:t>
      </w:r>
      <w:r>
        <w:rPr>
          <w:rFonts w:ascii="仿宋_GB2312" w:eastAsia="仿宋_GB2312" w:cs="仿宋_GB2312"/>
          <w:sz w:val="32"/>
          <w:szCs w:val="32"/>
        </w:rPr>
        <w:t>463.51</w:t>
      </w:r>
      <w:r>
        <w:rPr>
          <w:rFonts w:hint="eastAsia" w:ascii="仿宋_GB2312" w:hAnsi="仿宋_GB2312" w:eastAsia="仿宋_GB2312" w:cs="仿宋_GB2312"/>
          <w:sz w:val="32"/>
          <w:szCs w:val="32"/>
        </w:rPr>
        <w:t>万元，主要包括：基本工资、津贴补贴、奖金、机关事业单位基本养老保险缴费、</w:t>
      </w:r>
      <w:r>
        <w:rPr>
          <w:rFonts w:hint="eastAsia" w:ascii="仿宋_GB2312" w:hAnsi="仿宋_GB2312" w:eastAsia="仿宋_GB2312" w:cs="仿宋_GB2312"/>
          <w:sz w:val="32"/>
          <w:szCs w:val="32"/>
          <w:lang w:eastAsia="zh-CN"/>
        </w:rPr>
        <w:t>职工基本医疗保险缴费、公务员医疗保险缴费、</w:t>
      </w:r>
      <w:r>
        <w:rPr>
          <w:rFonts w:hint="eastAsia" w:ascii="仿宋_GB2312" w:eastAsia="仿宋_GB2312" w:cs="仿宋_GB2312"/>
          <w:sz w:val="32"/>
          <w:szCs w:val="32"/>
        </w:rPr>
        <w:t>其他社会保障缴费、其他工资福利支出、退休费、生活补助、住房公积金</w:t>
      </w:r>
      <w:r>
        <w:rPr>
          <w:rFonts w:hint="eastAsia" w:ascii="仿宋_GB2312" w:hAnsi="仿宋_GB2312" w:eastAsia="仿宋_GB2312" w:cs="仿宋_GB2312"/>
          <w:sz w:val="32"/>
          <w:szCs w:val="32"/>
        </w:rPr>
        <w:t>；公用经费</w:t>
      </w:r>
      <w:r>
        <w:rPr>
          <w:rFonts w:ascii="仿宋_GB2312" w:eastAsia="仿宋_GB2312" w:cs="仿宋_GB2312"/>
          <w:sz w:val="32"/>
          <w:szCs w:val="32"/>
        </w:rPr>
        <w:t>51.39</w:t>
      </w:r>
      <w:r>
        <w:rPr>
          <w:rFonts w:hint="eastAsia" w:ascii="仿宋_GB2312" w:hAnsi="仿宋_GB2312" w:eastAsia="仿宋_GB2312" w:cs="仿宋_GB2312"/>
          <w:sz w:val="32"/>
          <w:szCs w:val="32"/>
        </w:rPr>
        <w:t>万元，主要包括：办公费、印刷费、邮电费、差旅费、</w:t>
      </w:r>
      <w:r>
        <w:rPr>
          <w:rFonts w:hint="eastAsia" w:ascii="仿宋_GB2312" w:hAnsi="仿宋_GB2312" w:eastAsia="仿宋_GB2312" w:cs="仿宋_GB2312"/>
          <w:sz w:val="32"/>
          <w:szCs w:val="32"/>
          <w:lang w:eastAsia="zh-CN"/>
        </w:rPr>
        <w:t>维修（护）费、培训费、</w:t>
      </w:r>
      <w:r>
        <w:rPr>
          <w:rFonts w:hint="eastAsia" w:ascii="仿宋_GB2312" w:hAnsi="仿宋_GB2312" w:eastAsia="仿宋_GB2312" w:cs="仿宋_GB2312"/>
          <w:sz w:val="32"/>
          <w:szCs w:val="32"/>
        </w:rPr>
        <w:t>劳务费、委托业务费、工会经费、福利费、公务用车运行维护费、其他交通费用</w:t>
      </w:r>
      <w:r>
        <w:rPr>
          <w:rFonts w:hint="eastAsia" w:ascii="仿宋_GB2312" w:hAnsi="仿宋_GB2312" w:eastAsia="仿宋_GB2312" w:cs="仿宋_GB2312"/>
          <w:sz w:val="32"/>
          <w:szCs w:val="32"/>
          <w:lang w:eastAsia="zh-CN"/>
        </w:rPr>
        <w:t>、其他商品和服务支出</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2021年度“三公”经费财政拨款支出预算为12.43万元，支出决算为3.36万元，完成预算的27.0</w:t>
      </w:r>
      <w:r>
        <w:rPr>
          <w:rFonts w:hint="eastAsia" w:ascii="仿宋_GB2312" w:eastAsia="仿宋_GB2312" w:cs="仿宋_GB2312"/>
          <w:sz w:val="32"/>
          <w:szCs w:val="32"/>
          <w:highlight w:val="none"/>
          <w:lang w:val="en-US" w:eastAsia="zh-CN"/>
        </w:rPr>
        <w:t>3</w:t>
      </w:r>
      <w:r>
        <w:rPr>
          <w:rFonts w:hint="eastAsia" w:ascii="仿宋_GB2312" w:hAnsi="Times New Roman" w:eastAsia="仿宋_GB2312" w:cs="仿宋_GB2312"/>
          <w:sz w:val="32"/>
          <w:szCs w:val="32"/>
        </w:rPr>
        <w:t>%。2021年度“三公”经费支出决算数与预算数存在差异的主要原因是按照中央“八项规定”精神，严格控制公车运行费用和公务接待支出。</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autoSpaceDE w:val="0"/>
        <w:autoSpaceDN w:val="0"/>
        <w:adjustRightInd w:val="0"/>
        <w:spacing w:line="590" w:lineRule="exact"/>
        <w:ind w:firstLine="640"/>
        <w:rPr>
          <w:rFonts w:eastAsia="仿宋_GB2312"/>
          <w:kern w:val="0"/>
          <w:sz w:val="18"/>
          <w:szCs w:val="18"/>
        </w:rPr>
      </w:pPr>
      <w:r>
        <w:rPr>
          <w:rFonts w:ascii="仿宋_GB2312" w:eastAsia="仿宋_GB2312" w:cs="仿宋_GB2312"/>
          <w:sz w:val="32"/>
          <w:szCs w:val="32"/>
        </w:rPr>
        <w:t>2021</w:t>
      </w:r>
      <w:r>
        <w:rPr>
          <w:rFonts w:hint="eastAsia" w:ascii="仿宋_GB2312" w:eastAsia="仿宋_GB2312" w:cs="仿宋_GB2312"/>
          <w:sz w:val="32"/>
          <w:szCs w:val="32"/>
        </w:rPr>
        <w:t>年度</w:t>
      </w:r>
      <w:r>
        <w:rPr>
          <w:rFonts w:eastAsia="仿宋_GB2312"/>
          <w:sz w:val="32"/>
          <w:szCs w:val="32"/>
        </w:rPr>
        <w:t>“</w:t>
      </w:r>
      <w:r>
        <w:rPr>
          <w:rFonts w:hint="eastAsia" w:ascii="仿宋_GB2312" w:eastAsia="仿宋_GB2312" w:cs="仿宋_GB2312"/>
          <w:sz w:val="32"/>
          <w:szCs w:val="32"/>
        </w:rPr>
        <w:t>三公</w:t>
      </w:r>
      <w:r>
        <w:rPr>
          <w:rFonts w:eastAsia="仿宋_GB2312"/>
          <w:sz w:val="32"/>
          <w:szCs w:val="32"/>
        </w:rPr>
        <w:t>”</w:t>
      </w:r>
      <w:r>
        <w:rPr>
          <w:rFonts w:hint="eastAsia" w:ascii="仿宋_GB2312" w:eastAsia="仿宋_GB2312" w:cs="仿宋_GB2312"/>
          <w:sz w:val="32"/>
          <w:szCs w:val="32"/>
        </w:rPr>
        <w:t>经费财政拨款支出决算中，因公出国（境）费支出决算</w:t>
      </w:r>
      <w:r>
        <w:rPr>
          <w:rFonts w:hint="eastAsia" w:ascii="仿宋_GB2312" w:eastAsia="仿宋_GB2312" w:cs="仿宋_GB2312"/>
          <w:sz w:val="32"/>
          <w:szCs w:val="32"/>
          <w:lang w:val="en-US" w:eastAsia="zh-CN"/>
        </w:rPr>
        <w:t>0.00</w:t>
      </w:r>
      <w:r>
        <w:rPr>
          <w:rFonts w:hint="eastAsia" w:ascii="仿宋_GB2312" w:eastAsia="仿宋_GB2312" w:cs="仿宋_GB2312"/>
          <w:sz w:val="32"/>
          <w:szCs w:val="32"/>
        </w:rPr>
        <w:t>万元，占</w:t>
      </w:r>
      <w:r>
        <w:rPr>
          <w:rFonts w:ascii="仿宋_GB2312" w:eastAsia="仿宋_GB2312" w:cs="仿宋_GB2312"/>
          <w:sz w:val="32"/>
          <w:szCs w:val="32"/>
        </w:rPr>
        <w:t>0</w:t>
      </w:r>
      <w:r>
        <w:rPr>
          <w:rFonts w:hint="eastAsia" w:ascii="仿宋_GB2312" w:eastAsia="仿宋_GB2312" w:cs="仿宋_GB2312"/>
          <w:sz w:val="32"/>
          <w:szCs w:val="32"/>
          <w:lang w:val="en-US" w:eastAsia="zh-CN"/>
        </w:rPr>
        <w:t>.00</w:t>
      </w:r>
      <w:r>
        <w:rPr>
          <w:rFonts w:ascii="仿宋_GB2312" w:eastAsia="仿宋_GB2312" w:cs="仿宋_GB2312"/>
          <w:sz w:val="32"/>
          <w:szCs w:val="32"/>
        </w:rPr>
        <w:t>%</w:t>
      </w:r>
      <w:r>
        <w:rPr>
          <w:rFonts w:hint="eastAsia" w:ascii="仿宋_GB2312" w:eastAsia="仿宋_GB2312" w:cs="仿宋_GB2312"/>
          <w:sz w:val="32"/>
          <w:szCs w:val="32"/>
        </w:rPr>
        <w:t>；公务用车购置及运行费支出决算</w:t>
      </w:r>
      <w:r>
        <w:rPr>
          <w:rFonts w:ascii="仿宋_GB2312" w:eastAsia="仿宋_GB2312" w:cs="仿宋_GB2312"/>
          <w:sz w:val="32"/>
          <w:szCs w:val="32"/>
        </w:rPr>
        <w:t>3.36</w:t>
      </w:r>
      <w:r>
        <w:rPr>
          <w:rFonts w:hint="eastAsia" w:ascii="仿宋_GB2312" w:eastAsia="仿宋_GB2312" w:cs="仿宋_GB2312"/>
          <w:sz w:val="32"/>
          <w:szCs w:val="32"/>
        </w:rPr>
        <w:t>万元，完成预算的</w:t>
      </w:r>
      <w:r>
        <w:rPr>
          <w:rFonts w:ascii="仿宋_GB2312" w:eastAsia="仿宋_GB2312" w:cs="仿宋_GB2312"/>
          <w:sz w:val="32"/>
          <w:szCs w:val="32"/>
        </w:rPr>
        <w:t>2</w:t>
      </w:r>
      <w:r>
        <w:rPr>
          <w:rFonts w:hint="default" w:ascii="仿宋_GB2312" w:eastAsia="仿宋_GB2312" w:cs="仿宋_GB2312"/>
          <w:sz w:val="32"/>
          <w:szCs w:val="32"/>
          <w:lang w:val="en"/>
        </w:rPr>
        <w:t>8.00</w:t>
      </w:r>
      <w:r>
        <w:rPr>
          <w:rFonts w:ascii="仿宋_GB2312" w:eastAsia="仿宋_GB2312" w:cs="仿宋_GB2312"/>
          <w:sz w:val="32"/>
          <w:szCs w:val="32"/>
        </w:rPr>
        <w:t>%</w:t>
      </w:r>
      <w:r>
        <w:rPr>
          <w:rFonts w:hint="eastAsia" w:ascii="仿宋_GB2312" w:eastAsia="仿宋_GB2312" w:cs="仿宋_GB2312"/>
          <w:sz w:val="32"/>
          <w:szCs w:val="32"/>
        </w:rPr>
        <w:t>，占</w:t>
      </w:r>
      <w:r>
        <w:rPr>
          <w:rFonts w:ascii="仿宋_GB2312" w:eastAsia="仿宋_GB2312" w:cs="仿宋_GB2312"/>
          <w:sz w:val="32"/>
          <w:szCs w:val="32"/>
        </w:rPr>
        <w:t>100%</w:t>
      </w:r>
      <w:r>
        <w:rPr>
          <w:rFonts w:hint="eastAsia" w:ascii="仿宋_GB2312" w:eastAsia="仿宋_GB2312" w:cs="仿宋_GB2312"/>
          <w:sz w:val="32"/>
          <w:szCs w:val="32"/>
        </w:rPr>
        <w:t>；公务接待费支出决算</w:t>
      </w:r>
      <w:r>
        <w:rPr>
          <w:rFonts w:ascii="仿宋_GB2312" w:eastAsia="仿宋_GB2312" w:cs="仿宋_GB2312"/>
          <w:sz w:val="32"/>
          <w:szCs w:val="32"/>
        </w:rPr>
        <w:t>0</w:t>
      </w:r>
      <w:r>
        <w:rPr>
          <w:rFonts w:hint="eastAsia" w:ascii="仿宋_GB2312" w:eastAsia="仿宋_GB2312" w:cs="仿宋_GB2312"/>
          <w:sz w:val="32"/>
          <w:szCs w:val="32"/>
          <w:lang w:val="en-US" w:eastAsia="zh-CN"/>
        </w:rPr>
        <w:t>.00</w:t>
      </w:r>
      <w:r>
        <w:rPr>
          <w:rFonts w:hint="eastAsia" w:ascii="仿宋_GB2312" w:eastAsia="仿宋_GB2312" w:cs="仿宋_GB2312"/>
          <w:sz w:val="32"/>
          <w:szCs w:val="32"/>
        </w:rPr>
        <w:t>万元，占</w:t>
      </w:r>
      <w:r>
        <w:rPr>
          <w:rFonts w:ascii="仿宋_GB2312" w:eastAsia="仿宋_GB2312" w:cs="仿宋_GB2312"/>
          <w:sz w:val="32"/>
          <w:szCs w:val="32"/>
        </w:rPr>
        <w:t>0</w:t>
      </w:r>
      <w:r>
        <w:rPr>
          <w:rFonts w:hint="eastAsia" w:ascii="仿宋_GB2312" w:eastAsia="仿宋_GB2312" w:cs="仿宋_GB2312"/>
          <w:sz w:val="32"/>
          <w:szCs w:val="32"/>
          <w:lang w:val="en-US" w:eastAsia="zh-CN"/>
        </w:rPr>
        <w:t>.00</w:t>
      </w:r>
      <w:r>
        <w:rPr>
          <w:rFonts w:ascii="仿宋_GB2312" w:eastAsia="仿宋_GB2312" w:cs="仿宋_GB2312"/>
          <w:sz w:val="32"/>
          <w:szCs w:val="32"/>
        </w:rPr>
        <w:t>%</w:t>
      </w:r>
      <w:r>
        <w:rPr>
          <w:rFonts w:hint="eastAsia" w:ascii="仿宋_GB2312" w:eastAsia="仿宋_GB2312" w:cs="仿宋_GB2312"/>
          <w:sz w:val="32"/>
          <w:szCs w:val="32"/>
        </w:rPr>
        <w:t>；具体情况如下：</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万元，决算数与预算数无差异。因公出国（境）团组数0个，因公出国（境）人次数0人。</w:t>
      </w:r>
    </w:p>
    <w:p>
      <w:pPr>
        <w:widowControl/>
        <w:spacing w:line="590" w:lineRule="exact"/>
        <w:ind w:firstLine="643" w:firstLineChars="200"/>
        <w:rPr>
          <w:rFonts w:hint="eastAsia" w:ascii="仿宋_GB2312" w:hAnsi="仿宋_GB2312" w:eastAsia="仿宋_GB2312" w:cs="仿宋_GB2312"/>
          <w:sz w:val="32"/>
          <w:szCs w:val="32"/>
        </w:rPr>
      </w:pPr>
      <w:r>
        <w:rPr>
          <w:rFonts w:ascii="仿宋_GB2312" w:eastAsia="仿宋_GB2312" w:cs="仿宋_GB2312"/>
          <w:b/>
          <w:bCs/>
          <w:sz w:val="32"/>
          <w:szCs w:val="32"/>
        </w:rPr>
        <w:t>2</w:t>
      </w:r>
      <w:r>
        <w:rPr>
          <w:rFonts w:hint="eastAsia" w:ascii="仿宋_GB2312" w:eastAsia="仿宋_GB2312" w:cs="仿宋_GB2312"/>
          <w:b/>
          <w:bCs/>
          <w:sz w:val="32"/>
          <w:szCs w:val="32"/>
        </w:rPr>
        <w:t>．公务用车购置及运行费</w:t>
      </w:r>
      <w:r>
        <w:rPr>
          <w:rFonts w:hint="eastAsia" w:ascii="仿宋_GB2312" w:eastAsia="仿宋_GB2312" w:cs="仿宋_GB2312"/>
          <w:sz w:val="32"/>
          <w:szCs w:val="32"/>
        </w:rPr>
        <w:t>预算为</w:t>
      </w:r>
      <w:r>
        <w:rPr>
          <w:rFonts w:ascii="仿宋_GB2312" w:eastAsia="仿宋_GB2312" w:cs="仿宋_GB2312"/>
          <w:sz w:val="32"/>
          <w:szCs w:val="32"/>
        </w:rPr>
        <w:t>12</w:t>
      </w:r>
      <w:r>
        <w:rPr>
          <w:rFonts w:hint="eastAsia" w:ascii="仿宋_GB2312" w:eastAsia="仿宋_GB2312" w:cs="仿宋_GB2312"/>
          <w:sz w:val="32"/>
          <w:szCs w:val="32"/>
          <w:lang w:val="en-US" w:eastAsia="zh-CN"/>
        </w:rPr>
        <w:t>.00</w:t>
      </w:r>
      <w:r>
        <w:rPr>
          <w:rFonts w:hint="eastAsia" w:ascii="仿宋_GB2312" w:eastAsia="仿宋_GB2312" w:cs="仿宋_GB2312"/>
          <w:sz w:val="32"/>
          <w:szCs w:val="32"/>
        </w:rPr>
        <w:t>万元，支出决算为</w:t>
      </w:r>
      <w:r>
        <w:rPr>
          <w:rFonts w:ascii="仿宋_GB2312" w:eastAsia="仿宋_GB2312" w:cs="仿宋_GB2312"/>
          <w:sz w:val="32"/>
          <w:szCs w:val="32"/>
        </w:rPr>
        <w:t>3.36</w:t>
      </w:r>
      <w:r>
        <w:rPr>
          <w:rFonts w:hint="eastAsia" w:ascii="仿宋_GB2312" w:eastAsia="仿宋_GB2312" w:cs="仿宋_GB2312"/>
          <w:sz w:val="32"/>
          <w:szCs w:val="32"/>
        </w:rPr>
        <w:t>万元，完成预算的</w:t>
      </w:r>
      <w:r>
        <w:rPr>
          <w:rFonts w:ascii="仿宋_GB2312" w:eastAsia="仿宋_GB2312" w:cs="仿宋_GB2312"/>
          <w:sz w:val="32"/>
          <w:szCs w:val="32"/>
        </w:rPr>
        <w:t>2</w:t>
      </w:r>
      <w:r>
        <w:rPr>
          <w:rFonts w:hint="default" w:ascii="仿宋_GB2312" w:eastAsia="仿宋_GB2312" w:cs="仿宋_GB2312"/>
          <w:sz w:val="32"/>
          <w:szCs w:val="32"/>
          <w:lang w:val="en"/>
        </w:rPr>
        <w:t>8.00</w:t>
      </w:r>
      <w:r>
        <w:rPr>
          <w:rFonts w:ascii="仿宋_GB2312" w:eastAsia="仿宋_GB2312" w:cs="仿宋_GB2312"/>
          <w:sz w:val="32"/>
          <w:szCs w:val="32"/>
        </w:rPr>
        <w:t>%</w:t>
      </w:r>
      <w:r>
        <w:rPr>
          <w:rFonts w:hint="eastAsia" w:ascii="仿宋_GB2312" w:eastAsia="仿宋_GB2312" w:cs="仿宋_GB2312"/>
          <w:sz w:val="32"/>
          <w:szCs w:val="32"/>
        </w:rPr>
        <w:t>，</w:t>
      </w:r>
      <w:r>
        <w:rPr>
          <w:rFonts w:hint="eastAsia" w:ascii="仿宋_GB2312" w:hAnsi="仿宋_GB2312" w:eastAsia="仿宋_GB2312" w:cs="仿宋_GB2312"/>
          <w:sz w:val="32"/>
          <w:szCs w:val="32"/>
        </w:rPr>
        <w:t>决算数与预算数存在差异的主要原因是</w:t>
      </w:r>
      <w:r>
        <w:rPr>
          <w:rFonts w:hint="eastAsia" w:ascii="仿宋" w:hAnsi="仿宋" w:eastAsia="仿宋"/>
          <w:sz w:val="32"/>
          <w:szCs w:val="32"/>
        </w:rPr>
        <w:t>加强车辆管理，严格控制公车运行支出</w:t>
      </w:r>
      <w:r>
        <w:rPr>
          <w:rFonts w:hint="eastAsia" w:ascii="仿宋_GB2312" w:hAnsi="仿宋_GB2312" w:eastAsia="仿宋_GB2312" w:cs="仿宋_GB2312"/>
          <w:sz w:val="32"/>
          <w:szCs w:val="32"/>
        </w:rPr>
        <w:t>。其中：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万元，购置车辆0台。</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sz w:val="32"/>
          <w:szCs w:val="24"/>
        </w:rPr>
        <w:t>3.36</w:t>
      </w:r>
      <w:r>
        <w:rPr>
          <w:rFonts w:hint="eastAsia" w:ascii="仿宋_GB2312" w:hAnsi="仿宋_GB2312" w:eastAsia="仿宋_GB2312" w:cs="仿宋_GB2312"/>
          <w:sz w:val="32"/>
          <w:szCs w:val="32"/>
        </w:rPr>
        <w:t>万元。主要用于</w:t>
      </w:r>
      <w:r>
        <w:rPr>
          <w:rFonts w:hint="eastAsia" w:ascii="仿宋_GB2312" w:hAnsi="宋体" w:eastAsia="仿宋_GB2312" w:cs="Courier New"/>
          <w:sz w:val="32"/>
          <w:szCs w:val="32"/>
        </w:rPr>
        <w:t>燃料费、维修费、保险费等支出</w:t>
      </w:r>
      <w:r>
        <w:rPr>
          <w:rFonts w:hint="eastAsia" w:ascii="仿宋" w:eastAsia="仿宋"/>
          <w:sz w:val="32"/>
          <w:szCs w:val="32"/>
        </w:rPr>
        <w:t>。</w:t>
      </w:r>
      <w:r>
        <w:rPr>
          <w:rFonts w:hint="eastAsia" w:ascii="仿宋_GB2312" w:hAnsi="仿宋_GB2312" w:eastAsia="仿宋_GB2312" w:cs="仿宋_GB2312"/>
          <w:sz w:val="32"/>
          <w:szCs w:val="32"/>
        </w:rPr>
        <w:t>2021年期末，</w:t>
      </w:r>
      <w:r>
        <w:rPr>
          <w:rFonts w:hint="eastAsia" w:ascii="仿宋_GB2312" w:eastAsia="仿宋_GB2312" w:cs="仿宋_GB2312"/>
          <w:sz w:val="32"/>
          <w:szCs w:val="32"/>
        </w:rPr>
        <w:t>单位开支财政拨款的公务用车</w:t>
      </w:r>
      <w:r>
        <w:rPr>
          <w:rFonts w:hint="eastAsia" w:ascii="仿宋_GB2312" w:hAnsi="仿宋_GB2312" w:eastAsia="仿宋_GB2312" w:cs="仿宋_GB2312"/>
          <w:sz w:val="32"/>
          <w:szCs w:val="32"/>
        </w:rPr>
        <w:t>保有量为3辆。</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w:t>
      </w:r>
      <w:r>
        <w:rPr>
          <w:rFonts w:hint="eastAsia" w:ascii="仿宋_GB2312" w:hAnsi="仿宋_GB2312" w:eastAsia="仿宋_GB2312"/>
          <w:sz w:val="32"/>
          <w:szCs w:val="24"/>
        </w:rPr>
        <w:t>0.43</w:t>
      </w:r>
      <w:r>
        <w:rPr>
          <w:rFonts w:hint="eastAsia" w:ascii="仿宋_GB2312" w:hAnsi="仿宋_GB2312" w:eastAsia="仿宋_GB2312" w:cs="仿宋_GB2312"/>
          <w:sz w:val="32"/>
          <w:szCs w:val="32"/>
        </w:rPr>
        <w:t>万元，支出决算为0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万元。决算数与预算数存在差异的主要原因是严格执行中央“八项”规定，规范公务接待费用管理。其中：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年共接待国内来访团组0个、来宾0人次（不包括陪同人员）。</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年度政府性基金预算财政拨款支出预算为0.00万元，支出决算为0.00万元。不存在项目年末结转和结余资金数额较大</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情况说明：</w:t>
      </w:r>
      <w:r>
        <w:rPr>
          <w:rFonts w:hint="eastAsia" w:ascii="仿宋_GB2312" w:hAnsi="仿宋_GB2312" w:eastAsia="仿宋_GB2312" w:cs="仿宋_GB2312"/>
          <w:sz w:val="32"/>
          <w:szCs w:val="32"/>
          <w:highlight w:val="none"/>
        </w:rPr>
        <w:t>我</w:t>
      </w:r>
      <w:r>
        <w:rPr>
          <w:rFonts w:hint="eastAsia" w:ascii="仿宋_GB2312" w:hAnsi="仿宋_GB2312" w:eastAsia="仿宋_GB2312" w:cs="仿宋_GB2312"/>
          <w:sz w:val="32"/>
          <w:szCs w:val="32"/>
          <w:highlight w:val="none"/>
          <w:lang w:val="en-US" w:eastAsia="zh-CN"/>
        </w:rPr>
        <w:t>单位2021年度</w:t>
      </w:r>
      <w:r>
        <w:rPr>
          <w:rFonts w:hint="eastAsia" w:ascii="仿宋_GB2312" w:hAnsi="仿宋_GB2312" w:eastAsia="仿宋_GB2312" w:cs="仿宋_GB2312"/>
          <w:sz w:val="32"/>
          <w:szCs w:val="32"/>
          <w:highlight w:val="none"/>
        </w:rPr>
        <w:t>没有政府性基金收入，也没有使用政府性基金安排的支出</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年度机关运行经费预算为</w:t>
      </w:r>
      <w:r>
        <w:rPr>
          <w:rFonts w:hint="eastAsia" w:ascii="仿宋_GB2312" w:hAnsi="仿宋_GB2312" w:eastAsia="仿宋_GB2312" w:cs="仿宋_GB2312"/>
          <w:color w:val="auto"/>
          <w:sz w:val="32"/>
          <w:szCs w:val="32"/>
        </w:rPr>
        <w:t>69.10万</w:t>
      </w:r>
      <w:r>
        <w:rPr>
          <w:rFonts w:hint="eastAsia" w:ascii="仿宋_GB2312" w:hAnsi="仿宋_GB2312" w:eastAsia="仿宋_GB2312" w:cs="仿宋_GB2312"/>
          <w:sz w:val="32"/>
          <w:szCs w:val="32"/>
        </w:rPr>
        <w:t>元，支出决算为</w:t>
      </w:r>
      <w:r>
        <w:rPr>
          <w:rFonts w:hint="eastAsia" w:ascii="仿宋_GB2312" w:hAnsi="仿宋_GB2312" w:eastAsia="仿宋_GB2312"/>
          <w:sz w:val="32"/>
          <w:szCs w:val="24"/>
        </w:rPr>
        <w:t>51.39</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74.37</w:t>
      </w:r>
      <w:r>
        <w:rPr>
          <w:rFonts w:hint="eastAsia" w:ascii="仿宋_GB2312" w:hAnsi="仿宋_GB2312" w:eastAsia="仿宋_GB2312" w:cs="仿宋_GB2312"/>
          <w:sz w:val="32"/>
          <w:szCs w:val="32"/>
        </w:rPr>
        <w:t>%。决算数与预算数存在差异的主要原因是严格执行中央“八项”规定,规范管理，杜绝浪费现象,</w:t>
      </w:r>
      <w:r>
        <w:rPr>
          <w:rFonts w:hint="eastAsia" w:ascii="仿宋_GB2312" w:eastAsia="仿宋_GB2312" w:cs="宋体"/>
          <w:kern w:val="0"/>
          <w:sz w:val="32"/>
          <w:szCs w:val="32"/>
          <w:lang w:val="zh-CN"/>
        </w:rPr>
        <w:t>压缩各项办公经费开支</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十、政府采购支出情况说明</w:t>
      </w:r>
    </w:p>
    <w:p>
      <w:pPr>
        <w:autoSpaceDE w:val="0"/>
        <w:autoSpaceDN w:val="0"/>
        <w:adjustRightInd w:val="0"/>
        <w:spacing w:line="590" w:lineRule="exact"/>
        <w:ind w:firstLine="640"/>
        <w:rPr>
          <w:rFonts w:eastAsia="仿宋_GB2312"/>
          <w:kern w:val="0"/>
          <w:sz w:val="18"/>
          <w:szCs w:val="18"/>
          <w:lang w:val="zh-CN"/>
        </w:rPr>
      </w:pPr>
      <w:r>
        <w:rPr>
          <w:rFonts w:ascii="仿宋_GB2312" w:eastAsia="仿宋_GB2312" w:cs="仿宋_GB2312"/>
          <w:sz w:val="32"/>
          <w:szCs w:val="32"/>
        </w:rPr>
        <w:t>2021</w:t>
      </w:r>
      <w:r>
        <w:rPr>
          <w:rFonts w:hint="eastAsia" w:ascii="仿宋_GB2312" w:eastAsia="仿宋_GB2312" w:cs="仿宋_GB2312"/>
          <w:sz w:val="32"/>
          <w:szCs w:val="32"/>
        </w:rPr>
        <w:t>年度政府采购支出总额</w:t>
      </w:r>
      <w:r>
        <w:rPr>
          <w:rFonts w:ascii="仿宋_GB2312" w:eastAsia="仿宋_GB2312" w:cs="仿宋_GB2312"/>
          <w:sz w:val="32"/>
          <w:szCs w:val="32"/>
        </w:rPr>
        <w:t>0</w:t>
      </w:r>
      <w:r>
        <w:rPr>
          <w:rFonts w:hint="eastAsia" w:ascii="仿宋_GB2312" w:eastAsia="仿宋_GB2312" w:cs="仿宋_GB2312"/>
          <w:sz w:val="32"/>
          <w:szCs w:val="32"/>
          <w:lang w:val="en-US" w:eastAsia="zh-CN"/>
        </w:rPr>
        <w:t>.00</w:t>
      </w:r>
      <w:r>
        <w:rPr>
          <w:rFonts w:hint="eastAsia" w:ascii="仿宋_GB2312" w:eastAsia="仿宋_GB2312" w:cs="仿宋_GB2312"/>
          <w:sz w:val="32"/>
          <w:szCs w:val="32"/>
        </w:rPr>
        <w:t>万元，其中：政府采购货物支出</w:t>
      </w:r>
      <w:r>
        <w:rPr>
          <w:rFonts w:ascii="仿宋_GB2312" w:eastAsia="仿宋_GB2312" w:cs="仿宋_GB2312"/>
          <w:sz w:val="32"/>
          <w:szCs w:val="32"/>
        </w:rPr>
        <w:t>0</w:t>
      </w:r>
      <w:r>
        <w:rPr>
          <w:rFonts w:hint="eastAsia" w:ascii="仿宋_GB2312" w:eastAsia="仿宋_GB2312" w:cs="仿宋_GB2312"/>
          <w:sz w:val="32"/>
          <w:szCs w:val="32"/>
          <w:lang w:val="en-US" w:eastAsia="zh-CN"/>
        </w:rPr>
        <w:t>.00</w:t>
      </w:r>
      <w:r>
        <w:rPr>
          <w:rFonts w:hint="eastAsia" w:ascii="仿宋_GB2312" w:eastAsia="仿宋_GB2312" w:cs="仿宋_GB2312"/>
          <w:sz w:val="32"/>
          <w:szCs w:val="32"/>
        </w:rPr>
        <w:t>万元、政府采购工程支出</w:t>
      </w:r>
      <w:r>
        <w:rPr>
          <w:rFonts w:ascii="仿宋_GB2312" w:eastAsia="仿宋_GB2312" w:cs="仿宋_GB2312"/>
          <w:sz w:val="32"/>
          <w:szCs w:val="32"/>
        </w:rPr>
        <w:t>0</w:t>
      </w:r>
      <w:r>
        <w:rPr>
          <w:rFonts w:hint="eastAsia" w:ascii="仿宋_GB2312" w:eastAsia="仿宋_GB2312" w:cs="仿宋_GB2312"/>
          <w:sz w:val="32"/>
          <w:szCs w:val="32"/>
          <w:lang w:val="en-US" w:eastAsia="zh-CN"/>
        </w:rPr>
        <w:t>.00</w:t>
      </w:r>
      <w:r>
        <w:rPr>
          <w:rFonts w:hint="eastAsia" w:ascii="仿宋_GB2312" w:eastAsia="仿宋_GB2312" w:cs="仿宋_GB2312"/>
          <w:sz w:val="32"/>
          <w:szCs w:val="32"/>
        </w:rPr>
        <w:t>万元、政府采购服务支出</w:t>
      </w:r>
      <w:r>
        <w:rPr>
          <w:rFonts w:ascii="仿宋_GB2312" w:eastAsia="仿宋_GB2312" w:cs="仿宋_GB2312"/>
          <w:sz w:val="32"/>
          <w:szCs w:val="32"/>
        </w:rPr>
        <w:t>0</w:t>
      </w:r>
      <w:r>
        <w:rPr>
          <w:rFonts w:hint="eastAsia" w:ascii="仿宋_GB2312" w:eastAsia="仿宋_GB2312" w:cs="仿宋_GB2312"/>
          <w:sz w:val="32"/>
          <w:szCs w:val="32"/>
          <w:lang w:val="en-US" w:eastAsia="zh-CN"/>
        </w:rPr>
        <w:t>.00</w:t>
      </w:r>
      <w:r>
        <w:rPr>
          <w:rFonts w:hint="eastAsia" w:ascii="仿宋_GB2312" w:eastAsia="仿宋_GB2312" w:cs="仿宋_GB2312"/>
          <w:sz w:val="32"/>
          <w:szCs w:val="32"/>
        </w:rPr>
        <w:t>万元。授予中小企业合同金额</w:t>
      </w:r>
      <w:r>
        <w:rPr>
          <w:rFonts w:ascii="仿宋_GB2312" w:eastAsia="仿宋_GB2312" w:cs="仿宋_GB2312"/>
          <w:sz w:val="32"/>
          <w:szCs w:val="32"/>
        </w:rPr>
        <w:t>0</w:t>
      </w:r>
      <w:r>
        <w:rPr>
          <w:rFonts w:hint="eastAsia" w:ascii="仿宋_GB2312" w:eastAsia="仿宋_GB2312" w:cs="仿宋_GB2312"/>
          <w:sz w:val="32"/>
          <w:szCs w:val="32"/>
          <w:lang w:val="en-US" w:eastAsia="zh-CN"/>
        </w:rPr>
        <w:t>.00</w:t>
      </w:r>
      <w:r>
        <w:rPr>
          <w:rFonts w:hint="eastAsia" w:ascii="仿宋_GB2312" w:eastAsia="仿宋_GB2312" w:cs="仿宋_GB2312"/>
          <w:sz w:val="32"/>
          <w:szCs w:val="32"/>
        </w:rPr>
        <w:t>万元，其中：授予小微企业合同金额</w:t>
      </w:r>
      <w:r>
        <w:rPr>
          <w:rFonts w:ascii="仿宋_GB2312" w:eastAsia="仿宋_GB2312" w:cs="仿宋_GB2312"/>
          <w:sz w:val="32"/>
          <w:szCs w:val="32"/>
        </w:rPr>
        <w:t>0</w:t>
      </w:r>
      <w:r>
        <w:rPr>
          <w:rFonts w:hint="eastAsia" w:ascii="仿宋_GB2312" w:eastAsia="仿宋_GB2312" w:cs="仿宋_GB2312"/>
          <w:sz w:val="32"/>
          <w:szCs w:val="32"/>
          <w:lang w:val="en-US" w:eastAsia="zh-CN"/>
        </w:rPr>
        <w:t>.00</w:t>
      </w:r>
      <w:r>
        <w:rPr>
          <w:rFonts w:hint="eastAsia" w:ascii="仿宋_GB2312" w:eastAsia="仿宋_GB2312" w:cs="仿宋_GB2312"/>
          <w:sz w:val="32"/>
          <w:szCs w:val="32"/>
        </w:rPr>
        <w:t>万元。</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十一、国有资产占用情况说明</w:t>
      </w:r>
    </w:p>
    <w:p>
      <w:pPr>
        <w:autoSpaceDE w:val="0"/>
        <w:autoSpaceDN w:val="0"/>
        <w:adjustRightInd w:val="0"/>
        <w:spacing w:line="590" w:lineRule="exact"/>
        <w:ind w:firstLine="640"/>
        <w:rPr>
          <w:rFonts w:hint="eastAsia" w:eastAsia="仿宋_GB2312"/>
          <w:kern w:val="0"/>
          <w:sz w:val="18"/>
          <w:szCs w:val="18"/>
        </w:rPr>
      </w:pPr>
      <w:r>
        <w:rPr>
          <w:rFonts w:ascii="仿宋_GB2312" w:eastAsia="仿宋_GB2312" w:cs="仿宋_GB2312"/>
          <w:sz w:val="32"/>
          <w:szCs w:val="32"/>
        </w:rPr>
        <w:t>2021</w:t>
      </w:r>
      <w:r>
        <w:rPr>
          <w:rFonts w:hint="eastAsia" w:ascii="仿宋_GB2312" w:eastAsia="仿宋_GB2312" w:cs="仿宋_GB2312"/>
          <w:sz w:val="32"/>
          <w:szCs w:val="32"/>
        </w:rPr>
        <w:t>年期末，我单位共有车辆</w:t>
      </w:r>
      <w:r>
        <w:rPr>
          <w:rFonts w:ascii="仿宋_GB2312" w:eastAsia="仿宋_GB2312" w:cs="仿宋_GB2312"/>
          <w:sz w:val="32"/>
          <w:szCs w:val="32"/>
        </w:rPr>
        <w:t>3</w:t>
      </w:r>
      <w:r>
        <w:rPr>
          <w:rFonts w:hint="eastAsia" w:ascii="仿宋_GB2312" w:eastAsia="仿宋_GB2312" w:cs="仿宋_GB2312"/>
          <w:sz w:val="32"/>
          <w:szCs w:val="32"/>
        </w:rPr>
        <w:t>辆，其中：省级领导干部用车</w:t>
      </w:r>
      <w:r>
        <w:rPr>
          <w:rFonts w:ascii="仿宋_GB2312" w:eastAsia="仿宋_GB2312" w:cs="仿宋_GB2312"/>
          <w:sz w:val="32"/>
          <w:szCs w:val="32"/>
        </w:rPr>
        <w:t>0</w:t>
      </w:r>
      <w:r>
        <w:rPr>
          <w:rFonts w:hint="eastAsia" w:ascii="仿宋_GB2312" w:eastAsia="仿宋_GB2312" w:cs="仿宋_GB2312"/>
          <w:sz w:val="32"/>
          <w:szCs w:val="32"/>
        </w:rPr>
        <w:t>辆、主要领导干部用车</w:t>
      </w:r>
      <w:r>
        <w:rPr>
          <w:rFonts w:ascii="仿宋_GB2312" w:eastAsia="仿宋_GB2312" w:cs="仿宋_GB2312"/>
          <w:sz w:val="32"/>
          <w:szCs w:val="32"/>
        </w:rPr>
        <w:t>0</w:t>
      </w:r>
      <w:r>
        <w:rPr>
          <w:rFonts w:hint="eastAsia" w:ascii="仿宋_GB2312" w:eastAsia="仿宋_GB2312" w:cs="仿宋_GB2312"/>
          <w:sz w:val="32"/>
          <w:szCs w:val="32"/>
        </w:rPr>
        <w:t>辆、机要通信用车</w:t>
      </w:r>
      <w:r>
        <w:rPr>
          <w:rFonts w:ascii="仿宋_GB2312" w:eastAsia="仿宋_GB2312" w:cs="仿宋_GB2312"/>
          <w:sz w:val="32"/>
          <w:szCs w:val="32"/>
        </w:rPr>
        <w:t>0</w:t>
      </w:r>
      <w:r>
        <w:rPr>
          <w:rFonts w:hint="eastAsia" w:ascii="仿宋_GB2312" w:eastAsia="仿宋_GB2312" w:cs="仿宋_GB2312"/>
          <w:sz w:val="32"/>
          <w:szCs w:val="32"/>
        </w:rPr>
        <w:t>辆、应急保障车</w:t>
      </w:r>
      <w:r>
        <w:rPr>
          <w:rFonts w:ascii="仿宋_GB2312" w:eastAsia="仿宋_GB2312" w:cs="仿宋_GB2312"/>
          <w:sz w:val="32"/>
          <w:szCs w:val="32"/>
        </w:rPr>
        <w:t>0</w:t>
      </w:r>
      <w:r>
        <w:rPr>
          <w:rFonts w:hint="eastAsia" w:ascii="仿宋_GB2312" w:eastAsia="仿宋_GB2312" w:cs="仿宋_GB2312"/>
          <w:sz w:val="32"/>
          <w:szCs w:val="32"/>
        </w:rPr>
        <w:t>辆、执法执勤用车</w:t>
      </w:r>
      <w:r>
        <w:rPr>
          <w:rFonts w:ascii="仿宋_GB2312" w:eastAsia="仿宋_GB2312" w:cs="仿宋_GB2312"/>
          <w:sz w:val="32"/>
          <w:szCs w:val="32"/>
        </w:rPr>
        <w:t>3</w:t>
      </w:r>
      <w:r>
        <w:rPr>
          <w:rFonts w:hint="eastAsia" w:ascii="仿宋_GB2312" w:eastAsia="仿宋_GB2312" w:cs="仿宋_GB2312"/>
          <w:sz w:val="32"/>
          <w:szCs w:val="32"/>
        </w:rPr>
        <w:t>辆、特种专业技术用车</w:t>
      </w:r>
      <w:r>
        <w:rPr>
          <w:rFonts w:ascii="仿宋_GB2312" w:eastAsia="仿宋_GB2312" w:cs="仿宋_GB2312"/>
          <w:sz w:val="32"/>
          <w:szCs w:val="32"/>
        </w:rPr>
        <w:t>0</w:t>
      </w:r>
      <w:r>
        <w:rPr>
          <w:rFonts w:hint="eastAsia" w:ascii="仿宋_GB2312" w:eastAsia="仿宋_GB2312" w:cs="仿宋_GB2312"/>
          <w:sz w:val="32"/>
          <w:szCs w:val="32"/>
        </w:rPr>
        <w:t>辆、离退休干部用车</w:t>
      </w:r>
      <w:r>
        <w:rPr>
          <w:rFonts w:ascii="仿宋_GB2312" w:eastAsia="仿宋_GB2312" w:cs="仿宋_GB2312"/>
          <w:sz w:val="32"/>
          <w:szCs w:val="32"/>
        </w:rPr>
        <w:t>0</w:t>
      </w:r>
      <w:r>
        <w:rPr>
          <w:rFonts w:hint="eastAsia" w:ascii="仿宋_GB2312" w:eastAsia="仿宋_GB2312" w:cs="仿宋_GB2312"/>
          <w:sz w:val="32"/>
          <w:szCs w:val="32"/>
        </w:rPr>
        <w:t>辆、其他用车</w:t>
      </w:r>
      <w:r>
        <w:rPr>
          <w:rFonts w:ascii="仿宋_GB2312" w:eastAsia="仿宋_GB2312" w:cs="仿宋_GB2312"/>
          <w:sz w:val="32"/>
          <w:szCs w:val="32"/>
        </w:rPr>
        <w:t>0</w:t>
      </w:r>
      <w:r>
        <w:rPr>
          <w:rFonts w:hint="eastAsia" w:ascii="仿宋_GB2312" w:eastAsia="仿宋_GB2312" w:cs="仿宋_GB2312"/>
          <w:sz w:val="32"/>
          <w:szCs w:val="32"/>
        </w:rPr>
        <w:t>辆；单位价值</w:t>
      </w:r>
      <w:r>
        <w:rPr>
          <w:rFonts w:ascii="仿宋_GB2312" w:eastAsia="仿宋_GB2312" w:cs="仿宋_GB2312"/>
          <w:sz w:val="32"/>
          <w:szCs w:val="32"/>
        </w:rPr>
        <w:t>50</w:t>
      </w:r>
      <w:r>
        <w:rPr>
          <w:rFonts w:hint="eastAsia" w:ascii="仿宋_GB2312" w:eastAsia="仿宋_GB2312" w:cs="仿宋_GB2312"/>
          <w:sz w:val="32"/>
          <w:szCs w:val="32"/>
        </w:rPr>
        <w:t>万元以上通用设备</w:t>
      </w:r>
      <w:r>
        <w:rPr>
          <w:rFonts w:ascii="仿宋_GB2312" w:eastAsia="仿宋_GB2312" w:cs="仿宋_GB2312"/>
          <w:sz w:val="32"/>
          <w:szCs w:val="32"/>
        </w:rPr>
        <w:t>0</w:t>
      </w:r>
      <w:r>
        <w:rPr>
          <w:rFonts w:hint="eastAsia" w:ascii="仿宋_GB2312" w:eastAsia="仿宋_GB2312" w:cs="仿宋_GB2312"/>
          <w:sz w:val="32"/>
          <w:szCs w:val="32"/>
        </w:rPr>
        <w:t>台（套），单位价值</w:t>
      </w:r>
      <w:r>
        <w:rPr>
          <w:rFonts w:ascii="仿宋_GB2312" w:eastAsia="仿宋_GB2312" w:cs="仿宋_GB2312"/>
          <w:sz w:val="32"/>
          <w:szCs w:val="32"/>
        </w:rPr>
        <w:t>100</w:t>
      </w:r>
      <w:r>
        <w:rPr>
          <w:rFonts w:hint="eastAsia" w:ascii="仿宋_GB2312" w:eastAsia="仿宋_GB2312" w:cs="仿宋_GB2312"/>
          <w:sz w:val="32"/>
          <w:szCs w:val="32"/>
        </w:rPr>
        <w:t>万元以上专用设备</w:t>
      </w:r>
      <w:r>
        <w:rPr>
          <w:rFonts w:ascii="仿宋_GB2312" w:eastAsia="仿宋_GB2312" w:cs="仿宋_GB2312"/>
          <w:sz w:val="32"/>
          <w:szCs w:val="32"/>
        </w:rPr>
        <w:t>0</w:t>
      </w:r>
      <w:r>
        <w:rPr>
          <w:rFonts w:hint="eastAsia" w:ascii="仿宋_GB2312" w:eastAsia="仿宋_GB2312" w:cs="仿宋_GB2312"/>
          <w:sz w:val="32"/>
          <w:szCs w:val="32"/>
        </w:rPr>
        <w:t>台（套）。</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十二、预算绩效情况说明</w:t>
      </w:r>
    </w:p>
    <w:p>
      <w:pPr>
        <w:widowControl/>
        <w:spacing w:line="590" w:lineRule="exact"/>
        <w:ind w:firstLine="643" w:firstLineChars="200"/>
        <w:outlineLvl w:val="1"/>
        <w:rPr>
          <w:rFonts w:hint="eastAsia" w:ascii="黑体" w:hAnsi="黑体" w:eastAsia="黑体" w:cs="黑体"/>
          <w:sz w:val="32"/>
          <w:szCs w:val="32"/>
        </w:rPr>
      </w:pPr>
      <w:r>
        <w:rPr>
          <w:rFonts w:hint="eastAsia" w:ascii="楷体_GB2312" w:hAnsi="楷体_GB2312" w:eastAsia="楷体_GB2312" w:cs="楷体_GB2312"/>
          <w:b/>
          <w:bCs/>
          <w:sz w:val="32"/>
          <w:szCs w:val="32"/>
        </w:rPr>
        <w:t>（一）绩效管理工作开展情况。</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按照《中共许昌市委 许昌市人民政府关于全面实施预算绩效管理的实施意见》（许发〔2021〕13号）文件要求，对</w:t>
      </w:r>
      <w:r>
        <w:rPr>
          <w:rFonts w:hint="eastAsia" w:ascii="仿宋_GB2312" w:hAnsi="仿宋_GB2312" w:eastAsia="仿宋_GB2312" w:cs="仿宋_GB2312"/>
          <w:sz w:val="32"/>
          <w:szCs w:val="32"/>
          <w:lang w:val="en-US" w:eastAsia="zh-CN"/>
        </w:rPr>
        <w:t>本单位</w:t>
      </w:r>
      <w:r>
        <w:rPr>
          <w:rFonts w:hint="eastAsia" w:ascii="仿宋_GB2312" w:hAnsi="仿宋_GB2312" w:eastAsia="仿宋_GB2312" w:cs="仿宋_GB2312"/>
          <w:sz w:val="32"/>
          <w:szCs w:val="32"/>
        </w:rPr>
        <w:t>整体支出和项目支出开展全过程预算绩效管理</w:t>
      </w:r>
      <w:r>
        <w:rPr>
          <w:rFonts w:hint="eastAsia" w:ascii="仿宋_GB2312" w:hAnsi="仿宋_GB2312" w:eastAsia="仿宋_GB2312" w:cs="仿宋_GB2312"/>
          <w:color w:val="auto"/>
          <w:sz w:val="32"/>
          <w:szCs w:val="32"/>
          <w:highlight w:val="none"/>
          <w:lang w:val="en-US" w:eastAsia="zh-CN"/>
        </w:rPr>
        <w:t>我单位多次召开相关科室人员会议，加强学习预算绩效相关制度文件，提高对预算绩效管理工作的重视程度，提升预算绩效管理相关人员绩效管理意识和业务水平。并以单位职责为依据，确定单位预算项目和预算额度，清晰描述预算项目开支范围和内容，确定预算项目的绩效目标和评价标准，为预算绩效控制、绩效分析、绩效评价打下了基础。</w:t>
      </w:r>
    </w:p>
    <w:p>
      <w:pPr>
        <w:widowControl/>
        <w:spacing w:line="360" w:lineRule="auto"/>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eastAsia="zh-CN"/>
        </w:rPr>
        <w:t>单位</w:t>
      </w:r>
      <w:r>
        <w:rPr>
          <w:rFonts w:hint="eastAsia" w:ascii="楷体_GB2312" w:hAnsi="楷体_GB2312" w:eastAsia="楷体_GB2312" w:cs="楷体_GB2312"/>
          <w:b/>
          <w:bCs/>
          <w:sz w:val="32"/>
          <w:szCs w:val="32"/>
        </w:rPr>
        <w:t>整体和项目绩效自评结果。</w:t>
      </w:r>
    </w:p>
    <w:p>
      <w:pPr>
        <w:widowControl/>
        <w:spacing w:line="36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rPr>
        <w:t>按照《许昌市财政局关于开展2021年度市级预算绩效自评工作的通知》（许财效〔202</w:t>
      </w:r>
      <w:r>
        <w:rPr>
          <w:rFonts w:hint="default" w:ascii="仿宋_GB2312" w:hAnsi="仿宋_GB2312" w:eastAsia="仿宋_GB2312" w:cs="仿宋_GB2312"/>
          <w:color w:val="auto"/>
          <w:sz w:val="32"/>
          <w:szCs w:val="32"/>
          <w:lang w:val="en"/>
        </w:rPr>
        <w:t>2</w:t>
      </w:r>
      <w:r>
        <w:rPr>
          <w:rFonts w:hint="eastAsia" w:ascii="仿宋_GB2312" w:hAnsi="仿宋_GB2312" w:eastAsia="仿宋_GB2312" w:cs="仿宋_GB2312"/>
          <w:color w:val="auto"/>
          <w:sz w:val="32"/>
          <w:szCs w:val="32"/>
        </w:rPr>
        <w:t>〕1号）等文件精神，我</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对本</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整体绩效目标和项目支出绩效目标进行了自评。一是</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整体绩效自评情况，紧紧围绕加强执法办案，维护市场秩序的工作目标，提升资金使用效益。精心组织，安排人员学习绩效管理相关知识，围绕目标任务，有序开展工作，较好的完成了年初制定的年度整体绩效目标。</w:t>
      </w:r>
      <w:r>
        <w:rPr>
          <w:rFonts w:hint="eastAsia" w:ascii="仿宋_GB2312" w:hAnsi="仿宋_GB2312" w:eastAsia="仿宋_GB2312" w:cs="仿宋_GB2312"/>
          <w:color w:val="auto"/>
          <w:sz w:val="32"/>
          <w:szCs w:val="32"/>
          <w:highlight w:val="none"/>
          <w:lang w:val="en-US" w:eastAsia="zh-CN"/>
        </w:rPr>
        <w:t>二是项目绩效自评情况。我单位共有0个项目批复了绩效目标，项目金额0.00万元。基于项目预期目标的实现程度，对2021年度项目支出绩效进行自评，绩效自评平均得分为0分。其中：0个项目评价等级为“优”、0个项目评价等级为“良”、0个项目评价等级为“中”、0个项目评价等级为“差”。</w:t>
      </w:r>
    </w:p>
    <w:p>
      <w:pPr>
        <w:widowControl/>
        <w:spacing w:line="360" w:lineRule="auto"/>
        <w:ind w:firstLine="964" w:firstLineChars="3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ind w:firstLine="640" w:firstLineChars="200"/>
        <w:jc w:val="left"/>
        <w:rPr>
          <w:rFonts w:ascii="黑体" w:hAnsi="宋体" w:eastAsia="黑体" w:cs="宋体"/>
          <w:kern w:val="0"/>
          <w:sz w:val="28"/>
          <w:szCs w:val="28"/>
        </w:rPr>
      </w:pPr>
      <w:r>
        <w:rPr>
          <w:rFonts w:hint="eastAsia" w:ascii="仿宋_GB2312" w:hAnsi="仿宋_GB2312" w:eastAsia="仿宋_GB2312" w:cs="仿宋_GB2312"/>
          <w:sz w:val="32"/>
          <w:szCs w:val="32"/>
        </w:rPr>
        <w:t>2021年度我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没有开展重点绩效评价的项目。</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both"/>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第四部分  名词解释</w:t>
      </w:r>
    </w:p>
    <w:p>
      <w:pPr>
        <w:jc w:val="center"/>
        <w:rPr>
          <w:rFonts w:hint="eastAsia" w:ascii="黑体" w:hAnsi="黑体" w:eastAsia="黑体" w:cs="黑体"/>
          <w:sz w:val="48"/>
          <w:szCs w:val="48"/>
        </w:rPr>
      </w:pPr>
    </w:p>
    <w:p>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取得的财政预算资金。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CCu/GeIBAADMAwAADgAA&#10;AAAAAAABACAAAAAeAQAAZHJzL2Uyb0RvYy54bWxQSwUGAAAAAAYABgBZAQAAcg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rPr>
                              <w:rFonts w:hint="eastAsia"/>
                            </w:rPr>
                          </w:pP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GewwJDjAQAAzwMAAA4A&#10;AAAAAAAAAQAgAAAAHgEAAGRycy9lMm9Eb2MueG1sUEsFBgAAAAAGAAYAWQEAAHM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2kRv5eIBAADMAwAADgAA&#10;AAAAAAABACAAAAAeAQAAZHJzL2Uyb0RvYy54bWxQSwUGAAAAAAYABgBZAQAAcg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6C773F"/>
    <w:multiLevelType w:val="singleLevel"/>
    <w:tmpl w:val="F96C773F"/>
    <w:lvl w:ilvl="0" w:tentative="0">
      <w:start w:val="1"/>
      <w:numFmt w:val="chineseCounting"/>
      <w:suff w:val="space"/>
      <w:lvlText w:val="第%1部分"/>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Nzc3YTRmMDRiOWVjMDkxNzUyZGJmYjE3YmRiMjEifQ=="/>
  </w:docVars>
  <w:rsids>
    <w:rsidRoot w:val="000270E8"/>
    <w:rsid w:val="000270E8"/>
    <w:rsid w:val="000335B5"/>
    <w:rsid w:val="00035962"/>
    <w:rsid w:val="000359D6"/>
    <w:rsid w:val="000471E0"/>
    <w:rsid w:val="00057AFD"/>
    <w:rsid w:val="00076410"/>
    <w:rsid w:val="00081835"/>
    <w:rsid w:val="000904B3"/>
    <w:rsid w:val="000A4F5A"/>
    <w:rsid w:val="000C073B"/>
    <w:rsid w:val="000C1142"/>
    <w:rsid w:val="000D64A2"/>
    <w:rsid w:val="000F2664"/>
    <w:rsid w:val="001003F8"/>
    <w:rsid w:val="001011BC"/>
    <w:rsid w:val="00112284"/>
    <w:rsid w:val="00144159"/>
    <w:rsid w:val="00170DBF"/>
    <w:rsid w:val="001718A8"/>
    <w:rsid w:val="00182842"/>
    <w:rsid w:val="00184D53"/>
    <w:rsid w:val="001905F2"/>
    <w:rsid w:val="00197592"/>
    <w:rsid w:val="001A1702"/>
    <w:rsid w:val="001C32F0"/>
    <w:rsid w:val="001D61B1"/>
    <w:rsid w:val="001F04E1"/>
    <w:rsid w:val="001F5040"/>
    <w:rsid w:val="002006EB"/>
    <w:rsid w:val="00214AE1"/>
    <w:rsid w:val="00260D70"/>
    <w:rsid w:val="00281114"/>
    <w:rsid w:val="0028257B"/>
    <w:rsid w:val="00282C7F"/>
    <w:rsid w:val="00287811"/>
    <w:rsid w:val="00292B4B"/>
    <w:rsid w:val="002A6352"/>
    <w:rsid w:val="002B101D"/>
    <w:rsid w:val="002B3F94"/>
    <w:rsid w:val="002B602E"/>
    <w:rsid w:val="002C171D"/>
    <w:rsid w:val="002D06EF"/>
    <w:rsid w:val="002E6A86"/>
    <w:rsid w:val="002F3911"/>
    <w:rsid w:val="002F463E"/>
    <w:rsid w:val="00304D04"/>
    <w:rsid w:val="00305B88"/>
    <w:rsid w:val="00311627"/>
    <w:rsid w:val="00315F51"/>
    <w:rsid w:val="00315FEB"/>
    <w:rsid w:val="00343A4B"/>
    <w:rsid w:val="00386F75"/>
    <w:rsid w:val="003E7233"/>
    <w:rsid w:val="003F1BDD"/>
    <w:rsid w:val="0041489C"/>
    <w:rsid w:val="0042585F"/>
    <w:rsid w:val="00445CAC"/>
    <w:rsid w:val="00472E19"/>
    <w:rsid w:val="00487869"/>
    <w:rsid w:val="004D5275"/>
    <w:rsid w:val="004F63DB"/>
    <w:rsid w:val="00505190"/>
    <w:rsid w:val="00507364"/>
    <w:rsid w:val="00524B23"/>
    <w:rsid w:val="00546F7C"/>
    <w:rsid w:val="00596B5A"/>
    <w:rsid w:val="005A0C2F"/>
    <w:rsid w:val="005B1AE2"/>
    <w:rsid w:val="005E3397"/>
    <w:rsid w:val="00607D67"/>
    <w:rsid w:val="006228C4"/>
    <w:rsid w:val="00636C37"/>
    <w:rsid w:val="006512DD"/>
    <w:rsid w:val="00656BEF"/>
    <w:rsid w:val="00656D75"/>
    <w:rsid w:val="00657E86"/>
    <w:rsid w:val="00673EF7"/>
    <w:rsid w:val="00674CB0"/>
    <w:rsid w:val="006841E9"/>
    <w:rsid w:val="0069449E"/>
    <w:rsid w:val="006A5E2A"/>
    <w:rsid w:val="006C07F0"/>
    <w:rsid w:val="006C644A"/>
    <w:rsid w:val="006C7D84"/>
    <w:rsid w:val="006E52E5"/>
    <w:rsid w:val="006F0270"/>
    <w:rsid w:val="006F331E"/>
    <w:rsid w:val="007148E8"/>
    <w:rsid w:val="00733DAA"/>
    <w:rsid w:val="00742BA0"/>
    <w:rsid w:val="007464A5"/>
    <w:rsid w:val="00753545"/>
    <w:rsid w:val="00764156"/>
    <w:rsid w:val="0076607C"/>
    <w:rsid w:val="007706D7"/>
    <w:rsid w:val="007879ED"/>
    <w:rsid w:val="007A48A3"/>
    <w:rsid w:val="007C029F"/>
    <w:rsid w:val="007C7F49"/>
    <w:rsid w:val="007D0AC8"/>
    <w:rsid w:val="007D2A21"/>
    <w:rsid w:val="007E221F"/>
    <w:rsid w:val="00810F5E"/>
    <w:rsid w:val="0081618D"/>
    <w:rsid w:val="00827F55"/>
    <w:rsid w:val="00843461"/>
    <w:rsid w:val="008452D3"/>
    <w:rsid w:val="008651E7"/>
    <w:rsid w:val="00872946"/>
    <w:rsid w:val="00877673"/>
    <w:rsid w:val="0088023A"/>
    <w:rsid w:val="00880D16"/>
    <w:rsid w:val="008858FB"/>
    <w:rsid w:val="00894B41"/>
    <w:rsid w:val="00895A51"/>
    <w:rsid w:val="008A47DA"/>
    <w:rsid w:val="008B5427"/>
    <w:rsid w:val="008B6EBA"/>
    <w:rsid w:val="008B71E0"/>
    <w:rsid w:val="008C4D09"/>
    <w:rsid w:val="008C7CD0"/>
    <w:rsid w:val="008D2553"/>
    <w:rsid w:val="008D3E29"/>
    <w:rsid w:val="00903F6B"/>
    <w:rsid w:val="009173F9"/>
    <w:rsid w:val="00922668"/>
    <w:rsid w:val="009308CB"/>
    <w:rsid w:val="00950270"/>
    <w:rsid w:val="00962F58"/>
    <w:rsid w:val="00975A04"/>
    <w:rsid w:val="00987E71"/>
    <w:rsid w:val="009C455E"/>
    <w:rsid w:val="009F0FBB"/>
    <w:rsid w:val="009F546E"/>
    <w:rsid w:val="00A079F0"/>
    <w:rsid w:val="00A17328"/>
    <w:rsid w:val="00A42231"/>
    <w:rsid w:val="00A42F43"/>
    <w:rsid w:val="00A51982"/>
    <w:rsid w:val="00A57BF7"/>
    <w:rsid w:val="00A71DC1"/>
    <w:rsid w:val="00A83D8A"/>
    <w:rsid w:val="00A93E7D"/>
    <w:rsid w:val="00AA260E"/>
    <w:rsid w:val="00AA44CB"/>
    <w:rsid w:val="00AA67CD"/>
    <w:rsid w:val="00AC60C4"/>
    <w:rsid w:val="00AC6192"/>
    <w:rsid w:val="00AD6761"/>
    <w:rsid w:val="00AE2FEA"/>
    <w:rsid w:val="00AE600E"/>
    <w:rsid w:val="00B0083B"/>
    <w:rsid w:val="00B040BC"/>
    <w:rsid w:val="00B209B8"/>
    <w:rsid w:val="00B20BBC"/>
    <w:rsid w:val="00B249F3"/>
    <w:rsid w:val="00B40CC3"/>
    <w:rsid w:val="00B649BE"/>
    <w:rsid w:val="00B653A5"/>
    <w:rsid w:val="00B710DD"/>
    <w:rsid w:val="00B84418"/>
    <w:rsid w:val="00BB540E"/>
    <w:rsid w:val="00BC0DE0"/>
    <w:rsid w:val="00BE5A85"/>
    <w:rsid w:val="00BE691D"/>
    <w:rsid w:val="00BF3427"/>
    <w:rsid w:val="00BF4E6A"/>
    <w:rsid w:val="00BF5718"/>
    <w:rsid w:val="00C13474"/>
    <w:rsid w:val="00C3106E"/>
    <w:rsid w:val="00C35D73"/>
    <w:rsid w:val="00C60609"/>
    <w:rsid w:val="00C95CC1"/>
    <w:rsid w:val="00CA3F44"/>
    <w:rsid w:val="00CB03ED"/>
    <w:rsid w:val="00CB4997"/>
    <w:rsid w:val="00CC6EFA"/>
    <w:rsid w:val="00CD4CE2"/>
    <w:rsid w:val="00CE212D"/>
    <w:rsid w:val="00CE4B38"/>
    <w:rsid w:val="00D1321A"/>
    <w:rsid w:val="00D17A4A"/>
    <w:rsid w:val="00D30ADF"/>
    <w:rsid w:val="00D33CF8"/>
    <w:rsid w:val="00D55745"/>
    <w:rsid w:val="00D6315E"/>
    <w:rsid w:val="00D652C2"/>
    <w:rsid w:val="00D74EE2"/>
    <w:rsid w:val="00D83E19"/>
    <w:rsid w:val="00D86CAD"/>
    <w:rsid w:val="00D93DB2"/>
    <w:rsid w:val="00DA00C9"/>
    <w:rsid w:val="00DB200E"/>
    <w:rsid w:val="00DB65F5"/>
    <w:rsid w:val="00DC115E"/>
    <w:rsid w:val="00DD1F72"/>
    <w:rsid w:val="00DE1FAB"/>
    <w:rsid w:val="00E01C3E"/>
    <w:rsid w:val="00E057E3"/>
    <w:rsid w:val="00E13099"/>
    <w:rsid w:val="00E4339F"/>
    <w:rsid w:val="00E54DBA"/>
    <w:rsid w:val="00E60B05"/>
    <w:rsid w:val="00E629EA"/>
    <w:rsid w:val="00E6777C"/>
    <w:rsid w:val="00E71AA2"/>
    <w:rsid w:val="00E74145"/>
    <w:rsid w:val="00E96C4A"/>
    <w:rsid w:val="00EB05A3"/>
    <w:rsid w:val="00ED38B7"/>
    <w:rsid w:val="00EE051D"/>
    <w:rsid w:val="00F0131A"/>
    <w:rsid w:val="00F14C17"/>
    <w:rsid w:val="00F17041"/>
    <w:rsid w:val="00F17BC3"/>
    <w:rsid w:val="00F218CF"/>
    <w:rsid w:val="00F44937"/>
    <w:rsid w:val="00F61A47"/>
    <w:rsid w:val="00F770D6"/>
    <w:rsid w:val="00F84422"/>
    <w:rsid w:val="00F95455"/>
    <w:rsid w:val="00FA5185"/>
    <w:rsid w:val="00FA574D"/>
    <w:rsid w:val="00FC2588"/>
    <w:rsid w:val="00FE7AD9"/>
    <w:rsid w:val="01322275"/>
    <w:rsid w:val="018E1EA2"/>
    <w:rsid w:val="01AE77C6"/>
    <w:rsid w:val="01DC6F05"/>
    <w:rsid w:val="02646517"/>
    <w:rsid w:val="02A3489A"/>
    <w:rsid w:val="02CA138D"/>
    <w:rsid w:val="033646FC"/>
    <w:rsid w:val="03C75F80"/>
    <w:rsid w:val="03F51722"/>
    <w:rsid w:val="0478364D"/>
    <w:rsid w:val="053D4C0D"/>
    <w:rsid w:val="0557532E"/>
    <w:rsid w:val="05FE4657"/>
    <w:rsid w:val="067235C1"/>
    <w:rsid w:val="06746033"/>
    <w:rsid w:val="0799329C"/>
    <w:rsid w:val="08157B45"/>
    <w:rsid w:val="08397436"/>
    <w:rsid w:val="086F16A7"/>
    <w:rsid w:val="08FA2007"/>
    <w:rsid w:val="097C01EF"/>
    <w:rsid w:val="0A0F7225"/>
    <w:rsid w:val="0A2B7D82"/>
    <w:rsid w:val="0ADC40E9"/>
    <w:rsid w:val="0AE607F4"/>
    <w:rsid w:val="0B2C0F5D"/>
    <w:rsid w:val="0B386127"/>
    <w:rsid w:val="0B451598"/>
    <w:rsid w:val="0BC8771C"/>
    <w:rsid w:val="0BEC73F4"/>
    <w:rsid w:val="0C0E7FE4"/>
    <w:rsid w:val="0C392698"/>
    <w:rsid w:val="0CAB3439"/>
    <w:rsid w:val="0CB32C96"/>
    <w:rsid w:val="0FD67A5B"/>
    <w:rsid w:val="10BD36F6"/>
    <w:rsid w:val="116773DD"/>
    <w:rsid w:val="11BF0649"/>
    <w:rsid w:val="123E3E08"/>
    <w:rsid w:val="133212F4"/>
    <w:rsid w:val="13D22E22"/>
    <w:rsid w:val="151C0F54"/>
    <w:rsid w:val="161C2DFF"/>
    <w:rsid w:val="16373578"/>
    <w:rsid w:val="16D3336B"/>
    <w:rsid w:val="17200028"/>
    <w:rsid w:val="17806C36"/>
    <w:rsid w:val="17A74F62"/>
    <w:rsid w:val="18A47774"/>
    <w:rsid w:val="1A084999"/>
    <w:rsid w:val="1A8D28EB"/>
    <w:rsid w:val="1A9F2D78"/>
    <w:rsid w:val="1A9F4904"/>
    <w:rsid w:val="1B2E6FD8"/>
    <w:rsid w:val="1B877D21"/>
    <w:rsid w:val="1C4319A9"/>
    <w:rsid w:val="1E0039B6"/>
    <w:rsid w:val="1E443B4B"/>
    <w:rsid w:val="1E994F4A"/>
    <w:rsid w:val="1EAF0224"/>
    <w:rsid w:val="1F1A4336"/>
    <w:rsid w:val="1F2230A4"/>
    <w:rsid w:val="1F98FC96"/>
    <w:rsid w:val="20210932"/>
    <w:rsid w:val="202448E0"/>
    <w:rsid w:val="206725CB"/>
    <w:rsid w:val="20837579"/>
    <w:rsid w:val="20F614FE"/>
    <w:rsid w:val="21302EEA"/>
    <w:rsid w:val="213D42E5"/>
    <w:rsid w:val="2163328E"/>
    <w:rsid w:val="22376FB5"/>
    <w:rsid w:val="23E152D7"/>
    <w:rsid w:val="23EE2489"/>
    <w:rsid w:val="242554DD"/>
    <w:rsid w:val="245510EA"/>
    <w:rsid w:val="25552E8F"/>
    <w:rsid w:val="255D43C8"/>
    <w:rsid w:val="259C0E7A"/>
    <w:rsid w:val="26435EA9"/>
    <w:rsid w:val="26714EF8"/>
    <w:rsid w:val="26876BDD"/>
    <w:rsid w:val="2714632A"/>
    <w:rsid w:val="27541E73"/>
    <w:rsid w:val="27596454"/>
    <w:rsid w:val="27B0539E"/>
    <w:rsid w:val="29365CF8"/>
    <w:rsid w:val="299469B3"/>
    <w:rsid w:val="2A805789"/>
    <w:rsid w:val="2AAA2973"/>
    <w:rsid w:val="2ADC0D75"/>
    <w:rsid w:val="2B4A0E52"/>
    <w:rsid w:val="2B4B765F"/>
    <w:rsid w:val="2B97636B"/>
    <w:rsid w:val="2BD54085"/>
    <w:rsid w:val="2C975890"/>
    <w:rsid w:val="2DA971FC"/>
    <w:rsid w:val="2DDC0339"/>
    <w:rsid w:val="2DEF21BB"/>
    <w:rsid w:val="2E33693F"/>
    <w:rsid w:val="2E4A2F05"/>
    <w:rsid w:val="2ECC1061"/>
    <w:rsid w:val="2FA476AD"/>
    <w:rsid w:val="303F7540"/>
    <w:rsid w:val="310C0498"/>
    <w:rsid w:val="31DD00BF"/>
    <w:rsid w:val="32737410"/>
    <w:rsid w:val="327F0422"/>
    <w:rsid w:val="3293174C"/>
    <w:rsid w:val="32BB38D4"/>
    <w:rsid w:val="32C9376D"/>
    <w:rsid w:val="32E077CF"/>
    <w:rsid w:val="33033FDB"/>
    <w:rsid w:val="33780472"/>
    <w:rsid w:val="33AF0905"/>
    <w:rsid w:val="355932F4"/>
    <w:rsid w:val="35611882"/>
    <w:rsid w:val="35956011"/>
    <w:rsid w:val="35C90C0C"/>
    <w:rsid w:val="35CA5CBB"/>
    <w:rsid w:val="36746FC3"/>
    <w:rsid w:val="368763AE"/>
    <w:rsid w:val="37416BCC"/>
    <w:rsid w:val="38457A17"/>
    <w:rsid w:val="38661F15"/>
    <w:rsid w:val="395D59E7"/>
    <w:rsid w:val="39A93932"/>
    <w:rsid w:val="3A915562"/>
    <w:rsid w:val="3AA75858"/>
    <w:rsid w:val="3B0C4680"/>
    <w:rsid w:val="3B8D4765"/>
    <w:rsid w:val="3BB42FEE"/>
    <w:rsid w:val="3C000DBA"/>
    <w:rsid w:val="3C9F58D4"/>
    <w:rsid w:val="3DC045D3"/>
    <w:rsid w:val="3E195EE1"/>
    <w:rsid w:val="3E1C72D0"/>
    <w:rsid w:val="3E504FFB"/>
    <w:rsid w:val="3E545E0F"/>
    <w:rsid w:val="3E615CD0"/>
    <w:rsid w:val="3E9C47F6"/>
    <w:rsid w:val="3F745441"/>
    <w:rsid w:val="3F8B0112"/>
    <w:rsid w:val="3FA73CA7"/>
    <w:rsid w:val="3FAB3095"/>
    <w:rsid w:val="3FE45947"/>
    <w:rsid w:val="4067362D"/>
    <w:rsid w:val="41242965"/>
    <w:rsid w:val="415F721B"/>
    <w:rsid w:val="4249031F"/>
    <w:rsid w:val="42E36B4A"/>
    <w:rsid w:val="42FA6050"/>
    <w:rsid w:val="43086706"/>
    <w:rsid w:val="43291E3B"/>
    <w:rsid w:val="435671EA"/>
    <w:rsid w:val="437A4C52"/>
    <w:rsid w:val="43E664FF"/>
    <w:rsid w:val="440809E9"/>
    <w:rsid w:val="442407A6"/>
    <w:rsid w:val="44805EA1"/>
    <w:rsid w:val="45710696"/>
    <w:rsid w:val="46080288"/>
    <w:rsid w:val="46142B1B"/>
    <w:rsid w:val="47E60DD0"/>
    <w:rsid w:val="48735039"/>
    <w:rsid w:val="4895319D"/>
    <w:rsid w:val="48E4466B"/>
    <w:rsid w:val="492C684B"/>
    <w:rsid w:val="49500594"/>
    <w:rsid w:val="499D7423"/>
    <w:rsid w:val="49CC2BDF"/>
    <w:rsid w:val="49E7604E"/>
    <w:rsid w:val="4BF67CDD"/>
    <w:rsid w:val="4D173441"/>
    <w:rsid w:val="4D603DD6"/>
    <w:rsid w:val="4EBF010F"/>
    <w:rsid w:val="4F471EB0"/>
    <w:rsid w:val="4FF96FA7"/>
    <w:rsid w:val="51331326"/>
    <w:rsid w:val="51740A7F"/>
    <w:rsid w:val="51A5541E"/>
    <w:rsid w:val="51C96242"/>
    <w:rsid w:val="51CC7FD1"/>
    <w:rsid w:val="53906AE1"/>
    <w:rsid w:val="541B0AFD"/>
    <w:rsid w:val="5463135D"/>
    <w:rsid w:val="54720246"/>
    <w:rsid w:val="54E641AA"/>
    <w:rsid w:val="54F46F60"/>
    <w:rsid w:val="55A37BEA"/>
    <w:rsid w:val="56362CD2"/>
    <w:rsid w:val="5775558A"/>
    <w:rsid w:val="5784687B"/>
    <w:rsid w:val="57846959"/>
    <w:rsid w:val="578E6A87"/>
    <w:rsid w:val="57A60505"/>
    <w:rsid w:val="57DF184A"/>
    <w:rsid w:val="57E404D7"/>
    <w:rsid w:val="57FEF6FA"/>
    <w:rsid w:val="59FF750B"/>
    <w:rsid w:val="5A29667F"/>
    <w:rsid w:val="5A8406C0"/>
    <w:rsid w:val="5AC2203A"/>
    <w:rsid w:val="5AD0530C"/>
    <w:rsid w:val="5AD53475"/>
    <w:rsid w:val="5BB62E95"/>
    <w:rsid w:val="5C552000"/>
    <w:rsid w:val="5CBB3334"/>
    <w:rsid w:val="5D115FAF"/>
    <w:rsid w:val="5DE072D0"/>
    <w:rsid w:val="62811722"/>
    <w:rsid w:val="62AF548E"/>
    <w:rsid w:val="62E75A72"/>
    <w:rsid w:val="6331191B"/>
    <w:rsid w:val="64571880"/>
    <w:rsid w:val="649125B6"/>
    <w:rsid w:val="652F4C1A"/>
    <w:rsid w:val="654900FB"/>
    <w:rsid w:val="65F63083"/>
    <w:rsid w:val="666D37F1"/>
    <w:rsid w:val="67087D8F"/>
    <w:rsid w:val="671F687E"/>
    <w:rsid w:val="67F415F8"/>
    <w:rsid w:val="682640D1"/>
    <w:rsid w:val="684B73E5"/>
    <w:rsid w:val="6A047A2A"/>
    <w:rsid w:val="6A333127"/>
    <w:rsid w:val="6C762283"/>
    <w:rsid w:val="6D200D82"/>
    <w:rsid w:val="6DE336E2"/>
    <w:rsid w:val="6E061360"/>
    <w:rsid w:val="6EA11B14"/>
    <w:rsid w:val="6EFB7548"/>
    <w:rsid w:val="6F3831C3"/>
    <w:rsid w:val="6F8B71C1"/>
    <w:rsid w:val="703D371F"/>
    <w:rsid w:val="703D4F64"/>
    <w:rsid w:val="70753482"/>
    <w:rsid w:val="707B522A"/>
    <w:rsid w:val="7090364B"/>
    <w:rsid w:val="72DA4A88"/>
    <w:rsid w:val="73162F91"/>
    <w:rsid w:val="73194D05"/>
    <w:rsid w:val="73A83B0E"/>
    <w:rsid w:val="744D3EF9"/>
    <w:rsid w:val="74794411"/>
    <w:rsid w:val="75867C40"/>
    <w:rsid w:val="75B10B26"/>
    <w:rsid w:val="75E07CF9"/>
    <w:rsid w:val="76432199"/>
    <w:rsid w:val="766562D3"/>
    <w:rsid w:val="76F44829"/>
    <w:rsid w:val="77244524"/>
    <w:rsid w:val="776C2EB6"/>
    <w:rsid w:val="77A267C0"/>
    <w:rsid w:val="787C1C7A"/>
    <w:rsid w:val="78882278"/>
    <w:rsid w:val="78B118A6"/>
    <w:rsid w:val="79135044"/>
    <w:rsid w:val="79165347"/>
    <w:rsid w:val="7A2D7B93"/>
    <w:rsid w:val="7A2F6E6E"/>
    <w:rsid w:val="7A6510DB"/>
    <w:rsid w:val="7A7D0F99"/>
    <w:rsid w:val="7B63782F"/>
    <w:rsid w:val="7BAB1490"/>
    <w:rsid w:val="7C464F90"/>
    <w:rsid w:val="7D465921"/>
    <w:rsid w:val="7E4A0E7C"/>
    <w:rsid w:val="7E922262"/>
    <w:rsid w:val="7EFD449D"/>
    <w:rsid w:val="7F48E135"/>
    <w:rsid w:val="7F732CB4"/>
    <w:rsid w:val="7FAF585F"/>
    <w:rsid w:val="7FBDE5C5"/>
    <w:rsid w:val="7FE44B5D"/>
    <w:rsid w:val="87FFEAE3"/>
    <w:rsid w:val="8B2B54B5"/>
    <w:rsid w:val="9F97D945"/>
    <w:rsid w:val="BD5E2C88"/>
    <w:rsid w:val="BF5DB502"/>
    <w:rsid w:val="D63D6995"/>
    <w:rsid w:val="D8EE7F8E"/>
    <w:rsid w:val="E9F813A1"/>
    <w:rsid w:val="EE3E0865"/>
    <w:rsid w:val="EEDF66EF"/>
    <w:rsid w:val="F72493A4"/>
    <w:rsid w:val="F7FFC5FB"/>
    <w:rsid w:val="FB3B727B"/>
    <w:rsid w:val="FB3F6CBC"/>
    <w:rsid w:val="FB9FDEC8"/>
    <w:rsid w:val="FDFD6C19"/>
    <w:rsid w:val="FECCCA27"/>
    <w:rsid w:val="FFB286FA"/>
    <w:rsid w:val="FFDFBE3C"/>
    <w:rsid w:val="FFFECD9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Style w:val="5"/>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30</Pages>
  <Words>8157</Words>
  <Characters>9956</Characters>
  <Lines>89</Lines>
  <Paragraphs>25</Paragraphs>
  <TotalTime>10.6666666666667</TotalTime>
  <ScaleCrop>false</ScaleCrop>
  <LinksUpToDate>false</LinksUpToDate>
  <CharactersWithSpaces>10650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2007-12-01T03:41:00Z</dcterms:created>
  <dc:creator>管理者</dc:creator>
  <cp:lastModifiedBy>悟の</cp:lastModifiedBy>
  <cp:lastPrinted>2018-07-26T10:50:00Z</cp:lastPrinted>
  <dcterms:modified xsi:type="dcterms:W3CDTF">2023-05-29T03:00:25Z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1471EC5EAEC842F28CD1BB4E0AA95D6C_13</vt:lpwstr>
  </property>
</Properties>
</file>