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val="en-US" w:eastAsia="zh-CN"/>
        </w:rPr>
      </w:pPr>
      <w:r>
        <w:rPr>
          <w:rFonts w:hint="eastAsia" w:ascii="黑体" w:hAnsi="黑体" w:eastAsia="黑体" w:cs="黑体"/>
          <w:sz w:val="52"/>
          <w:szCs w:val="52"/>
          <w:highlight w:val="none"/>
          <w:lang w:val="en-US" w:eastAsia="zh-CN"/>
        </w:rPr>
        <w:t>许昌市工业和信息化局(本级)</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许昌市工业和信息化局（本级）</w:t>
      </w:r>
      <w:r>
        <w:rPr>
          <w:rFonts w:hint="eastAsia" w:ascii="黑体" w:hAnsi="黑体" w:eastAsia="黑体" w:cs="黑体"/>
          <w:sz w:val="32"/>
          <w:szCs w:val="32"/>
          <w:highlight w:val="none"/>
        </w:rPr>
        <w:t>概况</w:t>
      </w:r>
    </w:p>
    <w:p>
      <w:pPr>
        <w:numPr>
          <w:ilvl w:val="0"/>
          <w:numId w:val="2"/>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2"/>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许昌市工业和信息化局             （本级）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一）贯彻执行上级有关工业和信息化的法律、法规和方针政策和有关规范性文件，协调解决新型工业化进程中的重大问题，拟订并组织实施全市工业和信息化的发展规划以及推动传统产业技术改造相关办法，推进产业结构战略性调整和优化升级，推进信息化和工业化融合。</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二）拟订并组织实施全市工业行业规划、计划和产业政策，提出优化产业布局和结构政策建议；引导和扶持工业和信息产业发展，起草相关规范性文件，拟订并组织实施行业技术规范和标准，指导行业质量管理工作。</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三）监测分析全市工业运行态势，统计并发布相关信息，进行预测预警和信息引导，协调解决行业运行发展中的有关问题并提出意见建议；指导相关行业加强安全生产管理，负责工业行业领城安全生产应急管理、产业安全等相关工作。</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四）拟订并组织实施全市制造业服务化、平台化发展中长期规划和年度计划，促进制造业和生产性服务业融合发展，推进产业融合、生产性服务业功能区和公共服务平台建设；促进供应链管理技术推广应用，协同推进现代物流业发展。</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五）负责提出全市工业和信息化固定资产投资规模和方向（含利用外资和境外投资），国家、省对口部门和本市用于工业和产业信息化财政性建设资金安排的意见，按照市政府规定权限审批、核准省市规划内以及年度计划规模内固定资产投资项目。</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六）组织实施国家高技术产业中涉及生物医药、新材料、航空航天、信息产业等的规划、政策和标准，指导行业技木创新和技术进步，以先进适用技术改造提升传统产业，组织实施国家、省、市有关科技重大专项，推进相关科研成果产业化，推动全市软件业、信息服务业和新兴产业发展。</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七）拟订并组织实施全市工业和信息化的能源节约和资源综合利用、循环经济、绿色化制造，促进政策，参与拟订能源节约和资源综合利用、循环经济、绿色化改造促进规划、政策，组织协调相关重大示范工程建设和新产品、新技术、新设各、新材料推广应用。</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八）负责全市振兴装备制造业的组织协调工作，组织拟订重大技术装备发展和自主创新的规划、政策，依托重点工程建设协调有关重大专项的实施，推进重大技术装备国产化，指导引进重大技术装备的消化创新。</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（九）负责全市中小企业、民营经济发展的宏观指导，拟订并组织实施中小企业发展中长期规划；负责推动建立完善中小企业服务体系</w:t>
      </w:r>
      <w:r>
        <w:rPr>
          <w:rFonts w:hint="eastAsia" w:ascii="仿宋" w:hAnsi="仿宋" w:eastAsia="仿宋" w:cs="MS Mincho"/>
          <w:kern w:val="0"/>
          <w:sz w:val="32"/>
          <w:szCs w:val="32"/>
        </w:rPr>
        <w:t>，</w:t>
      </w:r>
      <w:r>
        <w:rPr>
          <w:rFonts w:hint="eastAsia" w:ascii="仿宋" w:hAnsi="仿宋" w:eastAsia="仿宋" w:cs="Calibri"/>
          <w:kern w:val="0"/>
          <w:sz w:val="32"/>
          <w:szCs w:val="32"/>
        </w:rPr>
        <w:t>协调解决重大问题；会同有关部门拟订促进中小企业发展和非公有经济发展的相关政策、措施并监督检查执行情况。</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十）统筹推进全市信息化工作，组织拟订相关规范性文件并协调信息化建设中的重大问题；促进电信、广播电视和计算机网络融合，指导协调工业电子商务平台建设，推动跨行业等互联互通和重要信息资源的开发利用共享；推进物联网、云计算、大数据等基于信息技术的新兴业态发展。</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十一）承担相关信息安全管理责任；负责协调维护全市网络安全和网络安全保障体系建设，指导监督重点行业的关键信息基础设施和基础网络的相关安全保障工作；承担信息安全应急协调工作，协调处理重大事件。</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十二）负责全市工业和信息化领域对外交流合作事务，研究拟订支持意见措施；指导各地开展相关产业交流合作工作，督促交流合作签约项目落实情况；拟订并组织实施全市制造业对外合作年度行动计划，编制发布我市工业和信息化领域产业合作指南；研究协调产业转移示范区发展中的重大问题，提出意见建议。</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（十三）承担企业改革和信访稳定工作。</w:t>
      </w:r>
    </w:p>
    <w:p>
      <w:pPr>
        <w:keepNext w:val="0"/>
        <w:keepLines w:val="0"/>
        <w:pageBreakBefore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 w:hAnsi="仿宋" w:eastAsia="仿宋" w:cs="Calibri"/>
          <w:kern w:val="0"/>
          <w:sz w:val="32"/>
          <w:szCs w:val="32"/>
        </w:rPr>
        <w:t>（十四）完成市委、市政府交办的其他任务。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spacing w:line="360" w:lineRule="auto"/>
        <w:ind w:firstLine="640" w:firstLineChars="200"/>
        <w:jc w:val="left"/>
        <w:rPr>
          <w:rFonts w:hint="eastAsia" w:ascii="仿宋" w:hAnsi="仿宋" w:eastAsia="仿宋" w:cs="Calibri"/>
          <w:kern w:val="0"/>
          <w:sz w:val="32"/>
          <w:szCs w:val="32"/>
          <w:lang w:val="en-US" w:eastAsia="zh-CN"/>
        </w:rPr>
      </w:pPr>
      <w:r>
        <w:rPr>
          <w:rFonts w:hint="eastAsia" w:ascii="仿宋" w:hAnsi="仿宋" w:eastAsia="仿宋" w:cs="Calibri"/>
          <w:kern w:val="0"/>
          <w:sz w:val="32"/>
          <w:szCs w:val="32"/>
          <w:lang w:eastAsia="zh-CN"/>
        </w:rPr>
        <w:t>许昌市工业和信息化局（本级）</w:t>
      </w:r>
      <w:r>
        <w:rPr>
          <w:rFonts w:hint="eastAsia" w:ascii="仿宋" w:hAnsi="仿宋" w:eastAsia="仿宋" w:cs="Calibri"/>
          <w:kern w:val="0"/>
          <w:sz w:val="32"/>
          <w:szCs w:val="32"/>
          <w:lang w:val="en-US" w:eastAsia="zh-CN"/>
        </w:rPr>
        <w:t>内设机构18个</w:t>
      </w:r>
      <w:r>
        <w:rPr>
          <w:rFonts w:hint="eastAsia" w:ascii="仿宋" w:hAnsi="仿宋" w:eastAsia="仿宋" w:cs="Calibri"/>
          <w:kern w:val="0"/>
          <w:sz w:val="32"/>
          <w:szCs w:val="32"/>
          <w:lang w:eastAsia="zh-CN"/>
        </w:rPr>
        <w:t>，</w:t>
      </w:r>
      <w:r>
        <w:rPr>
          <w:rFonts w:hint="eastAsia" w:ascii="仿宋" w:hAnsi="仿宋" w:eastAsia="仿宋" w:cs="Calibri"/>
          <w:kern w:val="0"/>
          <w:sz w:val="32"/>
          <w:szCs w:val="32"/>
          <w:lang w:val="en-US" w:eastAsia="zh-CN"/>
        </w:rPr>
        <w:t>包括：</w:t>
      </w:r>
      <w:r>
        <w:rPr>
          <w:rFonts w:hint="eastAsia" w:ascii="仿宋" w:hAnsi="仿宋" w:eastAsia="仿宋" w:cs="Calibri"/>
          <w:kern w:val="0"/>
          <w:sz w:val="32"/>
          <w:szCs w:val="32"/>
          <w:lang w:eastAsia="zh-CN"/>
        </w:rPr>
        <w:t>办公室、市委军民融合发展委员会办公室秘书科、政策研究和法规科、规划和产业政策科、产业融合办公室、科技和电子信息科、运行监测协调办公室、中小企业服务办公室、安全生产科、材料工业与节能利用科、装备工业科、消费品工业科、工业信息化工作办公室、对外交流合作科、企业改革和信访科、人事教育科、机关党委、离退休干部工作科。</w:t>
      </w:r>
    </w:p>
    <w:p>
      <w:pPr>
        <w:widowControl/>
        <w:spacing w:line="360" w:lineRule="auto"/>
        <w:ind w:firstLine="640" w:firstLineChars="200"/>
        <w:jc w:val="left"/>
        <w:rPr>
          <w:rFonts w:hint="eastAsia" w:ascii="仿宋" w:hAnsi="仿宋" w:eastAsia="仿宋" w:cs="Calibri"/>
          <w:kern w:val="0"/>
          <w:sz w:val="32"/>
          <w:szCs w:val="32"/>
        </w:rPr>
      </w:pPr>
      <w:r>
        <w:rPr>
          <w:rFonts w:hint="eastAsia" w:ascii="仿宋" w:hAnsi="仿宋" w:eastAsia="仿宋" w:cs="Calibri"/>
          <w:kern w:val="0"/>
          <w:sz w:val="32"/>
          <w:szCs w:val="32"/>
        </w:rPr>
        <w:t>从决算单位构成看，</w:t>
      </w:r>
      <w:r>
        <w:rPr>
          <w:rFonts w:hint="eastAsia" w:ascii="仿宋" w:hAnsi="仿宋" w:eastAsia="仿宋" w:cs="Calibri"/>
          <w:kern w:val="0"/>
          <w:sz w:val="32"/>
          <w:szCs w:val="32"/>
          <w:lang w:eastAsia="zh-CN"/>
        </w:rPr>
        <w:t>许昌市工业和信息化局（本级）单位</w:t>
      </w:r>
      <w:r>
        <w:rPr>
          <w:rFonts w:hint="eastAsia" w:ascii="仿宋" w:hAnsi="仿宋" w:eastAsia="仿宋" w:cs="Calibri"/>
          <w:kern w:val="0"/>
          <w:sz w:val="32"/>
          <w:szCs w:val="32"/>
        </w:rPr>
        <w:t>决算包括：本级决算</w:t>
      </w:r>
      <w:r>
        <w:rPr>
          <w:rFonts w:hint="eastAsia" w:ascii="仿宋" w:hAnsi="仿宋" w:eastAsia="仿宋" w:cs="Calibri"/>
          <w:kern w:val="0"/>
          <w:sz w:val="32"/>
          <w:szCs w:val="32"/>
          <w:lang w:eastAsia="zh-CN"/>
        </w:rPr>
        <w:t>（</w:t>
      </w:r>
      <w:r>
        <w:rPr>
          <w:rFonts w:hint="eastAsia" w:ascii="仿宋" w:hAnsi="仿宋" w:eastAsia="仿宋" w:cs="Calibri"/>
          <w:kern w:val="0"/>
          <w:sz w:val="32"/>
          <w:szCs w:val="32"/>
          <w:lang w:val="en-US" w:eastAsia="zh-CN"/>
        </w:rPr>
        <w:t>1个）</w:t>
      </w:r>
      <w:r>
        <w:rPr>
          <w:rFonts w:hint="eastAsia" w:ascii="仿宋" w:hAnsi="仿宋" w:eastAsia="仿宋" w:cs="Calibri"/>
          <w:kern w:val="0"/>
          <w:sz w:val="32"/>
          <w:szCs w:val="32"/>
        </w:rPr>
        <w:t>。</w:t>
      </w:r>
    </w:p>
    <w:p>
      <w:pPr>
        <w:widowControl/>
        <w:spacing w:line="360" w:lineRule="auto"/>
        <w:ind w:firstLine="640" w:firstLineChars="200"/>
        <w:jc w:val="left"/>
        <w:rPr>
          <w:rFonts w:hint="eastAsia" w:ascii="仿宋" w:hAnsi="仿宋" w:eastAsia="仿宋" w:cs="Calibri"/>
          <w:kern w:val="0"/>
          <w:sz w:val="32"/>
          <w:szCs w:val="32"/>
          <w:lang w:val="en-US" w:eastAsia="zh-CN"/>
        </w:rPr>
      </w:pPr>
      <w:r>
        <w:rPr>
          <w:rFonts w:hint="eastAsia" w:ascii="仿宋" w:hAnsi="仿宋" w:eastAsia="仿宋" w:cs="Calibri"/>
          <w:kern w:val="0"/>
          <w:sz w:val="32"/>
          <w:szCs w:val="32"/>
          <w:lang w:val="en-US" w:eastAsia="zh-CN"/>
        </w:rPr>
        <w:t>纳入本单位2021年度单位决算编制范围的单位共1个，具体是：</w:t>
      </w:r>
    </w:p>
    <w:p>
      <w:pPr>
        <w:widowControl/>
        <w:spacing w:line="360" w:lineRule="auto"/>
        <w:ind w:firstLine="640" w:firstLineChars="200"/>
        <w:jc w:val="left"/>
        <w:rPr>
          <w:rFonts w:hint="eastAsia" w:ascii="仿宋" w:hAnsi="仿宋" w:eastAsia="仿宋" w:cs="Calibri"/>
          <w:kern w:val="0"/>
          <w:sz w:val="32"/>
          <w:szCs w:val="32"/>
          <w:lang w:val="en-US" w:eastAsia="zh-CN"/>
        </w:rPr>
      </w:pPr>
      <w:r>
        <w:rPr>
          <w:rFonts w:hint="eastAsia" w:ascii="仿宋" w:hAnsi="仿宋" w:eastAsia="仿宋" w:cs="Calibri"/>
          <w:kern w:val="0"/>
          <w:sz w:val="32"/>
          <w:szCs w:val="32"/>
          <w:lang w:val="en-US" w:eastAsia="zh-CN"/>
        </w:rPr>
        <w:t>1.</w:t>
      </w:r>
      <w:r>
        <w:rPr>
          <w:rFonts w:hint="eastAsia" w:ascii="仿宋" w:hAnsi="仿宋" w:eastAsia="仿宋" w:cs="Calibri"/>
          <w:kern w:val="0"/>
          <w:sz w:val="32"/>
          <w:szCs w:val="32"/>
          <w:lang w:eastAsia="zh-CN"/>
        </w:rPr>
        <w:t>许昌市工业和信息化局</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rPr>
        <w:t>本级</w:t>
      </w:r>
      <w:r>
        <w:rPr>
          <w:rFonts w:hint="eastAsia" w:ascii="仿宋" w:hAnsi="仿宋" w:eastAsia="仿宋" w:cs="Calibri"/>
          <w:kern w:val="0"/>
          <w:sz w:val="32"/>
          <w:szCs w:val="32"/>
          <w:lang w:val="en-US" w:eastAsia="zh-CN"/>
        </w:rPr>
        <w:t>)</w:t>
      </w:r>
    </w:p>
    <w:p>
      <w:pPr>
        <w:widowControl/>
        <w:spacing w:line="360" w:lineRule="auto"/>
        <w:ind w:firstLine="640" w:firstLineChars="200"/>
        <w:jc w:val="left"/>
        <w:rPr>
          <w:rFonts w:hint="eastAsia" w:ascii="仿宋" w:hAnsi="仿宋" w:eastAsia="仿宋" w:cs="Calibri"/>
          <w:kern w:val="0"/>
          <w:sz w:val="32"/>
          <w:szCs w:val="32"/>
        </w:rPr>
      </w:pPr>
    </w:p>
    <w:p>
      <w:pPr>
        <w:widowControl/>
        <w:spacing w:line="360" w:lineRule="auto"/>
        <w:ind w:firstLine="640" w:firstLineChars="200"/>
        <w:jc w:val="left"/>
        <w:rPr>
          <w:rFonts w:hint="eastAsia" w:ascii="仿宋" w:hAnsi="仿宋" w:eastAsia="仿宋" w:cs="Calibri"/>
          <w:kern w:val="0"/>
          <w:sz w:val="32"/>
          <w:szCs w:val="32"/>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ind w:left="2878" w:leftChars="456" w:hanging="1920" w:hangingChars="400"/>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629"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single" w:color="000000" w:sz="8" w:space="0"/>
              <w:right w:val="nil"/>
            </w:tcBorders>
            <w:shd w:val="clear" w:color="auto" w:fill="FFFFFF"/>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cs="宋体"/>
                <w:color w:val="000000"/>
                <w:sz w:val="20"/>
                <w:szCs w:val="20"/>
                <w:highlight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：许昌市工业和信息化局</w:t>
            </w:r>
            <w:r>
              <w:rPr>
                <w:rFonts w:hint="eastAsia" w:ascii="宋体" w:hAnsi="宋体" w:cs="宋体"/>
                <w:color w:val="000000"/>
                <w:kern w:val="0"/>
                <w:sz w:val="20"/>
                <w:szCs w:val="20"/>
                <w:highlight w:val="none"/>
                <w:lang w:eastAsia="zh-CN" w:bidi="ar"/>
              </w:rPr>
              <w:t>（本级）</w:t>
            </w:r>
          </w:p>
        </w:tc>
        <w:tc>
          <w:tcPr>
            <w:tcW w:w="825" w:type="dxa"/>
            <w:tcBorders>
              <w:top w:val="nil"/>
              <w:left w:val="nil"/>
              <w:bottom w:val="single" w:color="000000" w:sz="8" w:space="0"/>
              <w:right w:val="nil"/>
            </w:tcBorders>
            <w:shd w:val="clear" w:color="auto" w:fill="FFFFFF"/>
            <w:noWrap/>
            <w:tcMar>
              <w:top w:w="15" w:type="dxa"/>
              <w:left w:w="15" w:type="dxa"/>
              <w:right w:w="15" w:type="dxa"/>
            </w:tcMar>
            <w:vAlign w:val="bottom"/>
          </w:tcPr>
          <w:p>
            <w:pPr>
              <w:rPr>
                <w:rFonts w:hint="eastAsia" w:ascii="宋体" w:hAnsi="宋体" w:cs="宋体"/>
                <w:color w:val="000000"/>
                <w:sz w:val="20"/>
                <w:szCs w:val="20"/>
                <w:highlight w:val="none"/>
              </w:rPr>
            </w:pPr>
          </w:p>
        </w:tc>
        <w:tc>
          <w:tcPr>
            <w:tcW w:w="1764" w:type="dxa"/>
            <w:tcBorders>
              <w:top w:val="nil"/>
              <w:left w:val="nil"/>
              <w:bottom w:val="single" w:color="000000" w:sz="8" w:space="0"/>
              <w:right w:val="nil"/>
            </w:tcBorders>
            <w:shd w:val="clear" w:color="auto" w:fill="FFFFFF"/>
            <w:noWrap/>
            <w:tcMar>
              <w:top w:w="15" w:type="dxa"/>
              <w:left w:w="15" w:type="dxa"/>
              <w:right w:w="15" w:type="dxa"/>
            </w:tcMar>
            <w:vAlign w:val="bottom"/>
          </w:tcPr>
          <w:p>
            <w:pPr>
              <w:rPr>
                <w:rFonts w:hint="eastAsia" w:ascii="宋体" w:hAnsi="宋体" w:cs="宋体"/>
                <w:color w:val="000000"/>
                <w:sz w:val="20"/>
                <w:szCs w:val="20"/>
                <w:highlight w:val="none"/>
              </w:rPr>
            </w:pPr>
          </w:p>
        </w:tc>
        <w:tc>
          <w:tcPr>
            <w:tcW w:w="4671" w:type="dxa"/>
            <w:tcBorders>
              <w:top w:val="nil"/>
              <w:left w:val="nil"/>
              <w:bottom w:val="single" w:color="000000" w:sz="8" w:space="0"/>
              <w:right w:val="nil"/>
            </w:tcBorders>
            <w:shd w:val="clear" w:color="auto" w:fill="FFFFFF"/>
            <w:noWrap/>
            <w:tcMar>
              <w:top w:w="15" w:type="dxa"/>
              <w:left w:w="15" w:type="dxa"/>
              <w:right w:w="15" w:type="dxa"/>
            </w:tcMar>
            <w:vAlign w:val="bottom"/>
          </w:tcPr>
          <w:p>
            <w:pPr>
              <w:rPr>
                <w:rFonts w:hint="eastAsia" w:ascii="宋体" w:hAnsi="宋体" w:cs="宋体"/>
                <w:color w:val="000000"/>
                <w:sz w:val="20"/>
                <w:szCs w:val="20"/>
                <w:highlight w:val="none"/>
              </w:rPr>
            </w:pPr>
          </w:p>
        </w:tc>
        <w:tc>
          <w:tcPr>
            <w:tcW w:w="750" w:type="dxa"/>
            <w:tcBorders>
              <w:top w:val="nil"/>
              <w:left w:val="nil"/>
              <w:bottom w:val="single" w:color="000000" w:sz="8" w:space="0"/>
              <w:right w:val="nil"/>
            </w:tcBorders>
            <w:shd w:val="clear" w:color="auto" w:fill="FFFFFF"/>
            <w:noWrap/>
            <w:tcMar>
              <w:top w:w="15" w:type="dxa"/>
              <w:left w:w="15" w:type="dxa"/>
              <w:right w:w="15" w:type="dxa"/>
            </w:tcMar>
            <w:vAlign w:val="bottom"/>
          </w:tcPr>
          <w:p>
            <w:pPr>
              <w:rPr>
                <w:rFonts w:hint="eastAsia" w:ascii="宋体" w:hAnsi="宋体" w:cs="宋体"/>
                <w:color w:val="000000"/>
                <w:sz w:val="20"/>
                <w:szCs w:val="20"/>
                <w:highlight w:val="none"/>
              </w:rPr>
            </w:pPr>
          </w:p>
        </w:tc>
        <w:tc>
          <w:tcPr>
            <w:tcW w:w="1699" w:type="dxa"/>
            <w:tcBorders>
              <w:top w:val="nil"/>
              <w:left w:val="nil"/>
              <w:bottom w:val="single" w:color="000000" w:sz="8" w:space="0"/>
              <w:right w:val="nil"/>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554"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收入</w:t>
            </w:r>
          </w:p>
        </w:tc>
        <w:tc>
          <w:tcPr>
            <w:tcW w:w="7120" w:type="dxa"/>
            <w:gridSpan w:val="3"/>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54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项目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金额</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项目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497"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栏次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栏次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0" w:type="dxa"/>
            <w:bottom w:w="0" w:type="dxa"/>
            <w:right w:w="0" w:type="dxa"/>
          </w:tblCellMar>
        </w:tblPrEx>
        <w:trPr>
          <w:trHeight w:val="41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8,124.83</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r>
      <w:tr>
        <w:tblPrEx>
          <w:tblCellMar>
            <w:top w:w="0" w:type="dxa"/>
            <w:left w:w="0" w:type="dxa"/>
            <w:bottom w:w="0" w:type="dxa"/>
            <w:right w:w="0" w:type="dxa"/>
          </w:tblCellMar>
        </w:tblPrEx>
        <w:trPr>
          <w:trHeight w:val="38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6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7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9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1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37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r>
      <w:tr>
        <w:tblPrEx>
          <w:tblCellMar>
            <w:top w:w="0" w:type="dxa"/>
            <w:left w:w="0" w:type="dxa"/>
            <w:bottom w:w="0" w:type="dxa"/>
            <w:right w:w="0" w:type="dxa"/>
          </w:tblCellMar>
        </w:tblPrEx>
        <w:trPr>
          <w:trHeight w:val="287"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3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699.84</w:t>
            </w:r>
          </w:p>
        </w:tc>
      </w:tr>
      <w:tr>
        <w:tblPrEx>
          <w:tblCellMar>
            <w:top w:w="0" w:type="dxa"/>
            <w:left w:w="0" w:type="dxa"/>
            <w:bottom w:w="0" w:type="dxa"/>
            <w:right w:w="0" w:type="dxa"/>
          </w:tblCellMar>
        </w:tblPrEx>
        <w:trPr>
          <w:trHeight w:val="36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62.83</w:t>
            </w:r>
          </w:p>
        </w:tc>
      </w:tr>
      <w:tr>
        <w:tblPrEx>
          <w:tblCellMar>
            <w:top w:w="0" w:type="dxa"/>
            <w:left w:w="0" w:type="dxa"/>
            <w:bottom w:w="0" w:type="dxa"/>
            <w:right w:w="0" w:type="dxa"/>
          </w:tblCellMar>
        </w:tblPrEx>
        <w:trPr>
          <w:trHeight w:val="35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41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6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6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1.41</w:t>
            </w:r>
          </w:p>
        </w:tc>
      </w:tr>
      <w:tr>
        <w:tblPrEx>
          <w:tblCellMar>
            <w:top w:w="0" w:type="dxa"/>
            <w:left w:w="0" w:type="dxa"/>
            <w:bottom w:w="0" w:type="dxa"/>
            <w:right w:w="0" w:type="dxa"/>
          </w:tblCellMar>
        </w:tblPrEx>
        <w:trPr>
          <w:trHeight w:val="35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9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1,416.78</w:t>
            </w:r>
          </w:p>
        </w:tc>
      </w:tr>
      <w:tr>
        <w:tblPrEx>
          <w:tblCellMar>
            <w:top w:w="0" w:type="dxa"/>
            <w:left w:w="0" w:type="dxa"/>
            <w:bottom w:w="0" w:type="dxa"/>
            <w:right w:w="0" w:type="dxa"/>
          </w:tblCellMar>
        </w:tblPrEx>
        <w:trPr>
          <w:trHeight w:val="35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8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7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2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49</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5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0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8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4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5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3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4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4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6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rPr>
              <w:t>8</w:t>
            </w:r>
            <w:r>
              <w:rPr>
                <w:rFonts w:hint="eastAsia" w:ascii="宋体" w:hAnsi="宋体" w:cs="宋体"/>
                <w:color w:val="000000"/>
                <w:sz w:val="22"/>
                <w:szCs w:val="22"/>
                <w:highlight w:val="none"/>
                <w:lang w:val="en-US" w:eastAsia="zh-CN"/>
              </w:rPr>
              <w:t>,</w:t>
            </w:r>
            <w:r>
              <w:rPr>
                <w:rFonts w:hint="eastAsia" w:ascii="宋体" w:hAnsi="宋体" w:cs="宋体"/>
                <w:color w:val="000000"/>
                <w:sz w:val="22"/>
                <w:szCs w:val="22"/>
                <w:highlight w:val="none"/>
              </w:rPr>
              <w:t>1</w:t>
            </w:r>
            <w:r>
              <w:rPr>
                <w:rFonts w:hint="eastAsia" w:ascii="宋体" w:hAnsi="宋体" w:cs="宋体"/>
                <w:color w:val="000000"/>
                <w:sz w:val="22"/>
                <w:szCs w:val="22"/>
                <w:highlight w:val="none"/>
                <w:lang w:val="en-US" w:eastAsia="zh-CN"/>
              </w:rPr>
              <w:t>24.83</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58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8</w:t>
            </w:r>
            <w:r>
              <w:rPr>
                <w:rFonts w:hint="eastAsia" w:ascii="宋体" w:hAnsi="宋体" w:eastAsia="宋体" w:cs="宋体"/>
                <w:color w:val="000000"/>
                <w:sz w:val="22"/>
                <w:szCs w:val="22"/>
                <w:highlight w:val="none"/>
                <w:lang w:val="en-US" w:eastAsia="zh-CN"/>
              </w:rPr>
              <w:t>,</w:t>
            </w:r>
            <w:r>
              <w:rPr>
                <w:rFonts w:hint="eastAsia" w:ascii="宋体" w:hAnsi="宋体" w:eastAsia="宋体" w:cs="宋体"/>
                <w:color w:val="000000"/>
                <w:sz w:val="22"/>
                <w:szCs w:val="22"/>
                <w:highlight w:val="none"/>
              </w:rPr>
              <w:t>3</w:t>
            </w:r>
            <w:r>
              <w:rPr>
                <w:rFonts w:hint="eastAsia" w:ascii="宋体" w:hAnsi="宋体" w:eastAsia="宋体" w:cs="宋体"/>
                <w:color w:val="000000"/>
                <w:sz w:val="22"/>
                <w:szCs w:val="22"/>
                <w:highlight w:val="none"/>
                <w:lang w:val="en-US" w:eastAsia="zh-CN"/>
              </w:rPr>
              <w:t>46</w:t>
            </w: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57</w:t>
            </w:r>
          </w:p>
        </w:tc>
      </w:tr>
      <w:tr>
        <w:tblPrEx>
          <w:tblCellMar>
            <w:top w:w="0" w:type="dxa"/>
            <w:left w:w="0" w:type="dxa"/>
            <w:bottom w:w="0" w:type="dxa"/>
            <w:right w:w="0" w:type="dxa"/>
          </w:tblCellMar>
        </w:tblPrEx>
        <w:trPr>
          <w:trHeight w:val="35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使用非</w:t>
            </w:r>
            <w:r>
              <w:rPr>
                <w:rFonts w:ascii="宋体" w:hAnsi="宋体" w:cs="宋体"/>
                <w:color w:val="000000"/>
                <w:kern w:val="0"/>
                <w:sz w:val="20"/>
                <w:szCs w:val="20"/>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59</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9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w:t>
            </w: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cs="宋体"/>
                <w:color w:val="000000"/>
                <w:sz w:val="22"/>
                <w:szCs w:val="22"/>
                <w:highlight w:val="none"/>
              </w:rPr>
              <w:t>221.74</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60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84"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30</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61</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74"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82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31</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eastAsia="宋体" w:cs="宋体"/>
                <w:color w:val="000000"/>
                <w:sz w:val="22"/>
                <w:szCs w:val="22"/>
                <w:highlight w:val="none"/>
              </w:rPr>
              <w:t>8</w:t>
            </w:r>
            <w:r>
              <w:rPr>
                <w:rFonts w:hint="eastAsia" w:ascii="宋体" w:hAnsi="宋体" w:eastAsia="宋体" w:cs="宋体"/>
                <w:color w:val="000000"/>
                <w:sz w:val="22"/>
                <w:szCs w:val="22"/>
                <w:highlight w:val="none"/>
                <w:lang w:val="en-US" w:eastAsia="zh-CN"/>
              </w:rPr>
              <w:t>,</w:t>
            </w:r>
            <w:r>
              <w:rPr>
                <w:rFonts w:hint="eastAsia" w:ascii="宋体" w:hAnsi="宋体" w:eastAsia="宋体" w:cs="宋体"/>
                <w:color w:val="000000"/>
                <w:sz w:val="22"/>
                <w:szCs w:val="22"/>
                <w:highlight w:val="none"/>
              </w:rPr>
              <w:t>3</w:t>
            </w:r>
            <w:r>
              <w:rPr>
                <w:rFonts w:hint="eastAsia" w:ascii="宋体" w:hAnsi="宋体" w:eastAsia="宋体" w:cs="宋体"/>
                <w:color w:val="000000"/>
                <w:sz w:val="22"/>
                <w:szCs w:val="22"/>
                <w:highlight w:val="none"/>
                <w:lang w:val="en-US" w:eastAsia="zh-CN"/>
              </w:rPr>
              <w:t>46</w:t>
            </w: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57</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750"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62</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b/>
                <w:color w:val="000000"/>
                <w:sz w:val="22"/>
                <w:szCs w:val="22"/>
                <w:highlight w:val="none"/>
              </w:rPr>
            </w:pPr>
            <w:r>
              <w:rPr>
                <w:rFonts w:hint="eastAsia" w:ascii="宋体" w:hAnsi="宋体" w:eastAsia="宋体" w:cs="宋体"/>
                <w:color w:val="000000"/>
                <w:sz w:val="22"/>
                <w:szCs w:val="22"/>
                <w:highlight w:val="none"/>
              </w:rPr>
              <w:t>8</w:t>
            </w:r>
            <w:r>
              <w:rPr>
                <w:rFonts w:hint="eastAsia" w:ascii="宋体" w:hAnsi="宋体" w:eastAsia="宋体" w:cs="宋体"/>
                <w:color w:val="000000"/>
                <w:sz w:val="22"/>
                <w:szCs w:val="22"/>
                <w:highlight w:val="none"/>
                <w:lang w:val="en-US" w:eastAsia="zh-CN"/>
              </w:rPr>
              <w:t>,</w:t>
            </w:r>
            <w:r>
              <w:rPr>
                <w:rFonts w:hint="eastAsia" w:ascii="宋体" w:hAnsi="宋体" w:eastAsia="宋体" w:cs="宋体"/>
                <w:color w:val="000000"/>
                <w:sz w:val="22"/>
                <w:szCs w:val="22"/>
                <w:highlight w:val="none"/>
              </w:rPr>
              <w:t>3</w:t>
            </w:r>
            <w:r>
              <w:rPr>
                <w:rFonts w:hint="eastAsia" w:ascii="宋体" w:hAnsi="宋体" w:eastAsia="宋体" w:cs="宋体"/>
                <w:color w:val="000000"/>
                <w:sz w:val="22"/>
                <w:szCs w:val="22"/>
                <w:highlight w:val="none"/>
                <w:lang w:val="en-US" w:eastAsia="zh-CN"/>
              </w:rPr>
              <w:t>46</w:t>
            </w: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57</w:t>
            </w:r>
          </w:p>
        </w:tc>
      </w:tr>
      <w:tr>
        <w:tblPrEx>
          <w:tblCellMar>
            <w:top w:w="0" w:type="dxa"/>
            <w:left w:w="0" w:type="dxa"/>
            <w:bottom w:w="0" w:type="dxa"/>
            <w:right w:w="0" w:type="dxa"/>
          </w:tblCellMar>
        </w:tblPrEx>
        <w:trPr>
          <w:trHeight w:val="570"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0" w:type="auto"/>
        <w:tblInd w:w="0" w:type="dxa"/>
        <w:tblLayout w:type="fixed"/>
        <w:tblCellMar>
          <w:top w:w="0" w:type="dxa"/>
          <w:left w:w="0" w:type="dxa"/>
          <w:bottom w:w="0" w:type="dxa"/>
          <w:right w:w="0" w:type="dxa"/>
        </w:tblCellMar>
      </w:tblPr>
      <w:tblGrid>
        <w:gridCol w:w="1027"/>
        <w:gridCol w:w="59"/>
        <w:gridCol w:w="181"/>
        <w:gridCol w:w="2048"/>
        <w:gridCol w:w="595"/>
        <w:gridCol w:w="1185"/>
        <w:gridCol w:w="368"/>
        <w:gridCol w:w="1192"/>
        <w:gridCol w:w="361"/>
        <w:gridCol w:w="1039"/>
        <w:gridCol w:w="514"/>
        <w:gridCol w:w="966"/>
        <w:gridCol w:w="587"/>
        <w:gridCol w:w="713"/>
        <w:gridCol w:w="840"/>
        <w:gridCol w:w="920"/>
        <w:gridCol w:w="1250"/>
      </w:tblGrid>
      <w:tr>
        <w:tblPrEx>
          <w:tblCellMar>
            <w:top w:w="0" w:type="dxa"/>
            <w:left w:w="0" w:type="dxa"/>
            <w:bottom w:w="0" w:type="dxa"/>
            <w:right w:w="0" w:type="dxa"/>
          </w:tblCellMar>
        </w:tblPrEx>
        <w:trPr>
          <w:trHeight w:val="435" w:hRule="atLeast"/>
        </w:trPr>
        <w:tc>
          <w:tcPr>
            <w:tcW w:w="13845" w:type="dxa"/>
            <w:gridSpan w:val="17"/>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04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9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公开02表</w:t>
            </w:r>
          </w:p>
        </w:tc>
      </w:tr>
      <w:tr>
        <w:tblPrEx>
          <w:tblCellMar>
            <w:top w:w="0" w:type="dxa"/>
            <w:left w:w="0" w:type="dxa"/>
            <w:bottom w:w="0" w:type="dxa"/>
            <w:right w:w="0" w:type="dxa"/>
          </w:tblCellMar>
        </w:tblPrEx>
        <w:trPr>
          <w:trHeight w:val="300" w:hRule="atLeast"/>
        </w:trPr>
        <w:tc>
          <w:tcPr>
            <w:tcW w:w="3315"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：许昌市工业和信息化局</w:t>
            </w:r>
            <w:r>
              <w:rPr>
                <w:rFonts w:hint="eastAsia" w:ascii="宋体" w:hAnsi="宋体" w:cs="宋体"/>
                <w:color w:val="000000"/>
                <w:kern w:val="0"/>
                <w:sz w:val="20"/>
                <w:szCs w:val="20"/>
                <w:highlight w:val="none"/>
                <w:lang w:eastAsia="zh-CN" w:bidi="ar"/>
              </w:rPr>
              <w:t>（本级）</w:t>
            </w:r>
          </w:p>
        </w:tc>
        <w:tc>
          <w:tcPr>
            <w:tcW w:w="59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3315"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78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本年收入合计</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财政拨款收入</w:t>
            </w:r>
          </w:p>
        </w:tc>
        <w:tc>
          <w:tcPr>
            <w:tcW w:w="140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上级补助收入</w:t>
            </w:r>
          </w:p>
        </w:tc>
        <w:tc>
          <w:tcPr>
            <w:tcW w:w="148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事业收入</w:t>
            </w:r>
          </w:p>
        </w:tc>
        <w:tc>
          <w:tcPr>
            <w:tcW w:w="130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经营收入</w:t>
            </w:r>
          </w:p>
        </w:tc>
        <w:tc>
          <w:tcPr>
            <w:tcW w:w="176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附属单位上缴收入</w:t>
            </w:r>
          </w:p>
        </w:tc>
        <w:tc>
          <w:tcPr>
            <w:tcW w:w="1250"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其他收入</w:t>
            </w:r>
          </w:p>
        </w:tc>
      </w:tr>
      <w:tr>
        <w:tblPrEx>
          <w:tblCellMar>
            <w:top w:w="0" w:type="dxa"/>
            <w:left w:w="0" w:type="dxa"/>
            <w:bottom w:w="0" w:type="dxa"/>
            <w:right w:w="0" w:type="dxa"/>
          </w:tblCellMar>
        </w:tblPrEx>
        <w:trPr>
          <w:trHeight w:val="450" w:hRule="atLeast"/>
        </w:trPr>
        <w:tc>
          <w:tcPr>
            <w:tcW w:w="1267" w:type="dxa"/>
            <w:gridSpan w:val="3"/>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78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0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8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0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50"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3"/>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8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0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8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0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50"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3315"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250"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r>
      <w:tr>
        <w:tblPrEx>
          <w:tblCellMar>
            <w:top w:w="0" w:type="dxa"/>
            <w:left w:w="0" w:type="dxa"/>
            <w:bottom w:w="0" w:type="dxa"/>
            <w:right w:w="0" w:type="dxa"/>
          </w:tblCellMar>
        </w:tblPrEx>
        <w:trPr>
          <w:trHeight w:val="450" w:hRule="atLeast"/>
        </w:trPr>
        <w:tc>
          <w:tcPr>
            <w:tcW w:w="3315"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8,124.83</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8,124.83</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20129</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2012906</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206</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20609</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科技重大项目</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2060999</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其他科技重大项目</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629.29</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629.29</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505.90</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505.90</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2080501</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448.11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448.11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57.79</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57.79</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20808</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抚恤</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123.39</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123.39</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2080801</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死亡抚恤</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123.39</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123.39</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57.81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57.81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57.81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57.81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2101101</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29.41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29.41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2101103</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28.40</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28.40</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213</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农林水支出</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21301</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农业农村</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2130102</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1,270.61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1,270.61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21505</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1,270.61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1,270.61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2150501</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1,022.10</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1,022.10</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2150502</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248.51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248.51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15" w:hRule="atLeast"/>
        </w:trPr>
        <w:tc>
          <w:tcPr>
            <w:tcW w:w="13845" w:type="dxa"/>
            <w:gridSpan w:val="17"/>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14000" w:type="dxa"/>
        <w:tblInd w:w="0" w:type="dxa"/>
        <w:tblLayout w:type="fixed"/>
        <w:tblCellMar>
          <w:top w:w="0" w:type="dxa"/>
          <w:left w:w="0" w:type="dxa"/>
          <w:bottom w:w="0" w:type="dxa"/>
          <w:right w:w="0" w:type="dxa"/>
        </w:tblCellMar>
      </w:tblPr>
      <w:tblGrid>
        <w:gridCol w:w="1027"/>
        <w:gridCol w:w="240"/>
        <w:gridCol w:w="1668"/>
        <w:gridCol w:w="610"/>
        <w:gridCol w:w="570"/>
        <w:gridCol w:w="90"/>
        <w:gridCol w:w="710"/>
        <w:gridCol w:w="576"/>
        <w:gridCol w:w="419"/>
        <w:gridCol w:w="1630"/>
        <w:gridCol w:w="825"/>
        <w:gridCol w:w="499"/>
        <w:gridCol w:w="111"/>
        <w:gridCol w:w="290"/>
        <w:gridCol w:w="825"/>
        <w:gridCol w:w="25"/>
        <w:gridCol w:w="1240"/>
        <w:gridCol w:w="617"/>
        <w:gridCol w:w="428"/>
        <w:gridCol w:w="255"/>
        <w:gridCol w:w="1318"/>
        <w:gridCol w:w="27"/>
      </w:tblGrid>
      <w:tr>
        <w:tblPrEx>
          <w:tblCellMar>
            <w:top w:w="0" w:type="dxa"/>
            <w:left w:w="0" w:type="dxa"/>
            <w:bottom w:w="0" w:type="dxa"/>
            <w:right w:w="0" w:type="dxa"/>
          </w:tblCellMar>
        </w:tblPrEx>
        <w:trPr>
          <w:trHeight w:val="435" w:hRule="atLeast"/>
        </w:trPr>
        <w:tc>
          <w:tcPr>
            <w:tcW w:w="14000" w:type="dxa"/>
            <w:gridSpan w:val="22"/>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eastAsia="zh-CN" w:bidi="ar"/>
              </w:rPr>
              <w:t>支出</w:t>
            </w:r>
            <w:r>
              <w:rPr>
                <w:rFonts w:hint="eastAsia" w:ascii="华文中宋" w:hAnsi="华文中宋" w:eastAsia="华文中宋" w:cs="华文中宋"/>
                <w:color w:val="000000"/>
                <w:kern w:val="0"/>
                <w:sz w:val="32"/>
                <w:szCs w:val="32"/>
                <w:highlight w:val="none"/>
                <w:lang w:bidi="ar"/>
              </w:rPr>
              <w:t>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48"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05"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3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2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26"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w:t>
            </w:r>
            <w:r>
              <w:rPr>
                <w:rFonts w:hint="eastAsia" w:ascii="宋体" w:hAnsi="宋体" w:cs="宋体"/>
                <w:color w:val="000000"/>
                <w:kern w:val="0"/>
                <w:sz w:val="20"/>
                <w:szCs w:val="20"/>
                <w:highlight w:val="none"/>
                <w:lang w:val="en-US" w:eastAsia="zh-CN" w:bidi="ar"/>
              </w:rPr>
              <w:t>3</w:t>
            </w:r>
            <w:r>
              <w:rPr>
                <w:rFonts w:hint="eastAsia" w:ascii="宋体" w:hAnsi="宋体" w:cs="宋体"/>
                <w:color w:val="000000"/>
                <w:kern w:val="0"/>
                <w:sz w:val="20"/>
                <w:szCs w:val="20"/>
                <w:highlight w:val="none"/>
                <w:lang w:bidi="ar"/>
              </w:rPr>
              <w:t>表</w:t>
            </w:r>
          </w:p>
        </w:tc>
      </w:tr>
      <w:tr>
        <w:tblPrEx>
          <w:tblCellMar>
            <w:top w:w="0" w:type="dxa"/>
            <w:left w:w="0" w:type="dxa"/>
            <w:bottom w:w="0" w:type="dxa"/>
            <w:right w:w="0" w:type="dxa"/>
          </w:tblCellMar>
        </w:tblPrEx>
        <w:trPr>
          <w:trHeight w:val="300" w:hRule="atLeast"/>
        </w:trPr>
        <w:tc>
          <w:tcPr>
            <w:tcW w:w="4115" w:type="dxa"/>
            <w:gridSpan w:val="5"/>
            <w:tcBorders>
              <w:top w:val="nil"/>
              <w:left w:val="nil"/>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0"/>
                <w:sz w:val="20"/>
                <w:szCs w:val="20"/>
                <w:highlight w:val="none"/>
                <w:lang w:eastAsia="zh-CN" w:bidi="ar"/>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：许昌市工业和信息化局</w:t>
            </w:r>
            <w:r>
              <w:rPr>
                <w:rFonts w:hint="eastAsia" w:ascii="宋体" w:hAnsi="宋体" w:cs="宋体"/>
                <w:color w:val="000000"/>
                <w:kern w:val="0"/>
                <w:sz w:val="20"/>
                <w:szCs w:val="20"/>
                <w:highlight w:val="none"/>
                <w:lang w:eastAsia="zh-CN" w:bidi="ar"/>
              </w:rPr>
              <w:t>（本级）</w:t>
            </w:r>
          </w:p>
        </w:tc>
        <w:tc>
          <w:tcPr>
            <w:tcW w:w="90" w:type="dxa"/>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05" w:type="dxa"/>
            <w:gridSpan w:val="3"/>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30" w:type="dxa"/>
            <w:tcBorders>
              <w:top w:val="nil"/>
              <w:left w:val="nil"/>
              <w:bottom w:val="single" w:color="000000" w:sz="8"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24" w:type="dxa"/>
            <w:gridSpan w:val="2"/>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26" w:type="dxa"/>
            <w:gridSpan w:val="3"/>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4"/>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nil"/>
              <w:left w:val="nil"/>
              <w:bottom w:val="single" w:color="000000" w:sz="8"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4115" w:type="dxa"/>
            <w:gridSpan w:val="5"/>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795"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本年收入合计</w:t>
            </w:r>
          </w:p>
        </w:tc>
        <w:tc>
          <w:tcPr>
            <w:tcW w:w="1630" w:type="dxa"/>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基本支出</w:t>
            </w:r>
          </w:p>
        </w:tc>
        <w:tc>
          <w:tcPr>
            <w:tcW w:w="1725"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项目支出</w:t>
            </w:r>
          </w:p>
        </w:tc>
        <w:tc>
          <w:tcPr>
            <w:tcW w:w="825"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上缴上级支出</w:t>
            </w:r>
          </w:p>
        </w:tc>
        <w:tc>
          <w:tcPr>
            <w:tcW w:w="2310"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经营</w:t>
            </w:r>
            <w:r>
              <w:rPr>
                <w:rFonts w:hint="eastAsia" w:ascii="宋体" w:hAnsi="宋体" w:cs="宋体"/>
                <w:color w:val="000000"/>
                <w:kern w:val="0"/>
                <w:sz w:val="20"/>
                <w:szCs w:val="20"/>
                <w:highlight w:val="none"/>
                <w:lang w:eastAsia="zh-CN" w:bidi="ar"/>
              </w:rPr>
              <w:t>支出</w:t>
            </w:r>
          </w:p>
        </w:tc>
        <w:tc>
          <w:tcPr>
            <w:tcW w:w="1600" w:type="dxa"/>
            <w:gridSpan w:val="3"/>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对</w:t>
            </w:r>
            <w:r>
              <w:rPr>
                <w:rFonts w:hint="eastAsia" w:ascii="宋体" w:hAnsi="宋体" w:cs="宋体"/>
                <w:color w:val="000000"/>
                <w:kern w:val="0"/>
                <w:sz w:val="20"/>
                <w:szCs w:val="20"/>
                <w:highlight w:val="none"/>
                <w:lang w:bidi="ar"/>
              </w:rPr>
              <w:t>附属单位</w:t>
            </w:r>
            <w:r>
              <w:rPr>
                <w:rFonts w:hint="eastAsia" w:ascii="宋体" w:hAnsi="宋体" w:cs="宋体"/>
                <w:color w:val="000000"/>
                <w:kern w:val="0"/>
                <w:sz w:val="20"/>
                <w:szCs w:val="20"/>
                <w:highlight w:val="none"/>
                <w:lang w:eastAsia="zh-CN" w:bidi="ar"/>
              </w:rPr>
              <w:t>补助支出</w:t>
            </w:r>
          </w:p>
        </w:tc>
      </w:tr>
      <w:tr>
        <w:tblPrEx>
          <w:tblCellMar>
            <w:top w:w="0" w:type="dxa"/>
            <w:left w:w="0" w:type="dxa"/>
            <w:bottom w:w="0" w:type="dxa"/>
            <w:right w:w="0" w:type="dxa"/>
          </w:tblCellMar>
        </w:tblPrEx>
        <w:trPr>
          <w:trHeight w:val="450" w:hRule="atLeast"/>
        </w:trPr>
        <w:tc>
          <w:tcPr>
            <w:tcW w:w="1267"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28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795"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25"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2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310"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00"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8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95"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25"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2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310"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00"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4115"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79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7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231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600" w:type="dxa"/>
            <w:gridSpan w:val="3"/>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trHeight w:val="450" w:hRule="atLeast"/>
        </w:trPr>
        <w:tc>
          <w:tcPr>
            <w:tcW w:w="4115" w:type="dxa"/>
            <w:gridSpan w:val="5"/>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8,346.57</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1,851.77</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b/>
                <w:bCs/>
                <w:color w:val="000000"/>
                <w:sz w:val="22"/>
                <w:szCs w:val="22"/>
                <w:highlight w:val="none"/>
                <w:lang w:val="en-US" w:eastAsia="zh-CN"/>
              </w:rPr>
              <w:t>6,494.81</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20129</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2012906</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206</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6,160.80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20609</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科技重大项目</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6,160.80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2060999</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其他科技重大项目</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6,160.80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699.84</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699.84</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576.45</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576.45</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2080501</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500.32</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500.32</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76.12</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76.12</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20808</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抚恤</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123.39</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123.39</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2080801</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123.39</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123.39</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62.83</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62.83</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62.83</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62.83</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2101101</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30.11</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2101103</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32.72</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32.72</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213</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农林水支出</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2"/>
                <w:szCs w:val="22"/>
                <w:highlight w:val="none"/>
              </w:rPr>
            </w:pP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21301</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农业农村</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2130102</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1,416.78</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1,084.18</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332.60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21505</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1,416.78</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1,084.18</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332.60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2150501</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1,084.18</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1,084.18</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2150502</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332.60</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332.60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15" w:hRule="atLeast"/>
        </w:trPr>
        <w:tc>
          <w:tcPr>
            <w:tcW w:w="14000" w:type="dxa"/>
            <w:gridSpan w:val="2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本年度各项支出情况。本表金额转换为万元时，因四舍五入可能存在尾差。</w:t>
            </w:r>
          </w:p>
        </w:tc>
      </w:tr>
      <w:tr>
        <w:tblPrEx>
          <w:tblCellMar>
            <w:top w:w="0" w:type="dxa"/>
            <w:left w:w="0" w:type="dxa"/>
            <w:bottom w:w="0" w:type="dxa"/>
            <w:right w:w="0" w:type="dxa"/>
          </w:tblCellMar>
        </w:tblPrEx>
        <w:trPr>
          <w:gridAfter w:val="1"/>
          <w:wAfter w:w="27" w:type="dxa"/>
          <w:trHeight w:val="360" w:hRule="atLeast"/>
        </w:trPr>
        <w:tc>
          <w:tcPr>
            <w:tcW w:w="12655" w:type="dxa"/>
            <w:gridSpan w:val="20"/>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highlight w:val="none"/>
                <w:lang w:val="en-US" w:eastAsia="zh-CN" w:bidi="ar"/>
              </w:rPr>
            </w:pPr>
          </w:p>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val="en-US" w:eastAsia="zh-CN" w:bidi="ar"/>
              </w:rPr>
              <w:t xml:space="preserve">        </w:t>
            </w:r>
            <w:r>
              <w:rPr>
                <w:rFonts w:hint="eastAsia" w:ascii="华文中宋" w:hAnsi="华文中宋" w:eastAsia="华文中宋" w:cs="华文中宋"/>
                <w:color w:val="000000"/>
                <w:kern w:val="0"/>
                <w:sz w:val="32"/>
                <w:szCs w:val="32"/>
                <w:highlight w:val="none"/>
                <w:lang w:bidi="ar"/>
              </w:rPr>
              <w:t>财政拨款收入支出决算总表</w:t>
            </w:r>
          </w:p>
        </w:tc>
        <w:tc>
          <w:tcPr>
            <w:tcW w:w="1318" w:type="dxa"/>
            <w:tcBorders>
              <w:top w:val="nil"/>
              <w:left w:val="nil"/>
              <w:bottom w:val="nil"/>
              <w:right w:val="nil"/>
            </w:tcBorders>
            <w:noWrap w:val="0"/>
            <w:vAlign w:val="top"/>
          </w:tcPr>
          <w:p>
            <w:pPr>
              <w:widowControl/>
              <w:jc w:val="both"/>
              <w:textAlignment w:val="center"/>
              <w:rPr>
                <w:rFonts w:hint="eastAsia" w:ascii="华文中宋" w:hAnsi="华文中宋" w:eastAsia="华文中宋" w:cs="华文中宋"/>
                <w:color w:val="000000"/>
                <w:kern w:val="0"/>
                <w:sz w:val="32"/>
                <w:szCs w:val="32"/>
                <w:highlight w:val="none"/>
                <w:lang w:bidi="ar"/>
              </w:rPr>
            </w:pPr>
          </w:p>
        </w:tc>
      </w:tr>
      <w:tr>
        <w:tblPrEx>
          <w:tblCellMar>
            <w:top w:w="0" w:type="dxa"/>
            <w:left w:w="0" w:type="dxa"/>
            <w:bottom w:w="0" w:type="dxa"/>
            <w:right w:w="0" w:type="dxa"/>
          </w:tblCellMar>
        </w:tblPrEx>
        <w:trPr>
          <w:gridAfter w:val="1"/>
          <w:wAfter w:w="27" w:type="dxa"/>
          <w:trHeight w:val="307" w:hRule="atLeast"/>
        </w:trPr>
        <w:tc>
          <w:tcPr>
            <w:tcW w:w="2935"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70"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50"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1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0"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57" w:type="dxa"/>
            <w:gridSpan w:val="2"/>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tc>
        <w:tc>
          <w:tcPr>
            <w:tcW w:w="68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p>
        </w:tc>
        <w:tc>
          <w:tcPr>
            <w:tcW w:w="131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公开04表</w:t>
            </w:r>
          </w:p>
        </w:tc>
      </w:tr>
      <w:tr>
        <w:tblPrEx>
          <w:tblCellMar>
            <w:top w:w="0" w:type="dxa"/>
            <w:left w:w="0" w:type="dxa"/>
            <w:bottom w:w="0" w:type="dxa"/>
            <w:right w:w="0" w:type="dxa"/>
          </w:tblCellMar>
        </w:tblPrEx>
        <w:trPr>
          <w:gridAfter w:val="1"/>
          <w:wAfter w:w="27" w:type="dxa"/>
          <w:trHeight w:val="297" w:hRule="atLeast"/>
        </w:trPr>
        <w:tc>
          <w:tcPr>
            <w:tcW w:w="4915" w:type="dxa"/>
            <w:gridSpan w:val="7"/>
            <w:tcBorders>
              <w:top w:val="nil"/>
              <w:left w:val="nil"/>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：许昌市工业和信息化局</w:t>
            </w:r>
            <w:r>
              <w:rPr>
                <w:rFonts w:hint="eastAsia" w:ascii="宋体" w:hAnsi="宋体" w:cs="宋体"/>
                <w:color w:val="000000"/>
                <w:kern w:val="0"/>
                <w:sz w:val="20"/>
                <w:szCs w:val="20"/>
                <w:highlight w:val="none"/>
                <w:lang w:eastAsia="zh-CN" w:bidi="ar"/>
              </w:rPr>
              <w:t>（本级）</w:t>
            </w:r>
          </w:p>
        </w:tc>
        <w:tc>
          <w:tcPr>
            <w:tcW w:w="3450" w:type="dxa"/>
            <w:gridSpan w:val="4"/>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10" w:type="dxa"/>
            <w:gridSpan w:val="2"/>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0" w:type="dxa"/>
            <w:gridSpan w:val="3"/>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57" w:type="dxa"/>
            <w:gridSpan w:val="2"/>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83" w:type="dxa"/>
            <w:gridSpan w:val="2"/>
            <w:tcBorders>
              <w:top w:val="nil"/>
              <w:left w:val="nil"/>
              <w:bottom w:val="single" w:color="000000" w:sz="8"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p>
        </w:tc>
        <w:tc>
          <w:tcPr>
            <w:tcW w:w="1318" w:type="dxa"/>
            <w:tcBorders>
              <w:top w:val="nil"/>
              <w:left w:val="nil"/>
              <w:bottom w:val="single" w:color="000000" w:sz="8" w:space="0"/>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27" w:type="dxa"/>
          <w:trHeight w:val="347" w:hRule="atLeast"/>
        </w:trPr>
        <w:tc>
          <w:tcPr>
            <w:tcW w:w="4915" w:type="dxa"/>
            <w:gridSpan w:val="7"/>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9058" w:type="dxa"/>
            <w:gridSpan w:val="14"/>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gridAfter w:val="1"/>
          <w:wAfter w:w="27" w:type="dxa"/>
          <w:trHeight w:val="90"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金额</w:t>
            </w: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一般公共预算财政拨款</w:t>
            </w:r>
          </w:p>
        </w:tc>
        <w:tc>
          <w:tcPr>
            <w:tcW w:w="1300"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政府性基金预算财政拨款</w:t>
            </w:r>
          </w:p>
        </w:tc>
        <w:tc>
          <w:tcPr>
            <w:tcW w:w="1318" w:type="dxa"/>
            <w:tcBorders>
              <w:top w:val="single" w:color="000000" w:sz="4" w:space="0"/>
              <w:left w:val="single" w:color="auto" w:sz="4" w:space="0"/>
              <w:bottom w:val="single" w:color="000000" w:sz="4" w:space="0"/>
              <w:right w:val="single" w:color="000000" w:sz="8" w:space="0"/>
            </w:tcBorders>
            <w:noWrap w:val="0"/>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sz w:val="20"/>
                <w:szCs w:val="20"/>
                <w:highlight w:val="none"/>
              </w:rPr>
              <w:t>国有资本经营预算财政拨款</w:t>
            </w:r>
          </w:p>
        </w:tc>
      </w:tr>
      <w:tr>
        <w:tblPrEx>
          <w:tblCellMar>
            <w:top w:w="0" w:type="dxa"/>
            <w:left w:w="0" w:type="dxa"/>
            <w:bottom w:w="0" w:type="dxa"/>
            <w:right w:w="0" w:type="dxa"/>
          </w:tblCellMar>
        </w:tblPrEx>
        <w:trPr>
          <w:gridAfter w:val="1"/>
          <w:wAfter w:w="27" w:type="dxa"/>
          <w:trHeight w:val="35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2"/>
                <w:szCs w:val="22"/>
                <w:highlight w:val="none"/>
                <w:lang w:bidi="ar"/>
              </w:rPr>
              <w:t>1</w:t>
            </w: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300" w:type="dxa"/>
            <w:gridSpan w:val="3"/>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318" w:type="dxa"/>
            <w:tcBorders>
              <w:top w:val="single" w:color="000000" w:sz="4" w:space="0"/>
              <w:left w:val="single" w:color="auto"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2"/>
                <w:szCs w:val="22"/>
                <w:highlight w:val="none"/>
                <w:lang w:bidi="ar"/>
              </w:rPr>
            </w:pPr>
            <w:r>
              <w:rPr>
                <w:rFonts w:ascii="宋体" w:hAnsi="宋体" w:cs="宋体"/>
                <w:color w:val="000000"/>
                <w:kern w:val="0"/>
                <w:sz w:val="22"/>
                <w:szCs w:val="22"/>
                <w:highlight w:val="none"/>
                <w:lang w:bidi="ar"/>
              </w:rPr>
              <w:t>5</w:t>
            </w:r>
          </w:p>
        </w:tc>
      </w:tr>
      <w:tr>
        <w:tblPrEx>
          <w:tblCellMar>
            <w:top w:w="0" w:type="dxa"/>
            <w:left w:w="0" w:type="dxa"/>
            <w:bottom w:w="0" w:type="dxa"/>
            <w:right w:w="0" w:type="dxa"/>
          </w:tblCellMar>
        </w:tblPrEx>
        <w:trPr>
          <w:gridAfter w:val="1"/>
          <w:wAfter w:w="27" w:type="dxa"/>
          <w:trHeight w:val="35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8,124.83</w:t>
            </w: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33</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4.91</w:t>
            </w:r>
          </w:p>
        </w:tc>
        <w:tc>
          <w:tcPr>
            <w:tcW w:w="12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4.91</w:t>
            </w:r>
          </w:p>
        </w:tc>
        <w:tc>
          <w:tcPr>
            <w:tcW w:w="1300"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二、政府性基金预算财政拨款</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34</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1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三、国有资本经营预算财政拨款</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35</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5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四、公共安全支出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36</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1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37</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7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六、科学技术支出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38</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6,160.80</w:t>
            </w:r>
          </w:p>
        </w:tc>
        <w:tc>
          <w:tcPr>
            <w:tcW w:w="12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6,160.80</w:t>
            </w:r>
          </w:p>
        </w:tc>
        <w:tc>
          <w:tcPr>
            <w:tcW w:w="1300"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3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39</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40</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699.84</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699.84</w:t>
            </w: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3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9</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41</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62.83</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62.83</w:t>
            </w: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1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10</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42</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2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11</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43</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12</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44</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1.41</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abs>
                <w:tab w:val="left" w:pos="255"/>
              </w:tabs>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eastAsia="zh-CN"/>
              </w:rPr>
              <w:tab/>
            </w:r>
            <w:r>
              <w:rPr>
                <w:rFonts w:hint="eastAsia" w:ascii="宋体" w:hAnsi="宋体" w:cs="宋体"/>
                <w:color w:val="000000"/>
                <w:sz w:val="22"/>
                <w:szCs w:val="22"/>
                <w:highlight w:val="none"/>
                <w:lang w:val="en-US" w:eastAsia="zh-CN"/>
              </w:rPr>
              <w:t>1.41</w:t>
            </w: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13</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45</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7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14</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46</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tabs>
                <w:tab w:val="left" w:pos="355"/>
              </w:tabs>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1,416.78</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1,416.78</w:t>
            </w: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3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15</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47</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3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16</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十六、金融支出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48</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5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17</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49</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2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18</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50</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4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19</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51</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3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20</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52</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0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21</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53</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22</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54</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7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23</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55</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3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24</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56</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5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25</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57</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4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26</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58</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7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27</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8,124.83</w:t>
            </w: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59</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8,346.57</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8,346.57</w:t>
            </w: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b/>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gridAfter w:val="1"/>
          <w:wAfter w:w="27" w:type="dxa"/>
          <w:trHeight w:val="37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财政拨款结转和结余</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28</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221.74</w:t>
            </w: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年末财政拨款结转和结余</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60</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00" w:firstLineChars="200"/>
              <w:jc w:val="both"/>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一般公共预算财政拨款</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29</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221.74</w:t>
            </w: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61</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6"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6"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57" w:hRule="atLeast"/>
        </w:trPr>
        <w:tc>
          <w:tcPr>
            <w:tcW w:w="2935" w:type="dxa"/>
            <w:gridSpan w:val="3"/>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ind w:firstLine="400" w:firstLineChars="200"/>
              <w:jc w:val="both"/>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政府性基金预算财政拨款</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30</w:t>
            </w:r>
          </w:p>
        </w:tc>
        <w:tc>
          <w:tcPr>
            <w:tcW w:w="1370" w:type="dxa"/>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62</w:t>
            </w:r>
          </w:p>
        </w:tc>
        <w:tc>
          <w:tcPr>
            <w:tcW w:w="1140" w:type="dxa"/>
            <w:gridSpan w:val="3"/>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6"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6" w:space="0"/>
              <w:left w:val="single" w:color="000000" w:sz="6" w:space="0"/>
              <w:bottom w:val="single" w:color="000000" w:sz="6" w:space="0"/>
              <w:right w:val="single" w:color="000000" w:sz="6"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6" w:space="0"/>
              <w:left w:val="single" w:color="000000" w:sz="6" w:space="0"/>
              <w:bottom w:val="single" w:color="000000" w:sz="6"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2" w:hRule="atLeast"/>
        </w:trPr>
        <w:tc>
          <w:tcPr>
            <w:tcW w:w="2935" w:type="dxa"/>
            <w:gridSpan w:val="3"/>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ind w:firstLine="400" w:firstLineChars="200"/>
              <w:jc w:val="both"/>
              <w:rPr>
                <w:rFonts w:hint="eastAsia" w:ascii="宋体" w:hAnsi="宋体" w:cs="宋体"/>
                <w:color w:val="000000"/>
                <w:sz w:val="20"/>
                <w:szCs w:val="20"/>
                <w:highlight w:val="none"/>
              </w:rPr>
            </w:pPr>
            <w:r>
              <w:rPr>
                <w:rFonts w:hint="eastAsia" w:ascii="宋体" w:hAnsi="宋体" w:cs="宋体"/>
                <w:color w:val="000000"/>
                <w:sz w:val="20"/>
                <w:szCs w:val="20"/>
                <w:highlight w:val="none"/>
              </w:rPr>
              <w:t>国有资本经营预算财政拨款</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31</w:t>
            </w:r>
          </w:p>
        </w:tc>
        <w:tc>
          <w:tcPr>
            <w:tcW w:w="1370" w:type="dxa"/>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63</w:t>
            </w:r>
          </w:p>
        </w:tc>
        <w:tc>
          <w:tcPr>
            <w:tcW w:w="1140" w:type="dxa"/>
            <w:gridSpan w:val="3"/>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6"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6" w:space="0"/>
              <w:left w:val="single" w:color="000000" w:sz="6" w:space="0"/>
              <w:bottom w:val="single" w:color="000000" w:sz="6" w:space="0"/>
              <w:right w:val="single" w:color="000000" w:sz="6"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6" w:space="0"/>
              <w:left w:val="single" w:color="000000" w:sz="6" w:space="0"/>
              <w:bottom w:val="single" w:color="000000" w:sz="6"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82" w:hRule="atLeast"/>
        </w:trPr>
        <w:tc>
          <w:tcPr>
            <w:tcW w:w="2935" w:type="dxa"/>
            <w:gridSpan w:val="3"/>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610"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32</w:t>
            </w:r>
          </w:p>
        </w:tc>
        <w:tc>
          <w:tcPr>
            <w:tcW w:w="1370" w:type="dxa"/>
            <w:gridSpan w:val="3"/>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8,346.57</w:t>
            </w:r>
          </w:p>
        </w:tc>
        <w:tc>
          <w:tcPr>
            <w:tcW w:w="3450" w:type="dxa"/>
            <w:gridSpan w:val="4"/>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610"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64</w:t>
            </w:r>
          </w:p>
        </w:tc>
        <w:tc>
          <w:tcPr>
            <w:tcW w:w="1140" w:type="dxa"/>
            <w:gridSpan w:val="3"/>
            <w:tcBorders>
              <w:top w:val="single" w:color="000000" w:sz="4" w:space="0"/>
              <w:left w:val="nil"/>
              <w:bottom w:val="single" w:color="000000" w:sz="8"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8,346.57</w:t>
            </w:r>
          </w:p>
        </w:tc>
        <w:tc>
          <w:tcPr>
            <w:tcW w:w="1240" w:type="dxa"/>
            <w:tcBorders>
              <w:top w:val="single" w:color="000000" w:sz="4" w:space="0"/>
              <w:left w:val="single" w:color="000000" w:sz="4" w:space="0"/>
              <w:bottom w:val="single" w:color="000000" w:sz="8" w:space="0"/>
              <w:right w:val="single" w:color="000000" w:sz="6" w:space="0"/>
            </w:tcBorders>
            <w:shd w:val="clear" w:color="auto" w:fill="FFFFFF"/>
            <w:noWrap/>
            <w:tcMar>
              <w:top w:w="15" w:type="dxa"/>
              <w:left w:w="15" w:type="dxa"/>
              <w:right w:w="15" w:type="dxa"/>
            </w:tcMar>
            <w:vAlign w:val="center"/>
          </w:tcPr>
          <w:p>
            <w:pPr>
              <w:tabs>
                <w:tab w:val="left" w:pos="375"/>
              </w:tabs>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8,346.57</w:t>
            </w:r>
          </w:p>
        </w:tc>
        <w:tc>
          <w:tcPr>
            <w:tcW w:w="1300" w:type="dxa"/>
            <w:gridSpan w:val="3"/>
            <w:tcBorders>
              <w:top w:val="single" w:color="000000" w:sz="6" w:space="0"/>
              <w:left w:val="single" w:color="000000" w:sz="6" w:space="0"/>
              <w:bottom w:val="single" w:color="000000" w:sz="8" w:space="0"/>
              <w:right w:val="single" w:color="000000" w:sz="6" w:space="0"/>
            </w:tcBorders>
            <w:noWrap/>
            <w:tcMar>
              <w:top w:w="15" w:type="dxa"/>
              <w:left w:w="15" w:type="dxa"/>
              <w:right w:w="15" w:type="dxa"/>
            </w:tcMar>
            <w:vAlign w:val="center"/>
          </w:tcPr>
          <w:p>
            <w:pPr>
              <w:jc w:val="right"/>
              <w:rPr>
                <w:rFonts w:hint="eastAsia" w:ascii="宋体" w:hAnsi="宋体" w:cs="宋体"/>
                <w:b/>
                <w:color w:val="000000"/>
                <w:sz w:val="20"/>
                <w:szCs w:val="20"/>
                <w:highlight w:val="none"/>
              </w:rPr>
            </w:pPr>
          </w:p>
        </w:tc>
        <w:tc>
          <w:tcPr>
            <w:tcW w:w="1318" w:type="dxa"/>
            <w:tcBorders>
              <w:top w:val="single" w:color="000000" w:sz="6" w:space="0"/>
              <w:left w:val="single" w:color="000000" w:sz="6" w:space="0"/>
              <w:bottom w:val="single" w:color="000000" w:sz="8" w:space="0"/>
              <w:right w:val="single" w:color="000000" w:sz="8" w:space="0"/>
            </w:tcBorders>
            <w:noWrap w:val="0"/>
            <w:vAlign w:val="top"/>
          </w:tcPr>
          <w:p>
            <w:pPr>
              <w:jc w:val="right"/>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gridAfter w:val="1"/>
          <w:wAfter w:w="27" w:type="dxa"/>
          <w:trHeight w:val="585" w:hRule="atLeast"/>
        </w:trPr>
        <w:tc>
          <w:tcPr>
            <w:tcW w:w="12655" w:type="dxa"/>
            <w:gridSpan w:val="20"/>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本年度一般公共预算财政拨款、政府性基金预算财政拨款和国有资本经营预算财政拨款的总收支和年末结转结余情况。本表金额转换为万元时，因四舍五入可能存在尾差。</w:t>
            </w:r>
          </w:p>
        </w:tc>
        <w:tc>
          <w:tcPr>
            <w:tcW w:w="1318"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000000"/>
                <w:kern w:val="0"/>
                <w:sz w:val="20"/>
                <w:szCs w:val="20"/>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0" w:type="auto"/>
        <w:tblInd w:w="0" w:type="dxa"/>
        <w:tblLayout w:type="fixed"/>
        <w:tblCellMar>
          <w:top w:w="0" w:type="dxa"/>
          <w:left w:w="0" w:type="dxa"/>
          <w:bottom w:w="0" w:type="dxa"/>
          <w:right w:w="0" w:type="dxa"/>
        </w:tblCellMar>
      </w:tblPr>
      <w:tblGrid>
        <w:gridCol w:w="726"/>
        <w:gridCol w:w="519"/>
        <w:gridCol w:w="4360"/>
        <w:gridCol w:w="3100"/>
        <w:gridCol w:w="2600"/>
        <w:gridCol w:w="2683"/>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19"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36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10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60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68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w:t>
            </w:r>
            <w:r>
              <w:rPr>
                <w:rStyle w:val="22"/>
                <w:rFonts w:hint="default"/>
                <w:highlight w:val="none"/>
                <w:lang w:bidi="ar"/>
              </w:rPr>
              <w:t>5表</w:t>
            </w:r>
          </w:p>
        </w:tc>
      </w:tr>
      <w:tr>
        <w:tblPrEx>
          <w:tblCellMar>
            <w:top w:w="0" w:type="dxa"/>
            <w:left w:w="0" w:type="dxa"/>
            <w:bottom w:w="0" w:type="dxa"/>
            <w:right w:w="0" w:type="dxa"/>
          </w:tblCellMar>
        </w:tblPrEx>
        <w:trPr>
          <w:trHeight w:val="300" w:hRule="atLeast"/>
        </w:trPr>
        <w:tc>
          <w:tcPr>
            <w:tcW w:w="5605"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：许昌市工业和信息化局</w:t>
            </w:r>
            <w:r>
              <w:rPr>
                <w:rFonts w:hint="eastAsia" w:ascii="宋体" w:hAnsi="宋体" w:cs="宋体"/>
                <w:color w:val="000000"/>
                <w:kern w:val="0"/>
                <w:sz w:val="20"/>
                <w:szCs w:val="20"/>
                <w:highlight w:val="none"/>
                <w:lang w:eastAsia="zh-CN" w:bidi="ar"/>
              </w:rPr>
              <w:t>（本级）</w:t>
            </w:r>
          </w:p>
        </w:tc>
        <w:tc>
          <w:tcPr>
            <w:tcW w:w="310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60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68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05" w:hRule="atLeast"/>
        </w:trPr>
        <w:tc>
          <w:tcPr>
            <w:tcW w:w="5605"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项 </w:t>
            </w:r>
            <w:r>
              <w:rPr>
                <w:rStyle w:val="19"/>
                <w:rFonts w:hint="default"/>
                <w:sz w:val="20"/>
                <w:szCs w:val="20"/>
                <w:highlight w:val="none"/>
                <w:lang w:bidi="ar"/>
              </w:rPr>
              <w:t xml:space="preserve">   </w:t>
            </w:r>
            <w:r>
              <w:rPr>
                <w:rStyle w:val="21"/>
                <w:rFonts w:hint="default"/>
                <w:sz w:val="20"/>
                <w:szCs w:val="20"/>
                <w:highlight w:val="none"/>
                <w:lang w:bidi="ar"/>
              </w:rPr>
              <w:t>目</w:t>
            </w:r>
          </w:p>
        </w:tc>
        <w:tc>
          <w:tcPr>
            <w:tcW w:w="8383"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r>
      <w:tr>
        <w:tblPrEx>
          <w:tblCellMar>
            <w:top w:w="0" w:type="dxa"/>
            <w:left w:w="0" w:type="dxa"/>
            <w:bottom w:w="0" w:type="dxa"/>
            <w:right w:w="0" w:type="dxa"/>
          </w:tblCellMar>
        </w:tblPrEx>
        <w:trPr>
          <w:trHeight w:val="495" w:hRule="atLeast"/>
        </w:trPr>
        <w:tc>
          <w:tcPr>
            <w:tcW w:w="1245"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43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310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260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2683"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r>
      <w:tr>
        <w:tblPrEx>
          <w:tblCellMar>
            <w:top w:w="0" w:type="dxa"/>
            <w:left w:w="0" w:type="dxa"/>
            <w:bottom w:w="0" w:type="dxa"/>
            <w:right w:w="0" w:type="dxa"/>
          </w:tblCellMar>
        </w:tblPrEx>
        <w:trPr>
          <w:trHeight w:val="360" w:hRule="atLeast"/>
        </w:trPr>
        <w:tc>
          <w:tcPr>
            <w:tcW w:w="1245"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1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6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683"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1245"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1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6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683"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560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r>
      <w:tr>
        <w:tblPrEx>
          <w:tblCellMar>
            <w:top w:w="0" w:type="dxa"/>
            <w:left w:w="0" w:type="dxa"/>
            <w:bottom w:w="0" w:type="dxa"/>
            <w:right w:w="0" w:type="dxa"/>
          </w:tblCellMar>
        </w:tblPrEx>
        <w:trPr>
          <w:trHeight w:val="450" w:hRule="atLeast"/>
        </w:trPr>
        <w:tc>
          <w:tcPr>
            <w:tcW w:w="560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8,346.57</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1,851.77</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6,494.81</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20129</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群众团体事务</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2012906</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206</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科学技术支出</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6,160.80</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6,160.80</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20609</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科技重大项目</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6,160.80</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6,160.80</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2060999</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其他科技重大项目</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6,160.80</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6,160.80</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699.84</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699.84</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576.45</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576.45</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2080501</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500.32</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500.32</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2080505</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76.12</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76.12</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20808</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123.39</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123.39</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2080801</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123.39</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123.39</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62.83</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62.83</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21011</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62.83</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62.83</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2101101</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2101103</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32.72</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32.72</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213</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农林水支出</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21301</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农业农村</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2130102</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215</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1,416.78</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1,084.18</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332.60</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21505</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1,416.78</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1,084.18</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332.60</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2150501</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1,084.18</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1,084.18</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2150502</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332.60</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332.60</w:t>
            </w: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0" w:type="auto"/>
        <w:tblInd w:w="0" w:type="dxa"/>
        <w:tblLayout w:type="fixed"/>
        <w:tblCellMar>
          <w:top w:w="0" w:type="dxa"/>
          <w:left w:w="0" w:type="dxa"/>
          <w:bottom w:w="0" w:type="dxa"/>
          <w:right w:w="0" w:type="dxa"/>
        </w:tblCellMar>
      </w:tblPr>
      <w:tblGrid>
        <w:gridCol w:w="865"/>
        <w:gridCol w:w="2860"/>
        <w:gridCol w:w="1150"/>
        <w:gridCol w:w="920"/>
        <w:gridCol w:w="2150"/>
        <w:gridCol w:w="880"/>
        <w:gridCol w:w="890"/>
        <w:gridCol w:w="2810"/>
        <w:gridCol w:w="1463"/>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86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86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2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88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89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81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46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公开06表</w:t>
            </w:r>
          </w:p>
        </w:tc>
      </w:tr>
      <w:tr>
        <w:tblPrEx>
          <w:tblCellMar>
            <w:top w:w="0" w:type="dxa"/>
            <w:left w:w="0" w:type="dxa"/>
            <w:bottom w:w="0" w:type="dxa"/>
            <w:right w:w="0" w:type="dxa"/>
          </w:tblCellMar>
        </w:tblPrEx>
        <w:trPr>
          <w:trHeight w:val="300" w:hRule="atLeast"/>
        </w:trPr>
        <w:tc>
          <w:tcPr>
            <w:tcW w:w="3725" w:type="dxa"/>
            <w:gridSpan w:val="2"/>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：许昌市工业和信息化局</w:t>
            </w:r>
            <w:r>
              <w:rPr>
                <w:rFonts w:hint="eastAsia" w:ascii="宋体" w:hAnsi="宋体" w:cs="宋体"/>
                <w:color w:val="000000"/>
                <w:kern w:val="0"/>
                <w:sz w:val="20"/>
                <w:szCs w:val="20"/>
                <w:highlight w:val="none"/>
                <w:lang w:eastAsia="zh-CN" w:bidi="ar"/>
              </w:rPr>
              <w:t>（本级）</w:t>
            </w:r>
          </w:p>
        </w:tc>
        <w:tc>
          <w:tcPr>
            <w:tcW w:w="115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92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215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8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9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281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1463"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615" w:hRule="atLeast"/>
        </w:trPr>
        <w:tc>
          <w:tcPr>
            <w:tcW w:w="86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86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15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92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15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88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9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81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463"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工资福利支出</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1,060.86</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商品和服务支出</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148.69</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307</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30101</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基本工资</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238.03</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30201</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8.76</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30701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30102</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津贴补贴</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587.74</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30202</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印刷费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17.99</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30702</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30103</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奖金</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30203</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咨询费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资本性支出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3.08</w:t>
            </w: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30106</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伙食补助费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30204</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手续费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30107</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绩效工资</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30205</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水费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31002</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2.71</w:t>
            </w: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30108</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机关事业单位基本养老保险费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80.79</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30206</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电费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31003</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0.37</w:t>
            </w: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30109</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职业年金缴费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30207</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邮电费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5.37</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31005</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30110</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职工基本医疗保险缴费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32.22</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30208</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取暖费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31006</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30111</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公务员医疗补助缴费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32.72</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30209</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物业管理费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31007</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30112</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其他社会保障缴费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30211</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差旅费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18.58</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31008</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30113</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住房公积金</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62.75</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30212</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因公出国（境）费用</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30114</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30213</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维修（护）费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31010</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30199</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其他工资福利支出</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25.64</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30214</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租赁费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31011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对个人和家庭的补助</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639.13</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30215</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会议费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4.74</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31012</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30301</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离休费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110.55</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30216</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培训费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31013</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30302</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退休费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389.77</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30217</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公务招待费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4.84</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31019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30303</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退职（役）费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30218</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专用材料费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31021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30304</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抚恤金</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123.39</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30224</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被装购置费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31022</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30305</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生活补助</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12.57</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30225</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专用燃料费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31099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30306</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救济费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30226</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劳务费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0.15</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399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30307</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医疗费补助</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30227</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委托业务费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3.97</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39906</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赠与</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30308</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助学金</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30228</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工会经费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39907</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30309</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奖励金</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30229</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福利费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9.27</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39908</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30310</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个人农业生产补贴</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30231</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公务用车运行维护费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11.80</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39999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30399</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对其他个人和家庭的补助支出</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2.85</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30239</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其他交通费用</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52.43</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30240</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税金及附加费用</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0.01</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30299</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其他商品和服务支出</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3.07</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abs>
                <w:tab w:val="center" w:pos="430"/>
              </w:tabs>
              <w:jc w:val="left"/>
              <w:textAlignment w:val="center"/>
              <w:rPr>
                <w:rFonts w:hint="eastAsia" w:ascii="宋体" w:hAnsi="宋体" w:eastAsia="宋体" w:cs="宋体"/>
                <w:color w:val="000000"/>
                <w:sz w:val="22"/>
                <w:szCs w:val="22"/>
                <w:highlight w:val="none"/>
                <w:lang w:eastAsia="zh-CN"/>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3725"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人员经费合计</w:t>
            </w:r>
          </w:p>
        </w:tc>
        <w:tc>
          <w:tcPr>
            <w:tcW w:w="115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1,699.99</w:t>
            </w:r>
          </w:p>
        </w:tc>
        <w:tc>
          <w:tcPr>
            <w:tcW w:w="765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公用经费合计</w:t>
            </w:r>
          </w:p>
        </w:tc>
        <w:tc>
          <w:tcPr>
            <w:tcW w:w="1463"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151.77</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：许昌市工业和信息化局</w:t>
            </w:r>
            <w:r>
              <w:rPr>
                <w:rFonts w:hint="eastAsia" w:ascii="宋体" w:hAnsi="宋体" w:cs="宋体"/>
                <w:color w:val="000000"/>
                <w:kern w:val="0"/>
                <w:sz w:val="20"/>
                <w:szCs w:val="20"/>
                <w:highlight w:val="none"/>
                <w:lang w:eastAsia="zh-CN" w:bidi="ar"/>
              </w:rPr>
              <w:t>（本级）</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16.84</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12.00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12.00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4.84</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16.64</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11.80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11.80</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4.84</w:t>
            </w:r>
          </w:p>
        </w:tc>
      </w:tr>
      <w:tr>
        <w:tblPrEx>
          <w:tblCellMar>
            <w:top w:w="0" w:type="dxa"/>
            <w:left w:w="0" w:type="dxa"/>
            <w:bottom w:w="0" w:type="dxa"/>
            <w:right w:w="0" w:type="dxa"/>
          </w:tblCellMar>
        </w:tblPrEx>
        <w:trPr>
          <w:trHeight w:val="905"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 xml:space="preserve"> 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p>
            <w:pPr>
              <w:widowControl/>
              <w:jc w:val="left"/>
              <w:textAlignment w:val="center"/>
              <w:rPr>
                <w:rFonts w:hint="eastAsia" w:ascii="宋体" w:hAnsi="宋体" w:cs="宋体"/>
                <w:color w:val="000000"/>
                <w:kern w:val="0"/>
                <w:sz w:val="20"/>
                <w:szCs w:val="20"/>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：许昌市工业和信息化局</w:t>
            </w:r>
            <w:r>
              <w:rPr>
                <w:rFonts w:hint="eastAsia" w:ascii="宋体" w:hAnsi="宋体" w:cs="宋体"/>
                <w:color w:val="000000"/>
                <w:kern w:val="0"/>
                <w:sz w:val="20"/>
                <w:szCs w:val="20"/>
                <w:highlight w:val="none"/>
                <w:lang w:eastAsia="zh-CN" w:bidi="ar"/>
              </w:rPr>
              <w:t>（本级）</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本年度政府性基金预算财政拨款收入、支出及结转和结余情况。</w:t>
            </w:r>
          </w:p>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说明：我</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没有政府性基金收入，也没有使用政府性基金安排的支出，故本表无数据。</w:t>
            </w:r>
          </w:p>
          <w:p>
            <w:pPr>
              <w:widowControl/>
              <w:jc w:val="left"/>
              <w:textAlignment w:val="center"/>
              <w:rPr>
                <w:rFonts w:hint="eastAsia" w:ascii="宋体" w:hAnsi="宋体" w:cs="宋体"/>
                <w:color w:val="000000"/>
                <w:kern w:val="0"/>
                <w:sz w:val="20"/>
                <w:szCs w:val="20"/>
                <w:highlight w:val="none"/>
                <w:lang w:bidi="ar"/>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2021年度收、支总计均为8346.57万元。与上年度相比，收、支总计各减少</w:t>
      </w:r>
      <w:r>
        <w:rPr>
          <w:rFonts w:hint="eastAsia" w:ascii="仿宋" w:hAnsi="仿宋" w:eastAsia="仿宋" w:cs="仿宋"/>
          <w:sz w:val="32"/>
          <w:szCs w:val="32"/>
          <w:highlight w:val="none"/>
          <w:lang w:val="en-US" w:eastAsia="zh-CN"/>
        </w:rPr>
        <w:t>8903.34</w:t>
      </w:r>
      <w:r>
        <w:rPr>
          <w:rFonts w:hint="eastAsia" w:ascii="仿宋" w:hAnsi="仿宋" w:eastAsia="仿宋" w:cs="仿宋"/>
          <w:sz w:val="32"/>
          <w:szCs w:val="32"/>
          <w:highlight w:val="none"/>
        </w:rPr>
        <w:t>万元，下降</w:t>
      </w:r>
      <w:r>
        <w:rPr>
          <w:rFonts w:hint="eastAsia" w:ascii="仿宋" w:hAnsi="仿宋" w:eastAsia="仿宋" w:cs="仿宋"/>
          <w:sz w:val="32"/>
          <w:szCs w:val="32"/>
          <w:highlight w:val="none"/>
          <w:lang w:val="en-US" w:eastAsia="zh-CN"/>
        </w:rPr>
        <w:t>51.61</w:t>
      </w:r>
      <w:r>
        <w:rPr>
          <w:rFonts w:hint="eastAsia" w:ascii="仿宋" w:hAnsi="仿宋" w:eastAsia="仿宋" w:cs="仿宋"/>
          <w:sz w:val="32"/>
          <w:szCs w:val="32"/>
          <w:highlight w:val="none"/>
        </w:rPr>
        <w:t>%。主要原因</w:t>
      </w:r>
      <w:r>
        <w:rPr>
          <w:rFonts w:hint="eastAsia" w:ascii="仿宋" w:hAnsi="仿宋" w:eastAsia="仿宋" w:cs="仿宋"/>
          <w:sz w:val="32"/>
          <w:szCs w:val="32"/>
          <w:highlight w:val="none"/>
          <w:lang w:eastAsia="zh-CN"/>
        </w:rPr>
        <w:t>是对破产或改制企业破产职工安置费和征地拆迁补偿金减少</w:t>
      </w:r>
      <w:r>
        <w:rPr>
          <w:rFonts w:hint="eastAsia" w:ascii="仿宋" w:hAnsi="仿宋" w:eastAsia="仿宋" w:cs="仿宋"/>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2021年度收入合计81</w:t>
      </w:r>
      <w:r>
        <w:rPr>
          <w:rFonts w:hint="eastAsia" w:ascii="仿宋" w:hAnsi="仿宋" w:eastAsia="仿宋" w:cs="仿宋"/>
          <w:sz w:val="32"/>
          <w:szCs w:val="32"/>
          <w:highlight w:val="none"/>
          <w:lang w:val="en-US" w:eastAsia="zh-CN"/>
        </w:rPr>
        <w:t>24.83</w:t>
      </w:r>
      <w:r>
        <w:rPr>
          <w:rFonts w:hint="eastAsia" w:ascii="仿宋" w:hAnsi="仿宋" w:eastAsia="仿宋" w:cs="仿宋"/>
          <w:sz w:val="32"/>
          <w:szCs w:val="32"/>
          <w:highlight w:val="none"/>
        </w:rPr>
        <w:t>万元，其中：财政拨款收入81</w:t>
      </w:r>
      <w:r>
        <w:rPr>
          <w:rFonts w:hint="eastAsia" w:ascii="仿宋" w:hAnsi="仿宋" w:eastAsia="仿宋" w:cs="仿宋"/>
          <w:sz w:val="32"/>
          <w:szCs w:val="32"/>
          <w:highlight w:val="none"/>
          <w:lang w:val="en-US" w:eastAsia="zh-CN"/>
        </w:rPr>
        <w:t>24.83</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%；上级补助收入</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%；事业收入</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%；经营收入</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%；附属单位上缴收入</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%；其他收入</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2021年度支出合计8346.57万元，其中：基本支出18</w:t>
      </w:r>
      <w:r>
        <w:rPr>
          <w:rFonts w:hint="eastAsia" w:ascii="仿宋" w:hAnsi="仿宋" w:eastAsia="仿宋" w:cs="仿宋"/>
          <w:sz w:val="32"/>
          <w:szCs w:val="32"/>
          <w:highlight w:val="none"/>
          <w:lang w:val="en-US" w:eastAsia="zh-CN"/>
        </w:rPr>
        <w:t>51.77</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22.19</w:t>
      </w:r>
      <w:r>
        <w:rPr>
          <w:rFonts w:hint="eastAsia" w:ascii="仿宋" w:hAnsi="仿宋" w:eastAsia="仿宋" w:cs="仿宋"/>
          <w:sz w:val="32"/>
          <w:szCs w:val="32"/>
          <w:highlight w:val="none"/>
        </w:rPr>
        <w:t>%；项目支出6494.81万元，占</w:t>
      </w:r>
      <w:r>
        <w:rPr>
          <w:rFonts w:hint="eastAsia" w:ascii="仿宋" w:hAnsi="仿宋" w:eastAsia="仿宋" w:cs="仿宋"/>
          <w:sz w:val="32"/>
          <w:szCs w:val="32"/>
          <w:highlight w:val="none"/>
          <w:lang w:val="en-US" w:eastAsia="zh-CN"/>
        </w:rPr>
        <w:t>77.81</w:t>
      </w:r>
      <w:r>
        <w:rPr>
          <w:rFonts w:hint="eastAsia" w:ascii="仿宋" w:hAnsi="仿宋" w:eastAsia="仿宋" w:cs="仿宋"/>
          <w:sz w:val="32"/>
          <w:szCs w:val="32"/>
          <w:highlight w:val="none"/>
        </w:rPr>
        <w:t>%；上缴上级支出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%；经营支出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%；对附属单位补助支出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2021年度财政拨款收、支总计均为8346.57万元。与上年度相比，财政拨款收、支总计各减少</w:t>
      </w:r>
      <w:r>
        <w:rPr>
          <w:rFonts w:hint="eastAsia" w:ascii="仿宋" w:hAnsi="仿宋" w:eastAsia="仿宋" w:cs="仿宋"/>
          <w:sz w:val="32"/>
          <w:szCs w:val="32"/>
          <w:highlight w:val="none"/>
          <w:lang w:val="en-US" w:eastAsia="zh-CN"/>
        </w:rPr>
        <w:t>8903.34</w:t>
      </w:r>
      <w:r>
        <w:rPr>
          <w:rFonts w:hint="eastAsia" w:ascii="仿宋" w:hAnsi="仿宋" w:eastAsia="仿宋" w:cs="仿宋"/>
          <w:sz w:val="32"/>
          <w:szCs w:val="32"/>
          <w:highlight w:val="none"/>
        </w:rPr>
        <w:t>万元，下降</w:t>
      </w:r>
      <w:r>
        <w:rPr>
          <w:rFonts w:hint="eastAsia" w:ascii="仿宋" w:hAnsi="仿宋" w:eastAsia="仿宋" w:cs="仿宋"/>
          <w:sz w:val="32"/>
          <w:szCs w:val="32"/>
          <w:highlight w:val="none"/>
          <w:lang w:val="en-US" w:eastAsia="zh-CN"/>
        </w:rPr>
        <w:t>51.61</w:t>
      </w:r>
      <w:r>
        <w:rPr>
          <w:rFonts w:hint="eastAsia" w:ascii="仿宋" w:hAnsi="仿宋" w:eastAsia="仿宋" w:cs="仿宋"/>
          <w:sz w:val="32"/>
          <w:szCs w:val="32"/>
          <w:highlight w:val="none"/>
        </w:rPr>
        <w:t>%。主要原因是</w:t>
      </w:r>
      <w:r>
        <w:rPr>
          <w:rFonts w:hint="eastAsia" w:ascii="仿宋" w:hAnsi="仿宋" w:eastAsia="仿宋" w:cs="仿宋"/>
          <w:sz w:val="32"/>
          <w:szCs w:val="32"/>
          <w:highlight w:val="none"/>
          <w:lang w:eastAsia="zh-CN"/>
        </w:rPr>
        <w:t>对破产或改制企业职工安置费和征地拆迁补偿金减少</w:t>
      </w:r>
      <w:r>
        <w:rPr>
          <w:rFonts w:hint="eastAsia" w:ascii="仿宋" w:hAnsi="仿宋" w:eastAsia="仿宋" w:cs="仿宋"/>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（一）总体情况。</w:t>
      </w:r>
    </w:p>
    <w:p>
      <w:pPr>
        <w:widowControl/>
        <w:spacing w:line="59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2021年度一般公共预算财政拨</w:t>
      </w:r>
      <w:r>
        <w:rPr>
          <w:rFonts w:hint="eastAsia" w:ascii="仿宋" w:hAnsi="仿宋" w:eastAsia="仿宋" w:cs="仿宋"/>
          <w:sz w:val="32"/>
          <w:szCs w:val="32"/>
          <w:highlight w:val="none"/>
          <w:lang w:val="en-US" w:eastAsia="zh-CN"/>
        </w:rPr>
        <w:t>款支出8,346.57万</w:t>
      </w:r>
      <w:r>
        <w:rPr>
          <w:rFonts w:hint="eastAsia" w:ascii="仿宋" w:hAnsi="仿宋" w:eastAsia="仿宋" w:cs="仿宋"/>
          <w:sz w:val="32"/>
          <w:szCs w:val="32"/>
          <w:highlight w:val="none"/>
        </w:rPr>
        <w:t>元，占支出合计的100%。与上年度相比，一般公共预算财政拨款支出增加</w:t>
      </w:r>
      <w:r>
        <w:rPr>
          <w:rFonts w:hint="eastAsia" w:ascii="仿宋" w:hAnsi="仿宋" w:eastAsia="仿宋" w:cs="仿宋"/>
          <w:sz w:val="32"/>
          <w:szCs w:val="32"/>
          <w:highlight w:val="none"/>
          <w:lang w:val="en-US" w:eastAsia="zh-CN"/>
        </w:rPr>
        <w:t>3666.73</w:t>
      </w:r>
      <w:r>
        <w:rPr>
          <w:rFonts w:hint="eastAsia" w:ascii="仿宋" w:hAnsi="仿宋" w:eastAsia="仿宋" w:cs="仿宋"/>
          <w:sz w:val="32"/>
          <w:szCs w:val="32"/>
          <w:highlight w:val="none"/>
        </w:rPr>
        <w:t>万元，增长7</w:t>
      </w:r>
      <w:r>
        <w:rPr>
          <w:rFonts w:hint="eastAsia" w:ascii="仿宋" w:hAnsi="仿宋" w:eastAsia="仿宋" w:cs="仿宋"/>
          <w:sz w:val="32"/>
          <w:szCs w:val="32"/>
          <w:highlight w:val="none"/>
          <w:lang w:val="en-US" w:eastAsia="zh-CN"/>
        </w:rPr>
        <w:t>8.35</w:t>
      </w:r>
      <w:r>
        <w:rPr>
          <w:rFonts w:hint="eastAsia" w:ascii="仿宋" w:hAnsi="仿宋" w:eastAsia="仿宋" w:cs="仿宋"/>
          <w:sz w:val="32"/>
          <w:szCs w:val="32"/>
          <w:highlight w:val="none"/>
        </w:rPr>
        <w:t>%。主要原因是对企业奖励支出的增加。</w:t>
      </w:r>
    </w:p>
    <w:p>
      <w:pPr>
        <w:widowControl/>
        <w:spacing w:line="59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（二）结构情况。</w:t>
      </w:r>
    </w:p>
    <w:p>
      <w:pPr>
        <w:widowControl/>
        <w:spacing w:line="59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2021年度一般公共预算财政拨款支出8346.57万元，主要用于以下方面：一般公共服务（类）支出4.91万元，占0.06%；科学技术（类）支出6160.80万元，占73.81%；社会保障和就业（类）支出699.84万元，占8.38%；卫生健康支出（类）支出62.83万元，占0.75%；农林水（类）支出1.41万元，占0.02%；资源勘探工业信息（类）支出1416.78万元，占16.98%。</w:t>
      </w:r>
    </w:p>
    <w:p>
      <w:pPr>
        <w:widowControl/>
        <w:spacing w:line="59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（三）具体情况。</w:t>
      </w:r>
    </w:p>
    <w:p>
      <w:pPr>
        <w:widowControl/>
        <w:spacing w:line="59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2021年度一般公共预算财政拨款支出年初预算为1560.54万元，支出决算为</w:t>
      </w:r>
      <w:r>
        <w:rPr>
          <w:rFonts w:hint="default" w:ascii="仿宋" w:hAnsi="仿宋" w:eastAsia="仿宋" w:cs="仿宋"/>
          <w:sz w:val="32"/>
          <w:szCs w:val="32"/>
          <w:highlight w:val="none"/>
          <w:lang w:val="en-US" w:eastAsia="zh-CN"/>
        </w:rPr>
        <w:t>8346.57</w:t>
      </w:r>
      <w:r>
        <w:rPr>
          <w:rFonts w:hint="eastAsia" w:ascii="仿宋" w:hAnsi="仿宋" w:eastAsia="仿宋" w:cs="仿宋"/>
          <w:sz w:val="32"/>
          <w:szCs w:val="32"/>
          <w:highlight w:val="none"/>
          <w:lang w:val="en-US" w:eastAsia="zh-CN"/>
        </w:rPr>
        <w:t>万元，完成年初预算的53</w:t>
      </w:r>
      <w:r>
        <w:rPr>
          <w:rFonts w:hint="default" w:ascii="仿宋" w:hAnsi="仿宋" w:eastAsia="仿宋" w:cs="仿宋"/>
          <w:sz w:val="32"/>
          <w:szCs w:val="32"/>
          <w:highlight w:val="none"/>
          <w:lang w:val="en-US" w:eastAsia="zh-CN"/>
        </w:rPr>
        <w:t>4</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85</w:t>
      </w:r>
      <w:r>
        <w:rPr>
          <w:rFonts w:hint="eastAsia" w:ascii="仿宋" w:hAnsi="仿宋" w:eastAsia="仿宋" w:cs="仿宋"/>
          <w:sz w:val="32"/>
          <w:szCs w:val="32"/>
          <w:highlight w:val="none"/>
          <w:lang w:val="en-US" w:eastAsia="zh-CN"/>
        </w:rPr>
        <w:t>%。其中：</w:t>
      </w:r>
    </w:p>
    <w:p>
      <w:pPr>
        <w:widowControl/>
        <w:spacing w:line="59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rPr>
        <w:t>一般公共服务支出（类）群众团体事务（款）工会事务（项）。</w:t>
      </w:r>
      <w:r>
        <w:rPr>
          <w:rFonts w:hint="eastAsia" w:ascii="仿宋" w:hAnsi="仿宋" w:eastAsia="仿宋" w:cs="仿宋"/>
          <w:sz w:val="32"/>
          <w:szCs w:val="32"/>
          <w:highlight w:val="none"/>
          <w:lang w:val="en-US" w:eastAsia="zh-CN"/>
        </w:rPr>
        <w:t>年初预算为4.91万元，支出决算为4.91万元，完成年初预算的100%。2021年工会事务决算数与预算数不存在差异。</w:t>
      </w:r>
    </w:p>
    <w:p>
      <w:pPr>
        <w:widowControl/>
        <w:numPr>
          <w:ilvl w:val="0"/>
          <w:numId w:val="0"/>
        </w:numPr>
        <w:spacing w:line="59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val="en-US" w:eastAsia="zh-CN"/>
        </w:rPr>
        <w:t>2．科学技术支出（类）科技重大项目（款）其他科技重大项目（项）。</w:t>
      </w:r>
      <w:r>
        <w:rPr>
          <w:rFonts w:hint="eastAsia" w:ascii="仿宋" w:hAnsi="仿宋" w:eastAsia="仿宋" w:cs="仿宋"/>
          <w:sz w:val="32"/>
          <w:szCs w:val="32"/>
          <w:highlight w:val="none"/>
          <w:lang w:eastAsia="zh-CN"/>
        </w:rPr>
        <w:t>年初</w:t>
      </w:r>
      <w:r>
        <w:rPr>
          <w:rFonts w:hint="eastAsia" w:ascii="仿宋" w:hAnsi="仿宋" w:eastAsia="仿宋" w:cs="仿宋"/>
          <w:sz w:val="32"/>
          <w:szCs w:val="32"/>
          <w:highlight w:val="none"/>
        </w:rPr>
        <w:t>预算为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6160.80</w:t>
      </w:r>
      <w:r>
        <w:rPr>
          <w:rFonts w:hint="eastAsia" w:ascii="仿宋" w:hAnsi="仿宋" w:eastAsia="仿宋" w:cs="仿宋"/>
          <w:sz w:val="32"/>
          <w:szCs w:val="32"/>
          <w:highlight w:val="none"/>
        </w:rPr>
        <w:t>万元，决算数与</w:t>
      </w:r>
      <w:r>
        <w:rPr>
          <w:rFonts w:hint="eastAsia" w:ascii="仿宋" w:hAnsi="仿宋" w:eastAsia="仿宋" w:cs="仿宋"/>
          <w:sz w:val="32"/>
          <w:szCs w:val="32"/>
          <w:highlight w:val="none"/>
          <w:lang w:eastAsia="zh-CN"/>
        </w:rPr>
        <w:t>年初</w:t>
      </w:r>
      <w:r>
        <w:rPr>
          <w:rFonts w:hint="eastAsia" w:ascii="仿宋" w:hAnsi="仿宋" w:eastAsia="仿宋" w:cs="仿宋"/>
          <w:sz w:val="32"/>
          <w:szCs w:val="32"/>
          <w:highlight w:val="none"/>
        </w:rPr>
        <w:t>预算数存在差异的主要原因是</w:t>
      </w:r>
      <w:r>
        <w:rPr>
          <w:rFonts w:hint="eastAsia" w:ascii="仿宋" w:hAnsi="仿宋" w:eastAsia="仿宋" w:cs="仿宋"/>
          <w:sz w:val="32"/>
          <w:szCs w:val="32"/>
          <w:highlight w:val="none"/>
          <w:lang w:eastAsia="zh-CN"/>
        </w:rPr>
        <w:t>年中增加了对企业高质量发展奖励资金</w:t>
      </w:r>
      <w:r>
        <w:rPr>
          <w:rFonts w:hint="eastAsia" w:ascii="仿宋" w:hAnsi="仿宋" w:eastAsia="仿宋" w:cs="仿宋"/>
          <w:sz w:val="32"/>
          <w:szCs w:val="32"/>
          <w:highlight w:val="none"/>
        </w:rPr>
        <w:t>。</w:t>
      </w:r>
    </w:p>
    <w:p>
      <w:pPr>
        <w:widowControl/>
        <w:numPr>
          <w:ilvl w:val="0"/>
          <w:numId w:val="0"/>
        </w:numPr>
        <w:spacing w:line="59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rPr>
        <w:t>．社会保障和就业支出（类）行政事业单位养老支出（款）    行政单位离退休（项）。</w:t>
      </w:r>
      <w:r>
        <w:rPr>
          <w:rFonts w:hint="eastAsia" w:ascii="仿宋" w:hAnsi="仿宋" w:eastAsia="仿宋" w:cs="仿宋"/>
          <w:sz w:val="32"/>
          <w:szCs w:val="32"/>
          <w:highlight w:val="none"/>
          <w:lang w:eastAsia="zh-CN"/>
        </w:rPr>
        <w:t>年初预算为</w:t>
      </w:r>
      <w:r>
        <w:rPr>
          <w:rFonts w:hint="eastAsia" w:ascii="仿宋" w:hAnsi="仿宋" w:eastAsia="仿宋" w:cs="仿宋"/>
          <w:sz w:val="32"/>
          <w:szCs w:val="32"/>
          <w:highlight w:val="none"/>
          <w:lang w:val="en-US" w:eastAsia="zh-CN"/>
        </w:rPr>
        <w:t>452.46</w:t>
      </w:r>
      <w:r>
        <w:rPr>
          <w:rFonts w:hint="eastAsia" w:ascii="仿宋" w:hAnsi="仿宋" w:eastAsia="仿宋" w:cs="仿宋"/>
          <w:sz w:val="32"/>
          <w:szCs w:val="32"/>
          <w:highlight w:val="none"/>
          <w:lang w:eastAsia="zh-CN"/>
        </w:rPr>
        <w:t>万元，支出决算为</w:t>
      </w:r>
      <w:r>
        <w:rPr>
          <w:rFonts w:hint="eastAsia" w:ascii="仿宋" w:hAnsi="仿宋" w:eastAsia="仿宋" w:cs="仿宋"/>
          <w:sz w:val="32"/>
          <w:szCs w:val="32"/>
          <w:highlight w:val="none"/>
          <w:lang w:val="en-US" w:eastAsia="zh-CN"/>
        </w:rPr>
        <w:t>500.32</w:t>
      </w:r>
      <w:r>
        <w:rPr>
          <w:rFonts w:hint="eastAsia" w:ascii="仿宋" w:hAnsi="仿宋" w:eastAsia="仿宋" w:cs="仿宋"/>
          <w:sz w:val="32"/>
          <w:szCs w:val="32"/>
          <w:highlight w:val="none"/>
          <w:lang w:eastAsia="zh-CN"/>
        </w:rPr>
        <w:t>万元，完成年初预算的</w:t>
      </w:r>
      <w:r>
        <w:rPr>
          <w:rFonts w:hint="eastAsia" w:ascii="仿宋" w:hAnsi="仿宋" w:eastAsia="仿宋" w:cs="仿宋"/>
          <w:sz w:val="32"/>
          <w:szCs w:val="32"/>
          <w:highlight w:val="none"/>
          <w:lang w:val="en-US" w:eastAsia="zh-CN"/>
        </w:rPr>
        <w:t>110.58</w:t>
      </w:r>
      <w:r>
        <w:rPr>
          <w:rFonts w:hint="eastAsia" w:ascii="仿宋" w:hAnsi="仿宋" w:eastAsia="仿宋" w:cs="仿宋"/>
          <w:sz w:val="32"/>
          <w:szCs w:val="32"/>
          <w:highlight w:val="none"/>
          <w:lang w:eastAsia="zh-CN"/>
        </w:rPr>
        <w:t>%，决算数与年初预算数存在差异的主要原因是年中退休人员增多，行政单位退休支出增加。</w:t>
      </w:r>
    </w:p>
    <w:p>
      <w:pPr>
        <w:widowControl/>
        <w:numPr>
          <w:ilvl w:val="0"/>
          <w:numId w:val="0"/>
        </w:numPr>
        <w:spacing w:line="59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val="en-US" w:eastAsia="zh-CN"/>
        </w:rPr>
        <w:t>4．社会保障和就业支出（类）行政事业单位养老支出（款）机关事业单位基本养老保险缴费支出（项）。</w:t>
      </w:r>
      <w:r>
        <w:rPr>
          <w:rFonts w:hint="eastAsia" w:ascii="仿宋" w:hAnsi="仿宋" w:eastAsia="仿宋" w:cs="仿宋"/>
          <w:sz w:val="32"/>
          <w:szCs w:val="32"/>
          <w:highlight w:val="none"/>
          <w:lang w:eastAsia="zh-CN"/>
        </w:rPr>
        <w:t>年初</w:t>
      </w:r>
      <w:r>
        <w:rPr>
          <w:rFonts w:hint="eastAsia" w:ascii="仿宋" w:hAnsi="仿宋" w:eastAsia="仿宋" w:cs="仿宋"/>
          <w:sz w:val="32"/>
          <w:szCs w:val="32"/>
          <w:highlight w:val="none"/>
        </w:rPr>
        <w:t>预算为</w:t>
      </w:r>
      <w:r>
        <w:rPr>
          <w:rFonts w:hint="eastAsia" w:ascii="仿宋" w:hAnsi="仿宋" w:eastAsia="仿宋" w:cs="仿宋"/>
          <w:sz w:val="32"/>
          <w:szCs w:val="32"/>
          <w:highlight w:val="none"/>
          <w:lang w:val="en-US" w:eastAsia="zh-CN"/>
        </w:rPr>
        <w:t>60.05</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76.12</w:t>
      </w:r>
      <w:r>
        <w:rPr>
          <w:rFonts w:hint="eastAsia" w:ascii="仿宋" w:hAnsi="仿宋" w:eastAsia="仿宋" w:cs="仿宋"/>
          <w:sz w:val="32"/>
          <w:szCs w:val="32"/>
          <w:highlight w:val="none"/>
        </w:rPr>
        <w:t>万元，完成</w:t>
      </w:r>
      <w:r>
        <w:rPr>
          <w:rFonts w:hint="eastAsia" w:ascii="仿宋" w:hAnsi="仿宋" w:eastAsia="仿宋" w:cs="仿宋"/>
          <w:sz w:val="32"/>
          <w:szCs w:val="32"/>
          <w:highlight w:val="none"/>
          <w:lang w:eastAsia="zh-CN"/>
        </w:rPr>
        <w:t>年初</w:t>
      </w:r>
      <w:r>
        <w:rPr>
          <w:rFonts w:hint="eastAsia" w:ascii="仿宋" w:hAnsi="仿宋" w:eastAsia="仿宋" w:cs="仿宋"/>
          <w:sz w:val="32"/>
          <w:szCs w:val="32"/>
          <w:highlight w:val="none"/>
        </w:rPr>
        <w:t>预算的</w:t>
      </w:r>
      <w:r>
        <w:rPr>
          <w:rFonts w:hint="eastAsia" w:ascii="仿宋" w:hAnsi="仿宋" w:eastAsia="仿宋" w:cs="仿宋"/>
          <w:sz w:val="32"/>
          <w:szCs w:val="32"/>
          <w:highlight w:val="none"/>
          <w:lang w:val="en-US" w:eastAsia="zh-CN"/>
        </w:rPr>
        <w:t>126.76</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决算数与</w:t>
      </w:r>
      <w:r>
        <w:rPr>
          <w:rFonts w:hint="eastAsia" w:ascii="仿宋" w:hAnsi="仿宋" w:eastAsia="仿宋" w:cs="仿宋"/>
          <w:sz w:val="32"/>
          <w:szCs w:val="32"/>
          <w:highlight w:val="none"/>
          <w:lang w:eastAsia="zh-CN"/>
        </w:rPr>
        <w:t>年初</w:t>
      </w:r>
      <w:r>
        <w:rPr>
          <w:rFonts w:hint="eastAsia" w:ascii="仿宋" w:hAnsi="仿宋" w:eastAsia="仿宋" w:cs="仿宋"/>
          <w:sz w:val="32"/>
          <w:szCs w:val="32"/>
          <w:highlight w:val="none"/>
        </w:rPr>
        <w:t>预算数存在差异的主要原因是</w:t>
      </w:r>
      <w:r>
        <w:rPr>
          <w:rFonts w:hint="eastAsia" w:ascii="仿宋" w:hAnsi="仿宋" w:eastAsia="仿宋" w:cs="仿宋"/>
          <w:sz w:val="32"/>
          <w:szCs w:val="32"/>
          <w:highlight w:val="none"/>
          <w:lang w:eastAsia="zh-CN"/>
        </w:rPr>
        <w:t>年中公务员总数增加，机关事业单位基本养老保险缴费支出增加。</w:t>
      </w:r>
    </w:p>
    <w:p>
      <w:pPr>
        <w:widowControl/>
        <w:numPr>
          <w:ilvl w:val="0"/>
          <w:numId w:val="0"/>
        </w:numPr>
        <w:spacing w:line="59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val="en-US" w:eastAsia="zh-CN"/>
        </w:rPr>
        <w:t>5.社会保障和就业支出（类）抚恤（项）死亡抚恤（款）。</w:t>
      </w:r>
      <w:r>
        <w:rPr>
          <w:rFonts w:hint="eastAsia" w:ascii="仿宋" w:hAnsi="仿宋" w:eastAsia="仿宋" w:cs="仿宋"/>
          <w:sz w:val="32"/>
          <w:szCs w:val="32"/>
          <w:highlight w:val="none"/>
          <w:lang w:eastAsia="zh-CN"/>
        </w:rPr>
        <w:t>年初预算为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lang w:eastAsia="zh-CN"/>
        </w:rPr>
        <w:t>万元，支出决算为</w:t>
      </w:r>
      <w:r>
        <w:rPr>
          <w:rFonts w:hint="eastAsia" w:ascii="仿宋" w:hAnsi="仿宋" w:eastAsia="仿宋" w:cs="仿宋"/>
          <w:sz w:val="32"/>
          <w:szCs w:val="32"/>
          <w:highlight w:val="none"/>
          <w:lang w:val="en-US" w:eastAsia="zh-CN"/>
        </w:rPr>
        <w:t>123.39</w:t>
      </w:r>
      <w:r>
        <w:rPr>
          <w:rFonts w:hint="eastAsia" w:ascii="仿宋" w:hAnsi="仿宋" w:eastAsia="仿宋" w:cs="仿宋"/>
          <w:sz w:val="32"/>
          <w:szCs w:val="32"/>
          <w:highlight w:val="none"/>
          <w:lang w:eastAsia="zh-CN"/>
        </w:rPr>
        <w:t>万元，决算数与年初预算数存在差异的主要原因是年中离退休人员病故，死亡抚恤增加。</w:t>
      </w:r>
    </w:p>
    <w:p>
      <w:pPr>
        <w:widowControl/>
        <w:numPr>
          <w:ilvl w:val="0"/>
          <w:numId w:val="0"/>
        </w:numPr>
        <w:spacing w:line="59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val="en-US" w:eastAsia="zh-CN"/>
        </w:rPr>
        <w:t>6.卫生健康支出（类）行政事业单位医疗（款）行政单位医疗（项）。</w:t>
      </w:r>
      <w:r>
        <w:rPr>
          <w:rFonts w:hint="eastAsia" w:ascii="仿宋" w:hAnsi="仿宋" w:eastAsia="仿宋" w:cs="仿宋"/>
          <w:sz w:val="32"/>
          <w:szCs w:val="32"/>
          <w:highlight w:val="none"/>
          <w:lang w:eastAsia="zh-CN"/>
        </w:rPr>
        <w:t>年初</w:t>
      </w:r>
      <w:r>
        <w:rPr>
          <w:rFonts w:hint="eastAsia" w:ascii="仿宋" w:hAnsi="仿宋" w:eastAsia="仿宋" w:cs="仿宋"/>
          <w:sz w:val="32"/>
          <w:szCs w:val="32"/>
          <w:highlight w:val="none"/>
        </w:rPr>
        <w:t>预算为</w:t>
      </w:r>
      <w:r>
        <w:rPr>
          <w:rFonts w:hint="eastAsia" w:ascii="仿宋" w:hAnsi="仿宋" w:eastAsia="仿宋" w:cs="仿宋"/>
          <w:sz w:val="32"/>
          <w:szCs w:val="32"/>
          <w:highlight w:val="none"/>
          <w:lang w:val="en-US" w:eastAsia="zh-CN"/>
        </w:rPr>
        <w:t>30.83</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30.11</w:t>
      </w:r>
      <w:r>
        <w:rPr>
          <w:rFonts w:hint="eastAsia" w:ascii="仿宋" w:hAnsi="仿宋" w:eastAsia="仿宋" w:cs="仿宋"/>
          <w:sz w:val="32"/>
          <w:szCs w:val="32"/>
          <w:highlight w:val="none"/>
        </w:rPr>
        <w:t>万元，完成</w:t>
      </w:r>
      <w:r>
        <w:rPr>
          <w:rFonts w:hint="eastAsia" w:ascii="仿宋" w:hAnsi="仿宋" w:eastAsia="仿宋" w:cs="仿宋"/>
          <w:sz w:val="32"/>
          <w:szCs w:val="32"/>
          <w:highlight w:val="none"/>
          <w:lang w:eastAsia="zh-CN"/>
        </w:rPr>
        <w:t>年初</w:t>
      </w:r>
      <w:r>
        <w:rPr>
          <w:rFonts w:hint="eastAsia" w:ascii="仿宋" w:hAnsi="仿宋" w:eastAsia="仿宋" w:cs="仿宋"/>
          <w:sz w:val="32"/>
          <w:szCs w:val="32"/>
          <w:highlight w:val="none"/>
        </w:rPr>
        <w:t>预算的</w:t>
      </w:r>
      <w:r>
        <w:rPr>
          <w:rFonts w:hint="eastAsia" w:ascii="仿宋" w:hAnsi="仿宋" w:eastAsia="仿宋" w:cs="仿宋"/>
          <w:sz w:val="32"/>
          <w:szCs w:val="32"/>
          <w:highlight w:val="none"/>
          <w:lang w:val="en-US" w:eastAsia="zh-CN"/>
        </w:rPr>
        <w:t>97.66</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决算数与</w:t>
      </w:r>
      <w:r>
        <w:rPr>
          <w:rFonts w:hint="eastAsia" w:ascii="仿宋" w:hAnsi="仿宋" w:eastAsia="仿宋" w:cs="仿宋"/>
          <w:sz w:val="32"/>
          <w:szCs w:val="32"/>
          <w:highlight w:val="none"/>
          <w:lang w:eastAsia="zh-CN"/>
        </w:rPr>
        <w:t>年初</w:t>
      </w:r>
      <w:r>
        <w:rPr>
          <w:rFonts w:hint="eastAsia" w:ascii="仿宋" w:hAnsi="仿宋" w:eastAsia="仿宋" w:cs="仿宋"/>
          <w:sz w:val="32"/>
          <w:szCs w:val="32"/>
          <w:highlight w:val="none"/>
        </w:rPr>
        <w:t>预算数存在差异的主要原因是</w:t>
      </w:r>
      <w:r>
        <w:rPr>
          <w:rFonts w:hint="eastAsia" w:ascii="仿宋" w:hAnsi="仿宋" w:eastAsia="仿宋" w:cs="仿宋"/>
          <w:sz w:val="32"/>
          <w:szCs w:val="32"/>
          <w:highlight w:val="none"/>
          <w:lang w:eastAsia="zh-CN"/>
        </w:rPr>
        <w:t>年度中实际医疗保险支出减少</w:t>
      </w:r>
      <w:r>
        <w:rPr>
          <w:rFonts w:hint="eastAsia" w:ascii="仿宋" w:hAnsi="仿宋" w:eastAsia="仿宋" w:cs="仿宋"/>
          <w:sz w:val="32"/>
          <w:szCs w:val="32"/>
          <w:highlight w:val="none"/>
        </w:rPr>
        <w:t>。</w:t>
      </w:r>
    </w:p>
    <w:p>
      <w:pPr>
        <w:widowControl/>
        <w:numPr>
          <w:ilvl w:val="0"/>
          <w:numId w:val="0"/>
        </w:numPr>
        <w:spacing w:line="590" w:lineRule="exact"/>
        <w:ind w:firstLine="643" w:firstLineChars="200"/>
        <w:rPr>
          <w:rFonts w:hint="default" w:ascii="仿宋_GB2312" w:hAnsi="仿宋_GB2312" w:eastAsia="仿宋_GB2312" w:cs="仿宋_GB2312"/>
          <w:sz w:val="32"/>
          <w:szCs w:val="32"/>
          <w:highlight w:val="none"/>
          <w:lang w:val="en-US" w:eastAsia="zh-CN"/>
        </w:rPr>
      </w:pPr>
      <w:r>
        <w:rPr>
          <w:rFonts w:hint="eastAsia" w:ascii="仿宋" w:hAnsi="仿宋" w:eastAsia="仿宋" w:cs="仿宋"/>
          <w:b/>
          <w:bCs/>
          <w:sz w:val="32"/>
          <w:szCs w:val="32"/>
          <w:highlight w:val="none"/>
          <w:lang w:val="en-US" w:eastAsia="zh-CN"/>
        </w:rPr>
        <w:t>7.卫生健康支出（类）行政事业单位医疗（款）公务员医疗补助（项）。</w:t>
      </w:r>
      <w:r>
        <w:rPr>
          <w:rFonts w:hint="eastAsia" w:ascii="仿宋" w:hAnsi="仿宋" w:eastAsia="仿宋" w:cs="仿宋"/>
          <w:sz w:val="32"/>
          <w:szCs w:val="32"/>
          <w:highlight w:val="none"/>
          <w:lang w:eastAsia="zh-CN"/>
        </w:rPr>
        <w:t>年初预算为</w:t>
      </w:r>
      <w:r>
        <w:rPr>
          <w:rFonts w:hint="eastAsia" w:ascii="仿宋" w:hAnsi="仿宋" w:eastAsia="仿宋" w:cs="仿宋"/>
          <w:sz w:val="32"/>
          <w:szCs w:val="32"/>
          <w:highlight w:val="none"/>
          <w:lang w:val="en-US" w:eastAsia="zh-CN"/>
        </w:rPr>
        <w:t>29.36</w:t>
      </w:r>
      <w:r>
        <w:rPr>
          <w:rFonts w:hint="eastAsia" w:ascii="仿宋" w:hAnsi="仿宋" w:eastAsia="仿宋" w:cs="仿宋"/>
          <w:sz w:val="32"/>
          <w:szCs w:val="32"/>
          <w:highlight w:val="none"/>
          <w:lang w:eastAsia="zh-CN"/>
        </w:rPr>
        <w:t>万元，支出决算为</w:t>
      </w:r>
      <w:r>
        <w:rPr>
          <w:rFonts w:hint="eastAsia" w:ascii="仿宋" w:hAnsi="仿宋" w:eastAsia="仿宋" w:cs="仿宋"/>
          <w:sz w:val="32"/>
          <w:szCs w:val="32"/>
          <w:highlight w:val="none"/>
          <w:lang w:val="en-US" w:eastAsia="zh-CN"/>
        </w:rPr>
        <w:t>32.72</w:t>
      </w:r>
      <w:r>
        <w:rPr>
          <w:rFonts w:hint="eastAsia" w:ascii="仿宋" w:hAnsi="仿宋" w:eastAsia="仿宋" w:cs="仿宋"/>
          <w:sz w:val="32"/>
          <w:szCs w:val="32"/>
          <w:highlight w:val="none"/>
          <w:lang w:eastAsia="zh-CN"/>
        </w:rPr>
        <w:t>万元，完成年初预算的</w:t>
      </w:r>
      <w:r>
        <w:rPr>
          <w:rFonts w:hint="eastAsia" w:ascii="仿宋" w:hAnsi="仿宋" w:eastAsia="仿宋" w:cs="仿宋"/>
          <w:sz w:val="32"/>
          <w:szCs w:val="32"/>
          <w:highlight w:val="none"/>
          <w:lang w:val="en-US" w:eastAsia="zh-CN"/>
        </w:rPr>
        <w:t>111.44</w:t>
      </w:r>
      <w:r>
        <w:rPr>
          <w:rFonts w:hint="eastAsia" w:ascii="仿宋" w:hAnsi="仿宋" w:eastAsia="仿宋" w:cs="仿宋"/>
          <w:sz w:val="32"/>
          <w:szCs w:val="32"/>
          <w:highlight w:val="none"/>
          <w:lang w:eastAsia="zh-CN"/>
        </w:rPr>
        <w:t>%，决算数与年初预算数存在差异的主要原因公务员医疗补助增加</w:t>
      </w:r>
      <w:r>
        <w:rPr>
          <w:rFonts w:hint="eastAsia" w:ascii="仿宋_GB2312" w:hAnsi="仿宋_GB2312" w:eastAsia="仿宋_GB2312" w:cs="仿宋_GB2312"/>
          <w:sz w:val="32"/>
          <w:szCs w:val="32"/>
          <w:highlight w:val="none"/>
          <w:lang w:eastAsia="zh-CN"/>
        </w:rPr>
        <w:t>。</w:t>
      </w:r>
    </w:p>
    <w:p>
      <w:pPr>
        <w:widowControl/>
        <w:numPr>
          <w:ilvl w:val="0"/>
          <w:numId w:val="0"/>
        </w:numPr>
        <w:spacing w:line="59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val="en-US" w:eastAsia="zh-CN"/>
        </w:rPr>
        <w:t>8</w:t>
      </w:r>
      <w:r>
        <w:rPr>
          <w:rFonts w:hint="eastAsia" w:ascii="仿宋" w:hAnsi="仿宋" w:eastAsia="仿宋" w:cs="仿宋"/>
          <w:b/>
          <w:bCs/>
          <w:sz w:val="32"/>
          <w:szCs w:val="32"/>
          <w:highlight w:val="none"/>
        </w:rPr>
        <w:t>．农林水支出（类）农业农村（款）一般行政管理事务（项）。</w:t>
      </w:r>
      <w:r>
        <w:rPr>
          <w:rFonts w:hint="eastAsia" w:ascii="仿宋" w:hAnsi="仿宋" w:eastAsia="仿宋" w:cs="仿宋"/>
          <w:sz w:val="32"/>
          <w:szCs w:val="32"/>
          <w:highlight w:val="none"/>
          <w:lang w:eastAsia="zh-CN"/>
        </w:rPr>
        <w:t>年初</w:t>
      </w:r>
      <w:r>
        <w:rPr>
          <w:rFonts w:hint="eastAsia" w:ascii="仿宋" w:hAnsi="仿宋" w:eastAsia="仿宋" w:cs="仿宋"/>
          <w:sz w:val="32"/>
          <w:szCs w:val="32"/>
          <w:highlight w:val="none"/>
        </w:rPr>
        <w:t>预算为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1.41</w:t>
      </w:r>
      <w:r>
        <w:rPr>
          <w:rFonts w:hint="eastAsia" w:ascii="仿宋" w:hAnsi="仿宋" w:eastAsia="仿宋" w:cs="仿宋"/>
          <w:sz w:val="32"/>
          <w:szCs w:val="32"/>
          <w:highlight w:val="none"/>
        </w:rPr>
        <w:t>万元，决算数与</w:t>
      </w:r>
      <w:r>
        <w:rPr>
          <w:rFonts w:hint="eastAsia" w:ascii="仿宋" w:hAnsi="仿宋" w:eastAsia="仿宋" w:cs="仿宋"/>
          <w:sz w:val="32"/>
          <w:szCs w:val="32"/>
          <w:highlight w:val="none"/>
          <w:lang w:eastAsia="zh-CN"/>
        </w:rPr>
        <w:t>年初</w:t>
      </w:r>
      <w:r>
        <w:rPr>
          <w:rFonts w:hint="eastAsia" w:ascii="仿宋" w:hAnsi="仿宋" w:eastAsia="仿宋" w:cs="仿宋"/>
          <w:sz w:val="32"/>
          <w:szCs w:val="32"/>
          <w:highlight w:val="none"/>
        </w:rPr>
        <w:t>预算数存在差异的主要原因是</w:t>
      </w:r>
      <w:r>
        <w:rPr>
          <w:rFonts w:hint="eastAsia" w:ascii="仿宋" w:hAnsi="仿宋" w:eastAsia="仿宋" w:cs="仿宋"/>
          <w:sz w:val="32"/>
          <w:szCs w:val="32"/>
          <w:highlight w:val="none"/>
          <w:lang w:val="en-US" w:eastAsia="zh-CN"/>
        </w:rPr>
        <w:t>专项资金增加</w:t>
      </w:r>
      <w:r>
        <w:rPr>
          <w:rFonts w:hint="eastAsia" w:ascii="仿宋" w:hAnsi="仿宋" w:eastAsia="仿宋" w:cs="仿宋"/>
          <w:sz w:val="32"/>
          <w:szCs w:val="32"/>
          <w:highlight w:val="none"/>
        </w:rPr>
        <w:t>。</w:t>
      </w:r>
    </w:p>
    <w:p>
      <w:pPr>
        <w:widowControl/>
        <w:numPr>
          <w:ilvl w:val="0"/>
          <w:numId w:val="0"/>
        </w:numPr>
        <w:spacing w:line="59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val="en-US" w:eastAsia="zh-CN"/>
        </w:rPr>
        <w:t>9．资源勘探工业信息等支出（类）工业和信息产业监管（款）    行政运行（项）。</w:t>
      </w:r>
      <w:r>
        <w:rPr>
          <w:rFonts w:hint="eastAsia" w:ascii="仿宋" w:hAnsi="仿宋" w:eastAsia="仿宋" w:cs="仿宋"/>
          <w:sz w:val="32"/>
          <w:szCs w:val="32"/>
          <w:highlight w:val="none"/>
          <w:lang w:eastAsia="zh-CN"/>
        </w:rPr>
        <w:t>年初预算为</w:t>
      </w:r>
      <w:r>
        <w:rPr>
          <w:rFonts w:hint="eastAsia" w:ascii="仿宋" w:hAnsi="仿宋" w:eastAsia="仿宋" w:cs="仿宋"/>
          <w:sz w:val="32"/>
          <w:szCs w:val="32"/>
          <w:highlight w:val="none"/>
          <w:lang w:val="en-US" w:eastAsia="zh-CN"/>
        </w:rPr>
        <w:t>982.93</w:t>
      </w:r>
      <w:r>
        <w:rPr>
          <w:rFonts w:hint="eastAsia" w:ascii="仿宋" w:hAnsi="仿宋" w:eastAsia="仿宋" w:cs="仿宋"/>
          <w:sz w:val="32"/>
          <w:szCs w:val="32"/>
          <w:highlight w:val="none"/>
          <w:lang w:eastAsia="zh-CN"/>
        </w:rPr>
        <w:t>万元，支出决算为</w:t>
      </w:r>
      <w:r>
        <w:rPr>
          <w:rFonts w:hint="eastAsia" w:ascii="仿宋" w:hAnsi="仿宋" w:eastAsia="仿宋" w:cs="仿宋"/>
          <w:sz w:val="32"/>
          <w:szCs w:val="32"/>
          <w:highlight w:val="none"/>
          <w:lang w:val="en-US" w:eastAsia="zh-CN"/>
        </w:rPr>
        <w:t>1084.18</w:t>
      </w:r>
      <w:r>
        <w:rPr>
          <w:rFonts w:hint="eastAsia" w:ascii="仿宋" w:hAnsi="仿宋" w:eastAsia="仿宋" w:cs="仿宋"/>
          <w:sz w:val="32"/>
          <w:szCs w:val="32"/>
          <w:highlight w:val="none"/>
          <w:lang w:eastAsia="zh-CN"/>
        </w:rPr>
        <w:t>万元，完成年初预算的</w:t>
      </w:r>
      <w:r>
        <w:rPr>
          <w:rFonts w:hint="eastAsia" w:ascii="仿宋" w:hAnsi="仿宋" w:eastAsia="仿宋" w:cs="仿宋"/>
          <w:sz w:val="32"/>
          <w:szCs w:val="32"/>
          <w:highlight w:val="none"/>
          <w:lang w:val="en-US" w:eastAsia="zh-CN"/>
        </w:rPr>
        <w:t>110.30</w:t>
      </w:r>
      <w:r>
        <w:rPr>
          <w:rFonts w:hint="eastAsia" w:ascii="仿宋" w:hAnsi="仿宋" w:eastAsia="仿宋" w:cs="仿宋"/>
          <w:sz w:val="32"/>
          <w:szCs w:val="32"/>
          <w:highlight w:val="none"/>
          <w:lang w:eastAsia="zh-CN"/>
        </w:rPr>
        <w:t>%，决算数与年初预算数存在差异的主要原因是工业和信息化任务增加。</w:t>
      </w:r>
    </w:p>
    <w:p>
      <w:pPr>
        <w:widowControl/>
        <w:numPr>
          <w:ilvl w:val="0"/>
          <w:numId w:val="0"/>
        </w:numPr>
        <w:spacing w:line="59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val="en-US" w:eastAsia="zh-CN"/>
        </w:rPr>
        <w:t>10．资源勘探工业信息等支出（类）工业和信息产业监管（款）一般行政管理事务（项）。</w:t>
      </w:r>
      <w:r>
        <w:rPr>
          <w:rFonts w:hint="eastAsia" w:ascii="仿宋" w:hAnsi="仿宋" w:eastAsia="仿宋" w:cs="仿宋"/>
          <w:sz w:val="32"/>
          <w:szCs w:val="32"/>
          <w:highlight w:val="none"/>
          <w:lang w:eastAsia="zh-CN"/>
        </w:rPr>
        <w:t>年初预算为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lang w:eastAsia="zh-CN"/>
        </w:rPr>
        <w:t>万元，支出决算为</w:t>
      </w:r>
      <w:r>
        <w:rPr>
          <w:rFonts w:hint="eastAsia" w:ascii="仿宋" w:hAnsi="仿宋" w:eastAsia="仿宋" w:cs="仿宋"/>
          <w:sz w:val="32"/>
          <w:szCs w:val="32"/>
          <w:highlight w:val="none"/>
          <w:lang w:val="en-US" w:eastAsia="zh-CN"/>
        </w:rPr>
        <w:t>332.60</w:t>
      </w:r>
      <w:r>
        <w:rPr>
          <w:rFonts w:hint="eastAsia" w:ascii="仿宋" w:hAnsi="仿宋" w:eastAsia="仿宋" w:cs="仿宋"/>
          <w:sz w:val="32"/>
          <w:szCs w:val="32"/>
          <w:highlight w:val="none"/>
          <w:lang w:eastAsia="zh-CN"/>
        </w:rPr>
        <w:t>万元，决算数与年初预算数存在差异的主要原因是年中</w:t>
      </w:r>
      <w:r>
        <w:rPr>
          <w:rFonts w:hint="eastAsia" w:ascii="仿宋" w:hAnsi="仿宋" w:eastAsia="仿宋" w:cs="仿宋"/>
          <w:sz w:val="32"/>
          <w:szCs w:val="32"/>
          <w:highlight w:val="none"/>
          <w:lang w:val="en-US" w:eastAsia="zh-CN"/>
        </w:rPr>
        <w:t>增加了许昌市“十四五”高质量发展规划编制经费等项目资金</w:t>
      </w:r>
      <w:r>
        <w:rPr>
          <w:rFonts w:hint="eastAsia" w:ascii="仿宋" w:hAnsi="仿宋" w:eastAsia="仿宋" w:cs="仿宋"/>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numPr>
          <w:ilvl w:val="0"/>
          <w:numId w:val="0"/>
        </w:numPr>
        <w:spacing w:line="590" w:lineRule="exact"/>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2021年度一般公共预算财政拨款基本支出1851.77万元。其中：人员经费1699.99万元，主要包括：基本工资、津贴补贴、奖金、绩效工资、机关事业单位基本养老保险缴费、职工基本医疗保险缴费、公务员医疗补助缴费、其他社会保障缴费、住房公积金、其他工资福利支出、对个人和家庭的补助、离休费、退休费、抚恤金、生活补助、其他对个人和家庭的补助支出；公用经费151.77万元，主要包括：办公费、印刷费、邮电费、差旅费、维修（护）费、会议费、公务招待费、劳务费、委托业务费、工会经费、福利费、公务用车运行维护费、其他交通费用、税金及附加费用、其他商品和服务支出、办公设备购置、专用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（一）“三公”经费财政拨款支出决算总体情况说明。</w:t>
      </w:r>
    </w:p>
    <w:p>
      <w:pPr>
        <w:widowControl/>
        <w:numPr>
          <w:ilvl w:val="0"/>
          <w:numId w:val="0"/>
        </w:numPr>
        <w:spacing w:line="590" w:lineRule="exact"/>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2021年度“三公”经费财政拨款支出预算为16.84万元，支出决算为16.64万元，完成预算的98.81%。2021年度“三公”经费支出决算数与预算数存在差异的主要原因是减少公务活动，节约开支。</w:t>
      </w:r>
    </w:p>
    <w:p>
      <w:pPr>
        <w:widowControl/>
        <w:spacing w:line="59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 w:hAnsi="仿宋" w:eastAsia="仿宋" w:cs="仿宋"/>
          <w:b w:val="0"/>
          <w:bCs w:val="0"/>
          <w:sz w:val="32"/>
          <w:szCs w:val="32"/>
          <w:highlight w:val="none"/>
          <w:lang w:val="en-US" w:eastAsia="zh-CN"/>
        </w:rPr>
        <w:t>2021年度“三公”经费财政拨款支出决算中，因公出国（境）费支出决算0.00万元；公务用车购置及运行费支出决算11.80万元，完成预算的98.33%，占70.91%；公务接待费支出决算4.84万元，完成预算的100%，占29.09%。具体情况如下：</w:t>
      </w:r>
    </w:p>
    <w:p>
      <w:pPr>
        <w:widowControl/>
        <w:spacing w:line="590" w:lineRule="exact"/>
        <w:ind w:firstLine="643"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rPr>
        <w:t>1．因公出国（境）费</w:t>
      </w:r>
      <w:r>
        <w:rPr>
          <w:rFonts w:hint="eastAsia" w:ascii="仿宋" w:hAnsi="仿宋" w:eastAsia="仿宋" w:cs="仿宋"/>
          <w:b w:val="0"/>
          <w:bCs w:val="0"/>
          <w:sz w:val="32"/>
          <w:szCs w:val="32"/>
          <w:highlight w:val="none"/>
          <w:lang w:val="en-US" w:eastAsia="zh-CN"/>
        </w:rPr>
        <w:t>预算为0.00万元，支出决算为0.00万元。2021年因公出国（境）费决算数与预算数不存在差异。因公出国（境）团组数0个，因公出国（境）人次数0人。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 w:hAnsi="仿宋" w:eastAsia="仿宋" w:cs="仿宋"/>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11.80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98.33</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加强了管理措施，节约了开支</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 w:hAnsi="仿宋" w:eastAsia="仿宋" w:cs="仿宋"/>
          <w:b/>
          <w:bCs/>
          <w:sz w:val="32"/>
          <w:szCs w:val="32"/>
          <w:highlight w:val="none"/>
        </w:rPr>
        <w:t>公务用车购置支出</w:t>
      </w:r>
      <w:r>
        <w:rPr>
          <w:rFonts w:hint="eastAsia" w:ascii="仿宋" w:hAnsi="仿宋" w:eastAsia="仿宋" w:cs="仿宋"/>
          <w:sz w:val="32"/>
          <w:szCs w:val="32"/>
          <w:highlight w:val="none"/>
        </w:rPr>
        <w:t>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万元，购置车辆</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台</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公务用车运行支出</w:t>
      </w:r>
      <w:r>
        <w:rPr>
          <w:rFonts w:hint="eastAsia" w:ascii="仿宋" w:hAnsi="仿宋" w:eastAsia="仿宋" w:cs="仿宋"/>
          <w:sz w:val="32"/>
          <w:szCs w:val="32"/>
          <w:highlight w:val="none"/>
          <w:lang w:val="en-US" w:eastAsia="zh-CN"/>
        </w:rPr>
        <w:t>11.80</w:t>
      </w:r>
      <w:r>
        <w:rPr>
          <w:rFonts w:hint="eastAsia" w:ascii="仿宋" w:hAnsi="仿宋" w:eastAsia="仿宋" w:cs="仿宋"/>
          <w:sz w:val="32"/>
          <w:szCs w:val="32"/>
          <w:highlight w:val="none"/>
        </w:rPr>
        <w:t>万元。主要用于</w:t>
      </w:r>
      <w:r>
        <w:rPr>
          <w:rFonts w:hint="eastAsia" w:ascii="仿宋" w:hAnsi="仿宋" w:eastAsia="仿宋" w:cs="仿宋"/>
          <w:sz w:val="32"/>
          <w:szCs w:val="32"/>
          <w:highlight w:val="none"/>
          <w:lang w:eastAsia="zh-CN"/>
        </w:rPr>
        <w:t>公务活动保障</w:t>
      </w:r>
      <w:r>
        <w:rPr>
          <w:rFonts w:hint="eastAsia" w:ascii="仿宋" w:hAnsi="仿宋" w:eastAsia="仿宋" w:cs="仿宋"/>
          <w:sz w:val="32"/>
          <w:szCs w:val="32"/>
          <w:highlight w:val="none"/>
        </w:rPr>
        <w:t>。2021年期末，单位开支财政拨款的公务用车保有量为</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台</w:t>
      </w:r>
      <w:r>
        <w:rPr>
          <w:rFonts w:hint="eastAsia" w:ascii="仿宋" w:hAnsi="仿宋" w:eastAsia="仿宋" w:cs="仿宋"/>
          <w:sz w:val="32"/>
          <w:szCs w:val="32"/>
          <w:highlight w:val="none"/>
        </w:rPr>
        <w:t>。</w:t>
      </w:r>
    </w:p>
    <w:p>
      <w:pPr>
        <w:widowControl/>
        <w:spacing w:line="59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3.公务接待费</w:t>
      </w:r>
      <w:r>
        <w:rPr>
          <w:rFonts w:hint="eastAsia" w:ascii="仿宋" w:hAnsi="仿宋" w:eastAsia="仿宋" w:cs="仿宋"/>
          <w:sz w:val="32"/>
          <w:szCs w:val="32"/>
          <w:highlight w:val="none"/>
          <w:lang w:val="en-US" w:eastAsia="zh-CN"/>
        </w:rPr>
        <w:t>预算为4.84万元，支出决算为4.84万元，完成预算的100%。2021年公务接待费预算数和决算数不存在差异。其中：</w:t>
      </w:r>
    </w:p>
    <w:p>
      <w:pPr>
        <w:widowControl/>
        <w:spacing w:line="59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外宾接待支出</w:t>
      </w:r>
      <w:r>
        <w:rPr>
          <w:rFonts w:hint="eastAsia" w:ascii="仿宋" w:hAnsi="仿宋" w:eastAsia="仿宋" w:cs="仿宋"/>
          <w:sz w:val="32"/>
          <w:szCs w:val="32"/>
          <w:highlight w:val="none"/>
          <w:lang w:val="en-US" w:eastAsia="zh-CN"/>
        </w:rPr>
        <w:t>0.00万元。2021年共接待国（境）外来访团组0个、来访外宾0人次（不包括陪同人员）。</w:t>
      </w:r>
    </w:p>
    <w:p>
      <w:pPr>
        <w:widowControl/>
        <w:spacing w:line="59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其他国内公务接待支出</w:t>
      </w:r>
      <w:r>
        <w:rPr>
          <w:rFonts w:hint="eastAsia" w:ascii="仿宋" w:hAnsi="仿宋" w:eastAsia="仿宋" w:cs="仿宋"/>
          <w:sz w:val="32"/>
          <w:szCs w:val="32"/>
          <w:highlight w:val="none"/>
          <w:lang w:val="en-US" w:eastAsia="zh-CN"/>
        </w:rPr>
        <w:t>4.84万元。主要用于工业和信息化公务活动保障。2021年共接待国内来访团组40个、来宾545人次（不包括陪同人员）。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numPr>
          <w:ilvl w:val="0"/>
          <w:numId w:val="0"/>
        </w:numPr>
        <w:spacing w:line="59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2021年度政府性基金预算财政拨款支出</w:t>
      </w:r>
      <w:r>
        <w:rPr>
          <w:rFonts w:hint="eastAsia" w:ascii="仿宋" w:hAnsi="仿宋" w:eastAsia="仿宋" w:cs="仿宋"/>
          <w:sz w:val="32"/>
          <w:szCs w:val="32"/>
          <w:highlight w:val="none"/>
          <w:lang w:eastAsia="zh-CN"/>
        </w:rPr>
        <w:t>年初</w:t>
      </w:r>
      <w:r>
        <w:rPr>
          <w:rFonts w:hint="eastAsia" w:ascii="仿宋" w:hAnsi="仿宋" w:eastAsia="仿宋" w:cs="仿宋"/>
          <w:sz w:val="32"/>
          <w:szCs w:val="32"/>
          <w:highlight w:val="none"/>
        </w:rPr>
        <w:t>预算为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不存在项目年未结转和结余资金数额较大。我单位</w:t>
      </w:r>
      <w:r>
        <w:rPr>
          <w:rFonts w:hint="eastAsia" w:ascii="仿宋" w:hAnsi="仿宋" w:eastAsia="仿宋" w:cs="仿宋"/>
          <w:sz w:val="32"/>
          <w:szCs w:val="32"/>
          <w:highlight w:val="none"/>
          <w:lang w:val="en-US" w:eastAsia="zh-CN"/>
        </w:rPr>
        <w:t>2021年没有政府性基金收入，也没有使用政府性基金安排的支出。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numPr>
          <w:ilvl w:val="0"/>
          <w:numId w:val="0"/>
        </w:numPr>
        <w:spacing w:line="59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2021年度机关运行经费</w:t>
      </w:r>
      <w:r>
        <w:rPr>
          <w:rFonts w:hint="eastAsia" w:ascii="仿宋" w:hAnsi="仿宋" w:eastAsia="仿宋" w:cs="仿宋"/>
          <w:sz w:val="32"/>
          <w:szCs w:val="32"/>
          <w:highlight w:val="none"/>
          <w:lang w:eastAsia="zh-CN"/>
        </w:rPr>
        <w:t>年初</w:t>
      </w:r>
      <w:r>
        <w:rPr>
          <w:rFonts w:hint="eastAsia" w:ascii="仿宋" w:hAnsi="仿宋" w:eastAsia="仿宋" w:cs="仿宋"/>
          <w:sz w:val="32"/>
          <w:szCs w:val="32"/>
          <w:highlight w:val="none"/>
        </w:rPr>
        <w:t>预算为</w:t>
      </w:r>
      <w:r>
        <w:rPr>
          <w:rFonts w:hint="eastAsia" w:ascii="仿宋" w:hAnsi="仿宋" w:eastAsia="仿宋" w:cs="仿宋"/>
          <w:sz w:val="32"/>
          <w:szCs w:val="32"/>
          <w:highlight w:val="none"/>
          <w:lang w:val="en-US" w:eastAsia="zh-CN"/>
        </w:rPr>
        <w:t>152.92</w:t>
      </w:r>
      <w:r>
        <w:rPr>
          <w:rFonts w:hint="eastAsia" w:ascii="仿宋" w:hAnsi="仿宋" w:eastAsia="仿宋" w:cs="仿宋"/>
          <w:sz w:val="32"/>
          <w:szCs w:val="32"/>
          <w:highlight w:val="none"/>
          <w:lang w:eastAsia="zh-CN"/>
        </w:rPr>
        <w:t>万元，支出决算为</w:t>
      </w:r>
      <w:r>
        <w:rPr>
          <w:rFonts w:hint="eastAsia" w:ascii="仿宋" w:hAnsi="仿宋" w:eastAsia="仿宋" w:cs="仿宋"/>
          <w:sz w:val="32"/>
          <w:szCs w:val="32"/>
          <w:highlight w:val="none"/>
          <w:lang w:val="en-US" w:eastAsia="zh-CN"/>
        </w:rPr>
        <w:t>151.77</w:t>
      </w:r>
      <w:r>
        <w:rPr>
          <w:rFonts w:hint="eastAsia" w:ascii="仿宋" w:hAnsi="仿宋" w:eastAsia="仿宋" w:cs="仿宋"/>
          <w:sz w:val="32"/>
          <w:szCs w:val="32"/>
          <w:highlight w:val="none"/>
          <w:lang w:eastAsia="zh-CN"/>
        </w:rPr>
        <w:t>万元，完成年初预算的</w:t>
      </w:r>
      <w:r>
        <w:rPr>
          <w:rFonts w:hint="eastAsia" w:ascii="仿宋" w:hAnsi="仿宋" w:eastAsia="仿宋" w:cs="仿宋"/>
          <w:sz w:val="32"/>
          <w:szCs w:val="32"/>
          <w:highlight w:val="none"/>
          <w:lang w:val="en-US" w:eastAsia="zh-CN"/>
        </w:rPr>
        <w:t>99.25</w:t>
      </w:r>
      <w:r>
        <w:rPr>
          <w:rFonts w:hint="eastAsia" w:ascii="仿宋" w:hAnsi="仿宋" w:eastAsia="仿宋" w:cs="仿宋"/>
          <w:sz w:val="32"/>
          <w:szCs w:val="32"/>
          <w:highlight w:val="none"/>
          <w:lang w:eastAsia="zh-CN"/>
        </w:rPr>
        <w:t>%。决算数与年初</w:t>
      </w:r>
      <w:r>
        <w:rPr>
          <w:rFonts w:hint="eastAsia" w:ascii="仿宋" w:hAnsi="仿宋" w:eastAsia="仿宋" w:cs="仿宋"/>
          <w:sz w:val="32"/>
          <w:szCs w:val="32"/>
          <w:highlight w:val="none"/>
        </w:rPr>
        <w:t>预算数存在差异的主要原因是</w:t>
      </w:r>
      <w:r>
        <w:rPr>
          <w:rFonts w:hint="eastAsia" w:ascii="仿宋" w:hAnsi="仿宋" w:eastAsia="仿宋" w:cs="仿宋"/>
          <w:sz w:val="32"/>
          <w:szCs w:val="32"/>
          <w:highlight w:val="none"/>
          <w:lang w:eastAsia="zh-CN"/>
        </w:rPr>
        <w:t>管理措施加强节约了经费</w:t>
      </w:r>
      <w:r>
        <w:rPr>
          <w:rFonts w:hint="eastAsia" w:ascii="仿宋" w:hAnsi="仿宋" w:eastAsia="仿宋" w:cs="仿宋"/>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numPr>
          <w:ilvl w:val="0"/>
          <w:numId w:val="0"/>
        </w:numPr>
        <w:spacing w:line="59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2021年度政府采购支出总额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万元，其中：授予小微企业合同金额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numPr>
          <w:ilvl w:val="0"/>
          <w:numId w:val="0"/>
        </w:numPr>
        <w:spacing w:line="59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2021年期末，我单位共有车辆</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辆，其中：省级领导干部用车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辆、主要领导干部用车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辆、机要通信用车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辆、应急保障车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辆、执法执勤用车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辆、特种专业技术用车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辆、离退休干部用车</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辆；单位价值50万元以上通用设备</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台（套），单位价值100万元以上专用设备</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spacing w:line="590" w:lineRule="exact"/>
        <w:ind w:firstLine="643" w:firstLineChars="200"/>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（一）绩效管理工作开展情况。</w:t>
      </w:r>
    </w:p>
    <w:p>
      <w:pPr>
        <w:widowControl/>
        <w:numPr>
          <w:ilvl w:val="0"/>
          <w:numId w:val="0"/>
        </w:numPr>
        <w:spacing w:line="59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首先，建立健全组织，提高认识。局党组上通过关于加强预算绩效工作的方案，统一了思想，健全了绩效工作领导小组，明确了分工，厘清了责任和义务，从思想上和组织上为绩效工作打下坚实的基础；其次，加强宣传教育。充分利用行政办公会、党组会，学习上级关于绩效工作的文件精神，提高绩效工作理论学习；再次，强化了预算绩效管理。2021年我单位纳入预算绩效管理的支出总额为7751.69万元，其中：基本支出1560.54万元；支出项目5个，支出金额6191.15万元。开展项目绩效自评项目5个，自评金额6191.15万元；纳入重点绩效评价1个，评价金额6160.80万元。</w:t>
      </w:r>
    </w:p>
    <w:p>
      <w:pPr>
        <w:widowControl/>
        <w:spacing w:line="590" w:lineRule="exact"/>
        <w:ind w:firstLine="643" w:firstLineChars="200"/>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（二）单位整体和项目绩效自评结果。</w:t>
      </w:r>
    </w:p>
    <w:p>
      <w:pPr>
        <w:widowControl/>
        <w:numPr>
          <w:ilvl w:val="0"/>
          <w:numId w:val="0"/>
        </w:numPr>
        <w:spacing w:line="59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为“优”。二是项目绩效自评情况。我单位共有5个项目批复了绩效目标，项目金额6191.15万元。其中：</w:t>
      </w:r>
    </w:p>
    <w:p>
      <w:pPr>
        <w:widowControl/>
        <w:numPr>
          <w:ilvl w:val="0"/>
          <w:numId w:val="0"/>
        </w:numPr>
        <w:spacing w:line="59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许昌市工业和信息化局（本级）5个项目，项目金额6191.15万元。</w:t>
      </w:r>
    </w:p>
    <w:p>
      <w:pPr>
        <w:widowControl/>
        <w:numPr>
          <w:ilvl w:val="0"/>
          <w:numId w:val="0"/>
        </w:numPr>
        <w:spacing w:line="59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基于项目预期目标的实现程度，对2021年度项目支出绩效进行自评，绩效自评平均得分为90分。其中：5个项目评价等级为“优”、0个项目评价等级为“良”、0个项目评价等级为“中”、0个项目评价等级为“差”。</w:t>
      </w:r>
    </w:p>
    <w:p>
      <w:pPr>
        <w:widowControl/>
        <w:spacing w:line="590" w:lineRule="exact"/>
        <w:ind w:firstLine="643" w:firstLineChars="200"/>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（三）重点绩效评价结果。</w:t>
      </w:r>
    </w:p>
    <w:p>
      <w:pPr>
        <w:widowControl/>
        <w:numPr>
          <w:ilvl w:val="0"/>
          <w:numId w:val="0"/>
        </w:numPr>
        <w:spacing w:line="59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许昌市财政局和我单位取选取我单位1个项目开展重点绩效评价，等次为“良”。</w:t>
      </w:r>
    </w:p>
    <w:p>
      <w:pPr>
        <w:widowControl/>
        <w:numPr>
          <w:ilvl w:val="0"/>
          <w:numId w:val="0"/>
        </w:numPr>
        <w:spacing w:line="59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我单位将对照重点绩效评价发现问题进行整改，不断提高我单位项目和预算管理水平，提升财政资金使用效益。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widowControl/>
        <w:spacing w:line="590" w:lineRule="exact"/>
        <w:ind w:firstLine="960" w:firstLineChars="20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一、财政拨款收入：单位从同级政府财政</w:t>
      </w:r>
      <w:r>
        <w:rPr>
          <w:rFonts w:hint="eastAsia" w:ascii="仿宋" w:hAnsi="仿宋" w:eastAsia="仿宋" w:cs="仿宋"/>
          <w:sz w:val="32"/>
          <w:szCs w:val="32"/>
          <w:highlight w:val="none"/>
          <w:lang w:eastAsia="zh-CN"/>
        </w:rPr>
        <w:t>（本级）</w:t>
      </w:r>
      <w:r>
        <w:rPr>
          <w:rFonts w:hint="eastAsia" w:ascii="仿宋" w:hAnsi="仿宋" w:eastAsia="仿宋" w:cs="仿宋"/>
          <w:sz w:val="32"/>
          <w:szCs w:val="32"/>
          <w:highlight w:val="none"/>
        </w:rPr>
        <w:t>取得的财政预算资金。</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三、上级补助收入：事业单位从主管</w:t>
      </w:r>
      <w:r>
        <w:rPr>
          <w:rFonts w:hint="eastAsia" w:ascii="仿宋" w:hAnsi="仿宋" w:eastAsia="仿宋" w:cs="仿宋"/>
          <w:sz w:val="32"/>
          <w:szCs w:val="32"/>
          <w:highlight w:val="none"/>
          <w:lang w:eastAsia="zh-CN"/>
        </w:rPr>
        <w:t>（本级）</w:t>
      </w:r>
      <w:r>
        <w:rPr>
          <w:rFonts w:hint="eastAsia" w:ascii="仿宋" w:hAnsi="仿宋" w:eastAsia="仿宋" w:cs="仿宋"/>
          <w:sz w:val="32"/>
          <w:szCs w:val="32"/>
          <w:highlight w:val="none"/>
        </w:rPr>
        <w:t>和上级单位取得的非财政补助收入。</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十三、商品和服务支出：单位购买商品和服务的支出。</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Cu/G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&#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kRv5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pStyle w:val="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ZDQzZDk1YWFmMjk3ZTMzNzVkYjFkNTRlOWE5NTM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AD0"/>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601839"/>
    <w:rsid w:val="03C7367A"/>
    <w:rsid w:val="03C75F80"/>
    <w:rsid w:val="0478364D"/>
    <w:rsid w:val="04F33B3E"/>
    <w:rsid w:val="053D4C0D"/>
    <w:rsid w:val="0557532E"/>
    <w:rsid w:val="06093262"/>
    <w:rsid w:val="06741A00"/>
    <w:rsid w:val="0799329C"/>
    <w:rsid w:val="07DA663F"/>
    <w:rsid w:val="08397436"/>
    <w:rsid w:val="086F16A7"/>
    <w:rsid w:val="0A0F7225"/>
    <w:rsid w:val="0A2B7D82"/>
    <w:rsid w:val="0ADC40E9"/>
    <w:rsid w:val="0AE607F4"/>
    <w:rsid w:val="0B386127"/>
    <w:rsid w:val="0B451598"/>
    <w:rsid w:val="0B6A2392"/>
    <w:rsid w:val="0BEC73F4"/>
    <w:rsid w:val="0C392698"/>
    <w:rsid w:val="0C797E2E"/>
    <w:rsid w:val="0CE51369"/>
    <w:rsid w:val="0E641B4C"/>
    <w:rsid w:val="0FDF6DE2"/>
    <w:rsid w:val="0FEF4286"/>
    <w:rsid w:val="10BD36F6"/>
    <w:rsid w:val="10FE14EA"/>
    <w:rsid w:val="111632D8"/>
    <w:rsid w:val="11BF0649"/>
    <w:rsid w:val="11CC15E8"/>
    <w:rsid w:val="1223418E"/>
    <w:rsid w:val="123E3E08"/>
    <w:rsid w:val="133212F4"/>
    <w:rsid w:val="13D22E22"/>
    <w:rsid w:val="13E04243"/>
    <w:rsid w:val="13FE713C"/>
    <w:rsid w:val="14091138"/>
    <w:rsid w:val="142B6A9A"/>
    <w:rsid w:val="14FA32EB"/>
    <w:rsid w:val="154F1600"/>
    <w:rsid w:val="15806971"/>
    <w:rsid w:val="161C2DFF"/>
    <w:rsid w:val="16373578"/>
    <w:rsid w:val="16D3336B"/>
    <w:rsid w:val="17200028"/>
    <w:rsid w:val="176D1612"/>
    <w:rsid w:val="17806C36"/>
    <w:rsid w:val="179672AA"/>
    <w:rsid w:val="17A74F62"/>
    <w:rsid w:val="17FE1EE5"/>
    <w:rsid w:val="18A47774"/>
    <w:rsid w:val="19E16FD8"/>
    <w:rsid w:val="1A8D28EB"/>
    <w:rsid w:val="1A9F2D78"/>
    <w:rsid w:val="1AF8238C"/>
    <w:rsid w:val="1B2E6FD8"/>
    <w:rsid w:val="1B5548A6"/>
    <w:rsid w:val="1B877D21"/>
    <w:rsid w:val="1C4319A9"/>
    <w:rsid w:val="1DF13F5D"/>
    <w:rsid w:val="1E443B4B"/>
    <w:rsid w:val="1E994F4A"/>
    <w:rsid w:val="1EAF0224"/>
    <w:rsid w:val="1F2230A4"/>
    <w:rsid w:val="20210932"/>
    <w:rsid w:val="202448E0"/>
    <w:rsid w:val="20F614FE"/>
    <w:rsid w:val="21302EEA"/>
    <w:rsid w:val="2208041A"/>
    <w:rsid w:val="22376FB5"/>
    <w:rsid w:val="232B0864"/>
    <w:rsid w:val="238B47C5"/>
    <w:rsid w:val="23E152D7"/>
    <w:rsid w:val="23EE2489"/>
    <w:rsid w:val="23FE5570"/>
    <w:rsid w:val="2483022C"/>
    <w:rsid w:val="24C26FA6"/>
    <w:rsid w:val="255D43C8"/>
    <w:rsid w:val="25A06B4A"/>
    <w:rsid w:val="25CB1E8B"/>
    <w:rsid w:val="25E32202"/>
    <w:rsid w:val="26714EF8"/>
    <w:rsid w:val="26876BDD"/>
    <w:rsid w:val="26C756D4"/>
    <w:rsid w:val="2714632A"/>
    <w:rsid w:val="272735B8"/>
    <w:rsid w:val="27541E73"/>
    <w:rsid w:val="278005A1"/>
    <w:rsid w:val="27B0539E"/>
    <w:rsid w:val="29192F0D"/>
    <w:rsid w:val="29365CF8"/>
    <w:rsid w:val="299469B3"/>
    <w:rsid w:val="2A4B26DB"/>
    <w:rsid w:val="2A805789"/>
    <w:rsid w:val="2AC60E73"/>
    <w:rsid w:val="2ADC0D75"/>
    <w:rsid w:val="2B4A0E52"/>
    <w:rsid w:val="2B780A7F"/>
    <w:rsid w:val="2C975890"/>
    <w:rsid w:val="2CF00429"/>
    <w:rsid w:val="2D0E2475"/>
    <w:rsid w:val="2DEF21BB"/>
    <w:rsid w:val="2E297320"/>
    <w:rsid w:val="2E4A2F05"/>
    <w:rsid w:val="2E4F193C"/>
    <w:rsid w:val="2ECC1061"/>
    <w:rsid w:val="2EFA10EB"/>
    <w:rsid w:val="2F33035F"/>
    <w:rsid w:val="2F9F6E4A"/>
    <w:rsid w:val="2FA476AD"/>
    <w:rsid w:val="3013584E"/>
    <w:rsid w:val="303F7540"/>
    <w:rsid w:val="30751371"/>
    <w:rsid w:val="31DD00BF"/>
    <w:rsid w:val="32284E33"/>
    <w:rsid w:val="3293174C"/>
    <w:rsid w:val="32BB38D4"/>
    <w:rsid w:val="32BE5C64"/>
    <w:rsid w:val="32C9376D"/>
    <w:rsid w:val="32E1361A"/>
    <w:rsid w:val="33780472"/>
    <w:rsid w:val="33AF0905"/>
    <w:rsid w:val="34E42621"/>
    <w:rsid w:val="34F3526A"/>
    <w:rsid w:val="3509697C"/>
    <w:rsid w:val="352F14DA"/>
    <w:rsid w:val="355932F4"/>
    <w:rsid w:val="35611882"/>
    <w:rsid w:val="35AC2AF3"/>
    <w:rsid w:val="35D72186"/>
    <w:rsid w:val="366A6D9B"/>
    <w:rsid w:val="36746FC3"/>
    <w:rsid w:val="368763AE"/>
    <w:rsid w:val="37BE6E12"/>
    <w:rsid w:val="37E10009"/>
    <w:rsid w:val="37E4623D"/>
    <w:rsid w:val="395D59E7"/>
    <w:rsid w:val="39A93932"/>
    <w:rsid w:val="3A915562"/>
    <w:rsid w:val="3B8D4765"/>
    <w:rsid w:val="3C000DBA"/>
    <w:rsid w:val="3DC045D3"/>
    <w:rsid w:val="3DC4754F"/>
    <w:rsid w:val="3DE7009C"/>
    <w:rsid w:val="3E4D56DB"/>
    <w:rsid w:val="3E504FFB"/>
    <w:rsid w:val="3E615CD0"/>
    <w:rsid w:val="3E9C47F6"/>
    <w:rsid w:val="3ED64D82"/>
    <w:rsid w:val="3F8B0112"/>
    <w:rsid w:val="3FAB3095"/>
    <w:rsid w:val="3FE45947"/>
    <w:rsid w:val="41242965"/>
    <w:rsid w:val="41DD49F4"/>
    <w:rsid w:val="42207DFA"/>
    <w:rsid w:val="435671EA"/>
    <w:rsid w:val="43A01E09"/>
    <w:rsid w:val="440809E9"/>
    <w:rsid w:val="44136A7F"/>
    <w:rsid w:val="442407A6"/>
    <w:rsid w:val="44805EA1"/>
    <w:rsid w:val="45710696"/>
    <w:rsid w:val="46142B1B"/>
    <w:rsid w:val="47E60DD0"/>
    <w:rsid w:val="48735039"/>
    <w:rsid w:val="48D82045"/>
    <w:rsid w:val="492C684B"/>
    <w:rsid w:val="49500594"/>
    <w:rsid w:val="49D21A02"/>
    <w:rsid w:val="49E7604E"/>
    <w:rsid w:val="4A6452E6"/>
    <w:rsid w:val="4AA822F4"/>
    <w:rsid w:val="4B245A16"/>
    <w:rsid w:val="4BF67CDD"/>
    <w:rsid w:val="4D173441"/>
    <w:rsid w:val="4D603DD6"/>
    <w:rsid w:val="4DAE08E1"/>
    <w:rsid w:val="4DDE5F07"/>
    <w:rsid w:val="4E971861"/>
    <w:rsid w:val="4EBF010F"/>
    <w:rsid w:val="4EE01C53"/>
    <w:rsid w:val="4EF474AD"/>
    <w:rsid w:val="4F471EB0"/>
    <w:rsid w:val="4F500C99"/>
    <w:rsid w:val="4FCD042A"/>
    <w:rsid w:val="51331326"/>
    <w:rsid w:val="51740A7F"/>
    <w:rsid w:val="51A5541E"/>
    <w:rsid w:val="51C96242"/>
    <w:rsid w:val="5288688A"/>
    <w:rsid w:val="52DA2CE7"/>
    <w:rsid w:val="530432C1"/>
    <w:rsid w:val="53906AE1"/>
    <w:rsid w:val="540759A1"/>
    <w:rsid w:val="544B35B3"/>
    <w:rsid w:val="54F46F60"/>
    <w:rsid w:val="55A37BEA"/>
    <w:rsid w:val="56004989"/>
    <w:rsid w:val="56262642"/>
    <w:rsid w:val="56362CD2"/>
    <w:rsid w:val="565F5647"/>
    <w:rsid w:val="5784687B"/>
    <w:rsid w:val="57846959"/>
    <w:rsid w:val="578D049F"/>
    <w:rsid w:val="578E6A87"/>
    <w:rsid w:val="5AC2203A"/>
    <w:rsid w:val="5AF727FF"/>
    <w:rsid w:val="5C212858"/>
    <w:rsid w:val="5C2C42DD"/>
    <w:rsid w:val="5C9A4290"/>
    <w:rsid w:val="5CBB3334"/>
    <w:rsid w:val="5D115FAF"/>
    <w:rsid w:val="5D295CFA"/>
    <w:rsid w:val="5EE44E48"/>
    <w:rsid w:val="60010F25"/>
    <w:rsid w:val="600B5BA8"/>
    <w:rsid w:val="602A5424"/>
    <w:rsid w:val="604C444A"/>
    <w:rsid w:val="60593614"/>
    <w:rsid w:val="610A60F5"/>
    <w:rsid w:val="6175447D"/>
    <w:rsid w:val="62811722"/>
    <w:rsid w:val="62E75A72"/>
    <w:rsid w:val="642A45C3"/>
    <w:rsid w:val="64571880"/>
    <w:rsid w:val="649125B6"/>
    <w:rsid w:val="652F4C1A"/>
    <w:rsid w:val="666D37F1"/>
    <w:rsid w:val="66A84A32"/>
    <w:rsid w:val="66FB5425"/>
    <w:rsid w:val="67087D8F"/>
    <w:rsid w:val="671F687E"/>
    <w:rsid w:val="67F415F8"/>
    <w:rsid w:val="682640D1"/>
    <w:rsid w:val="684B73E5"/>
    <w:rsid w:val="69BA3375"/>
    <w:rsid w:val="6A047A2A"/>
    <w:rsid w:val="6ACA2F88"/>
    <w:rsid w:val="6C7B5754"/>
    <w:rsid w:val="6EA75E92"/>
    <w:rsid w:val="6EF20214"/>
    <w:rsid w:val="6EFB7548"/>
    <w:rsid w:val="6F3831C3"/>
    <w:rsid w:val="6F8B71C1"/>
    <w:rsid w:val="70753482"/>
    <w:rsid w:val="707B522A"/>
    <w:rsid w:val="713C37EC"/>
    <w:rsid w:val="73045661"/>
    <w:rsid w:val="73194D05"/>
    <w:rsid w:val="73A83B0E"/>
    <w:rsid w:val="744D3EF9"/>
    <w:rsid w:val="74794411"/>
    <w:rsid w:val="75867C40"/>
    <w:rsid w:val="75B10B26"/>
    <w:rsid w:val="76200A04"/>
    <w:rsid w:val="76432199"/>
    <w:rsid w:val="76F44829"/>
    <w:rsid w:val="7766127B"/>
    <w:rsid w:val="77A267C0"/>
    <w:rsid w:val="78882278"/>
    <w:rsid w:val="78B118A6"/>
    <w:rsid w:val="79051383"/>
    <w:rsid w:val="79135044"/>
    <w:rsid w:val="7A7D0F99"/>
    <w:rsid w:val="7B555BED"/>
    <w:rsid w:val="7C212A3F"/>
    <w:rsid w:val="7DD41DBA"/>
    <w:rsid w:val="7E4A0E7C"/>
    <w:rsid w:val="7E527594"/>
    <w:rsid w:val="7EFD449D"/>
    <w:rsid w:val="7F482D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style>
  <w:style w:type="paragraph" w:customStyle="1" w:styleId="4">
    <w:name w:val="Body Text 21"/>
    <w:basedOn w:val="1"/>
    <w:qFormat/>
    <w:uiPriority w:val="0"/>
    <w:pPr>
      <w:widowControl/>
      <w:numPr>
        <w:ilvl w:val="0"/>
        <w:numId w:val="1"/>
      </w:numPr>
      <w:spacing w:beforeLines="50" w:line="336" w:lineRule="auto"/>
      <w:ind w:left="0" w:firstLine="0"/>
    </w:pPr>
    <w:rPr>
      <w:rFonts w:ascii="Times New Roman" w:hAnsi="Times New Roman" w:eastAsia="黑体" w:cs="Times New Roman"/>
      <w:szCs w:val="20"/>
    </w:rPr>
  </w:style>
  <w:style w:type="paragraph" w:styleId="5">
    <w:name w:val="Body Text First Indent 2"/>
    <w:basedOn w:val="6"/>
    <w:next w:val="6"/>
    <w:qFormat/>
    <w:uiPriority w:val="0"/>
    <w:pPr>
      <w:ind w:firstLine="420"/>
    </w:pPr>
    <w:rPr>
      <w:rFonts w:ascii="Calibri" w:hAnsi="Calibri" w:eastAsia="宋体" w:cs="Times New Roman"/>
    </w:rPr>
  </w:style>
  <w:style w:type="paragraph" w:styleId="6">
    <w:name w:val="Body Text Indent"/>
    <w:basedOn w:val="1"/>
    <w:next w:val="7"/>
    <w:qFormat/>
    <w:uiPriority w:val="0"/>
    <w:pPr>
      <w:ind w:firstLine="640" w:firstLineChars="200"/>
    </w:pPr>
    <w:rPr>
      <w:rFonts w:ascii="Times New Roman" w:hAnsi="Times New Roman" w:eastAsia="宋体" w:cs="Times New Roman"/>
      <w:kern w:val="0"/>
    </w:rPr>
  </w:style>
  <w:style w:type="paragraph" w:styleId="7">
    <w:name w:val="index 7"/>
    <w:next w:val="1"/>
    <w:qFormat/>
    <w:uiPriority w:val="0"/>
    <w:pPr>
      <w:widowControl w:val="0"/>
      <w:ind w:left="2520"/>
      <w:jc w:val="both"/>
    </w:pPr>
    <w:rPr>
      <w:rFonts w:ascii="Calibri" w:hAnsi="Calibri" w:eastAsia="宋体" w:cs="Times New Roman"/>
      <w:kern w:val="2"/>
      <w:sz w:val="21"/>
      <w:szCs w:val="24"/>
      <w:lang w:val="en-US" w:eastAsia="zh-CN" w:bidi="ar-SA"/>
    </w:rPr>
  </w:style>
  <w:style w:type="paragraph" w:styleId="8">
    <w:name w:val="Balloon Text"/>
    <w:basedOn w:val="1"/>
    <w:link w:val="16"/>
    <w:unhideWhenUsed/>
    <w:uiPriority w:val="99"/>
    <w:rPr>
      <w:sz w:val="18"/>
      <w:szCs w:val="18"/>
    </w:rPr>
  </w:style>
  <w:style w:type="paragraph" w:styleId="9">
    <w:name w:val="footer"/>
    <w:basedOn w:val="1"/>
    <w:link w:val="17"/>
    <w:unhideWhenUsed/>
    <w:uiPriority w:val="99"/>
    <w:pPr>
      <w:tabs>
        <w:tab w:val="center" w:pos="4153"/>
        <w:tab w:val="right" w:pos="8306"/>
      </w:tabs>
      <w:snapToGrid w:val="0"/>
      <w:jc w:val="left"/>
    </w:pPr>
    <w:rPr>
      <w:sz w:val="18"/>
      <w:szCs w:val="18"/>
    </w:rPr>
  </w:style>
  <w:style w:type="paragraph" w:styleId="10">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uiPriority w:val="59"/>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unhideWhenUsed/>
    <w:uiPriority w:val="99"/>
    <w:rPr>
      <w:color w:val="800080"/>
      <w:u w:val="single"/>
    </w:rPr>
  </w:style>
  <w:style w:type="character" w:styleId="15">
    <w:name w:val="Hyperlink"/>
    <w:unhideWhenUsed/>
    <w:uiPriority w:val="99"/>
    <w:rPr>
      <w:color w:val="0000FF"/>
      <w:u w:val="single"/>
    </w:rPr>
  </w:style>
  <w:style w:type="character" w:customStyle="1" w:styleId="16">
    <w:name w:val="批注框文本 Char"/>
    <w:link w:val="8"/>
    <w:semiHidden/>
    <w:uiPriority w:val="99"/>
    <w:rPr>
      <w:kern w:val="2"/>
      <w:sz w:val="18"/>
      <w:szCs w:val="18"/>
    </w:rPr>
  </w:style>
  <w:style w:type="character" w:customStyle="1" w:styleId="17">
    <w:name w:val="页脚 Char"/>
    <w:link w:val="9"/>
    <w:uiPriority w:val="99"/>
    <w:rPr>
      <w:kern w:val="2"/>
      <w:sz w:val="18"/>
      <w:szCs w:val="18"/>
    </w:rPr>
  </w:style>
  <w:style w:type="character" w:customStyle="1" w:styleId="18">
    <w:name w:val="页眉 Char"/>
    <w:link w:val="10"/>
    <w:uiPriority w:val="99"/>
    <w:rPr>
      <w:kern w:val="2"/>
      <w:sz w:val="18"/>
      <w:szCs w:val="18"/>
    </w:rPr>
  </w:style>
  <w:style w:type="character" w:customStyle="1" w:styleId="19">
    <w:name w:val="font01"/>
    <w:uiPriority w:val="0"/>
    <w:rPr>
      <w:rFonts w:hint="eastAsia" w:ascii="宋体" w:hAnsi="宋体" w:eastAsia="宋体" w:cs="宋体"/>
      <w:color w:val="000000"/>
      <w:sz w:val="22"/>
      <w:szCs w:val="22"/>
      <w:u w:val="none"/>
    </w:rPr>
  </w:style>
  <w:style w:type="character" w:customStyle="1" w:styleId="20">
    <w:name w:val="font21"/>
    <w:uiPriority w:val="0"/>
    <w:rPr>
      <w:rFonts w:hint="eastAsia" w:ascii="宋体" w:hAnsi="宋体" w:eastAsia="宋体" w:cs="宋体"/>
      <w:color w:val="000000"/>
      <w:sz w:val="22"/>
      <w:szCs w:val="22"/>
      <w:u w:val="none"/>
    </w:rPr>
  </w:style>
  <w:style w:type="character" w:customStyle="1" w:styleId="21">
    <w:name w:val="font51"/>
    <w:uiPriority w:val="0"/>
    <w:rPr>
      <w:rFonts w:hint="eastAsia" w:ascii="宋体" w:hAnsi="宋体" w:eastAsia="宋体" w:cs="宋体"/>
      <w:color w:val="000000"/>
      <w:sz w:val="24"/>
      <w:szCs w:val="24"/>
      <w:u w:val="none"/>
    </w:rPr>
  </w:style>
  <w:style w:type="character" w:customStyle="1" w:styleId="22">
    <w:name w:val="font11"/>
    <w:uiPriority w:val="0"/>
    <w:rPr>
      <w:rFonts w:hint="eastAsia" w:ascii="宋体" w:hAnsi="宋体" w:eastAsia="宋体" w:cs="宋体"/>
      <w:color w:val="000000"/>
      <w:sz w:val="20"/>
      <w:szCs w:val="20"/>
      <w:u w:val="none"/>
    </w:rPr>
  </w:style>
  <w:style w:type="character" w:customStyle="1" w:styleId="23">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35</Pages>
  <Words>10148</Words>
  <Characters>12611</Characters>
  <Lines>60</Lines>
  <Paragraphs>16</Paragraphs>
  <TotalTime>34</TotalTime>
  <ScaleCrop>false</ScaleCrop>
  <LinksUpToDate>false</LinksUpToDate>
  <CharactersWithSpaces>12957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2023-05-09T13:27:40Z</cp:lastPrinted>
  <dcterms:modified xsi:type="dcterms:W3CDTF">2023-05-30T00:12:24Z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3AEE6C1F596D49BF8400B690E73468F8_13</vt:lpwstr>
  </property>
</Properties>
</file>