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许昌市安全生产宣传教育中心</w:t>
      </w:r>
    </w:p>
    <w:p>
      <w:pPr>
        <w:jc w:val="center"/>
        <w:rPr>
          <w:rFonts w:ascii="黑体" w:hAnsi="黑体" w:eastAsia="黑体" w:cs="黑体"/>
          <w:sz w:val="52"/>
          <w:szCs w:val="52"/>
        </w:rPr>
      </w:pP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许昌市安全生产宣传教育中心概况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numPr>
          <w:ilvl w:val="0"/>
          <w:numId w:val="2"/>
        </w:numPr>
        <w:jc w:val="center"/>
        <w:outlineLvl w:val="0"/>
        <w:rPr>
          <w:rFonts w:hint="eastAsia" w:ascii="黑体" w:hAnsi="黑体" w:eastAsia="黑体" w:cs="黑体"/>
          <w:sz w:val="48"/>
          <w:szCs w:val="48"/>
        </w:rPr>
      </w:pPr>
      <w:r>
        <w:rPr>
          <w:rFonts w:hint="eastAsia" w:ascii="黑体" w:hAnsi="黑体" w:eastAsia="黑体" w:cs="黑体"/>
          <w:sz w:val="48"/>
          <w:szCs w:val="48"/>
        </w:rPr>
        <w:t xml:space="preserve"> 许昌市安全生产宣传教育</w:t>
      </w:r>
    </w:p>
    <w:p>
      <w:pPr>
        <w:widowControl/>
        <w:numPr>
          <w:ilvl w:val="0"/>
          <w:numId w:val="0"/>
        </w:numPr>
        <w:ind w:firstLine="4320" w:firstLineChars="900"/>
        <w:jc w:val="both"/>
        <w:outlineLvl w:val="0"/>
        <w:rPr>
          <w:rFonts w:ascii="黑体" w:hAnsi="宋体" w:eastAsia="黑体" w:cs="宋体"/>
          <w:kern w:val="0"/>
          <w:sz w:val="48"/>
          <w:szCs w:val="48"/>
        </w:rPr>
      </w:pPr>
      <w:r>
        <w:rPr>
          <w:rFonts w:hint="eastAsia" w:ascii="黑体" w:hAnsi="黑体" w:eastAsia="黑体" w:cs="黑体"/>
          <w:sz w:val="48"/>
          <w:szCs w:val="48"/>
        </w:rPr>
        <w:t>中心概况</w:t>
      </w:r>
    </w:p>
    <w:p>
      <w:pPr>
        <w:widowControl/>
        <w:ind w:firstLine="1040" w:firstLineChars="200"/>
        <w:jc w:val="left"/>
        <w:outlineLvl w:val="1"/>
        <w:rPr>
          <w:rFonts w:ascii="黑体" w:hAnsi="黑体" w:eastAsia="黑体" w:cs="黑体"/>
          <w:kern w:val="0"/>
          <w:sz w:val="52"/>
          <w:szCs w:val="5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宣传国家安全生产法律、法规和方针政策，开展安全生产宣传教育活动；依法组织特种作业人员（特种设备作业人员除外）和生产经营单位主要负责人及安全生产管理人员、从业人员培训工作；负责对工矿商贸生产经营单位安全有关设备（特种设备除外）进行检验；负责安全生产方面的技术服务和咨询工作</w:t>
      </w:r>
      <w:r>
        <w:rPr>
          <w:rFonts w:hint="eastAsia" w:ascii="仿宋_GB2312" w:hAnsi="宋体" w:eastAsia="仿宋_GB2312" w:cs="宋体"/>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许昌市安全生产宣传教育中心内设机构1个，即办公室。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从决算单位构成看，许昌市安全生产宣传教育中心单位决算包括：本级决算。</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1.许昌市安全生产宣传教育中心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0" w:type="auto"/>
        <w:tblInd w:w="1112" w:type="dxa"/>
        <w:tblLayout w:type="fixed"/>
        <w:tblCellMar>
          <w:top w:w="0" w:type="dxa"/>
          <w:left w:w="108" w:type="dxa"/>
          <w:bottom w:w="0" w:type="dxa"/>
          <w:right w:w="108" w:type="dxa"/>
        </w:tblCellMar>
      </w:tblPr>
      <w:tblGrid>
        <w:gridCol w:w="3637"/>
        <w:gridCol w:w="638"/>
        <w:gridCol w:w="1406"/>
        <w:gridCol w:w="3469"/>
        <w:gridCol w:w="806"/>
        <w:gridCol w:w="1913"/>
      </w:tblGrid>
      <w:tr>
        <w:tblPrEx>
          <w:tblCellMar>
            <w:top w:w="0" w:type="dxa"/>
            <w:left w:w="108" w:type="dxa"/>
            <w:bottom w:w="0" w:type="dxa"/>
            <w:right w:w="108" w:type="dxa"/>
          </w:tblCellMar>
        </w:tblPrEx>
        <w:trPr>
          <w:trHeight w:val="390" w:hRule="atLeast"/>
        </w:trPr>
        <w:tc>
          <w:tcPr>
            <w:tcW w:w="11869"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3637"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638"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1406"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3469"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806"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1913" w:type="dxa"/>
            <w:tcBorders>
              <w:top w:val="nil"/>
              <w:left w:val="nil"/>
              <w:bottom w:val="nil"/>
              <w:right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3637" w:type="dxa"/>
            <w:tcBorders>
              <w:top w:val="nil"/>
              <w:left w:val="nil"/>
              <w:bottom w:val="nil"/>
              <w:right w:val="nil"/>
            </w:tcBorders>
            <w:noWrap/>
            <w:vAlign w:val="bottom"/>
          </w:tcPr>
          <w:p>
            <w:pPr>
              <w:widowControl/>
              <w:jc w:val="left"/>
              <w:textAlignment w:val="bottom"/>
              <w:rPr>
                <w:rFonts w:hint="eastAsia" w:ascii="宋体" w:hAnsi="宋体" w:eastAsia="宋体" w:cs="宋体"/>
                <w:color w:val="000000"/>
                <w:sz w:val="20"/>
                <w:szCs w:val="20"/>
              </w:rPr>
            </w:pPr>
            <w:r>
              <w:rPr>
                <w:rFonts w:hint="eastAsia" w:ascii="宋体" w:hAnsi="宋体" w:cs="宋体"/>
                <w:color w:val="000000"/>
                <w:kern w:val="0"/>
                <w:sz w:val="18"/>
                <w:szCs w:val="18"/>
              </w:rPr>
              <w:t>单位</w:t>
            </w:r>
            <w:r>
              <w:rPr>
                <w:rFonts w:hint="eastAsia" w:ascii="宋体" w:hAnsi="宋体" w:eastAsia="宋体" w:cs="宋体"/>
                <w:color w:val="000000"/>
                <w:kern w:val="0"/>
                <w:sz w:val="20"/>
                <w:szCs w:val="20"/>
              </w:rPr>
              <w:t>：许昌市安全生产宣传教育中心</w:t>
            </w:r>
          </w:p>
        </w:tc>
        <w:tc>
          <w:tcPr>
            <w:tcW w:w="638"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1406"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3469"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806" w:type="dxa"/>
            <w:tcBorders>
              <w:top w:val="nil"/>
              <w:left w:val="nil"/>
              <w:bottom w:val="nil"/>
              <w:right w:val="nil"/>
            </w:tcBorders>
            <w:noWrap/>
            <w:vAlign w:val="bottom"/>
          </w:tcPr>
          <w:p>
            <w:pPr>
              <w:rPr>
                <w:rFonts w:hint="eastAsia" w:ascii="宋体" w:hAnsi="宋体" w:eastAsia="宋体" w:cs="宋体"/>
                <w:color w:val="000000"/>
                <w:sz w:val="20"/>
                <w:szCs w:val="20"/>
              </w:rPr>
            </w:pPr>
          </w:p>
        </w:tc>
        <w:tc>
          <w:tcPr>
            <w:tcW w:w="1913" w:type="dxa"/>
            <w:tcBorders>
              <w:top w:val="nil"/>
              <w:left w:val="nil"/>
              <w:bottom w:val="nil"/>
              <w:right w:val="nil"/>
            </w:tcBorders>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68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收入</w:t>
            </w:r>
          </w:p>
        </w:tc>
        <w:tc>
          <w:tcPr>
            <w:tcW w:w="6188"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支出</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4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c>
          <w:tcPr>
            <w:tcW w:w="3469"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91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638" w:type="dxa"/>
            <w:tcBorders>
              <w:top w:val="nil"/>
              <w:left w:val="nil"/>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2"/>
              </w:rPr>
            </w:pPr>
          </w:p>
        </w:tc>
        <w:tc>
          <w:tcPr>
            <w:tcW w:w="14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3469"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806" w:type="dxa"/>
            <w:tcBorders>
              <w:top w:val="nil"/>
              <w:left w:val="nil"/>
              <w:bottom w:val="single" w:color="000000" w:sz="4" w:space="0"/>
              <w:right w:val="single" w:color="000000" w:sz="4" w:space="0"/>
            </w:tcBorders>
            <w:noWrap/>
            <w:vAlign w:val="center"/>
          </w:tcPr>
          <w:p>
            <w:pPr>
              <w:jc w:val="center"/>
              <w:rPr>
                <w:rFonts w:cs="宋体" w:asciiTheme="majorEastAsia" w:hAnsiTheme="majorEastAsia" w:eastAsiaTheme="majorEastAsia"/>
                <w:color w:val="000000"/>
                <w:sz w:val="22"/>
              </w:rPr>
            </w:pPr>
          </w:p>
        </w:tc>
        <w:tc>
          <w:tcPr>
            <w:tcW w:w="191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一、一般公共预算财政拨款收入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140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147.89</w:t>
            </w: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一、一般公共服务支出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32</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1.38</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二、政府性基金预算财政拨款收入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二、外交支出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33</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三、国有资本经营预算财政拨款收入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三、国防支出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34</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四、上级补助收入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四、公共安全支出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35</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五、事业收入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五、教育支出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36</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六、经营收入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六、科学技术支出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37</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七、附属单位上缴收入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7</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七、文化旅游体育与传媒支出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38</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八、其他收入</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8</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八、社会保障和就业支出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39</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26.55</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9</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九、卫生健康支出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40</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1.56</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10</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十、节能环保支出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41</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11</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十一、城乡社区支出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42</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12</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十二、农林水支出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43</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13</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十三、交通运输支出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44</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十四、资源勘探工业信息等支出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45</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十五、商业服务业等支出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46</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cs="宋体" w:asciiTheme="majorEastAsia" w:hAnsiTheme="majorEastAsia" w:eastAsiaTheme="majorEastAsia"/>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16</w:t>
            </w:r>
          </w:p>
        </w:tc>
        <w:tc>
          <w:tcPr>
            <w:tcW w:w="1406"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十六、金融支出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47</w:t>
            </w:r>
          </w:p>
        </w:tc>
        <w:tc>
          <w:tcPr>
            <w:tcW w:w="1913" w:type="dxa"/>
            <w:tcBorders>
              <w:top w:val="nil"/>
              <w:left w:val="nil"/>
              <w:bottom w:val="single" w:color="000000" w:sz="4" w:space="0"/>
              <w:right w:val="single" w:color="000000" w:sz="4" w:space="0"/>
            </w:tcBorders>
            <w:noWrap/>
            <w:vAlign w:val="center"/>
          </w:tcPr>
          <w:p>
            <w:pPr>
              <w:jc w:val="right"/>
              <w:rPr>
                <w:rFonts w:cs="宋体" w:asciiTheme="majorEastAsia" w:hAnsiTheme="majorEastAsia" w:eastAsiaTheme="majorEastAsia"/>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40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147.89</w:t>
            </w:r>
          </w:p>
        </w:tc>
        <w:tc>
          <w:tcPr>
            <w:tcW w:w="346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40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127.29</w:t>
            </w:r>
          </w:p>
        </w:tc>
        <w:tc>
          <w:tcPr>
            <w:tcW w:w="346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191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6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40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469"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1913"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63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638"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40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346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80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191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r>
      <w:tr>
        <w:tblPrEx>
          <w:tblCellMar>
            <w:top w:w="0" w:type="dxa"/>
            <w:left w:w="108" w:type="dxa"/>
            <w:bottom w:w="0" w:type="dxa"/>
            <w:right w:w="108" w:type="dxa"/>
          </w:tblCellMar>
        </w:tblPrEx>
        <w:trPr>
          <w:trHeight w:val="308" w:hRule="atLeast"/>
        </w:trPr>
        <w:tc>
          <w:tcPr>
            <w:tcW w:w="11869" w:type="dxa"/>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3" w:right="0" w:bottom="1803" w:left="1162" w:header="720" w:footer="720" w:gutter="0"/>
          <w:pgNumType w:fmt="numberInDash"/>
          <w:cols w:space="720" w:num="1"/>
          <w:docGrid w:type="lines" w:linePitch="312" w:charSpace="0"/>
        </w:sectPr>
      </w:pPr>
    </w:p>
    <w:tbl>
      <w:tblPr>
        <w:tblStyle w:val="5"/>
        <w:tblpPr w:leftFromText="180" w:rightFromText="180" w:vertAnchor="text" w:horzAnchor="page" w:tblpX="1553" w:tblpY="187"/>
        <w:tblOverlap w:val="never"/>
        <w:tblW w:w="5000" w:type="pct"/>
        <w:tblInd w:w="0" w:type="dxa"/>
        <w:tblLayout w:type="autofit"/>
        <w:tblCellMar>
          <w:top w:w="0" w:type="dxa"/>
          <w:left w:w="108" w:type="dxa"/>
          <w:bottom w:w="0" w:type="dxa"/>
          <w:right w:w="108" w:type="dxa"/>
        </w:tblCellMar>
      </w:tblPr>
      <w:tblGrid>
        <w:gridCol w:w="3597"/>
        <w:gridCol w:w="232"/>
        <w:gridCol w:w="232"/>
        <w:gridCol w:w="3705"/>
        <w:gridCol w:w="1123"/>
        <w:gridCol w:w="1123"/>
        <w:gridCol w:w="612"/>
        <w:gridCol w:w="612"/>
        <w:gridCol w:w="612"/>
        <w:gridCol w:w="613"/>
        <w:gridCol w:w="1713"/>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1269" w:type="pct"/>
            <w:tcBorders>
              <w:top w:val="nil"/>
              <w:left w:val="nil"/>
              <w:bottom w:val="nil"/>
              <w:right w:val="nil"/>
            </w:tcBorders>
            <w:noWrap/>
            <w:vAlign w:val="bottom"/>
          </w:tcPr>
          <w:p>
            <w:pPr>
              <w:rPr>
                <w:rFonts w:ascii="Arial" w:hAnsi="Arial" w:cs="Arial"/>
                <w:color w:val="000000"/>
                <w:sz w:val="20"/>
                <w:szCs w:val="20"/>
              </w:rPr>
            </w:pPr>
          </w:p>
        </w:tc>
        <w:tc>
          <w:tcPr>
            <w:tcW w:w="82" w:type="pct"/>
            <w:tcBorders>
              <w:top w:val="nil"/>
              <w:left w:val="nil"/>
              <w:bottom w:val="nil"/>
              <w:right w:val="nil"/>
            </w:tcBorders>
            <w:noWrap/>
            <w:vAlign w:val="bottom"/>
          </w:tcPr>
          <w:p>
            <w:pPr>
              <w:rPr>
                <w:rFonts w:ascii="Arial" w:hAnsi="Arial" w:cs="Arial"/>
                <w:color w:val="000000"/>
                <w:sz w:val="20"/>
                <w:szCs w:val="20"/>
              </w:rPr>
            </w:pPr>
          </w:p>
        </w:tc>
        <w:tc>
          <w:tcPr>
            <w:tcW w:w="82" w:type="pct"/>
            <w:tcBorders>
              <w:top w:val="nil"/>
              <w:left w:val="nil"/>
              <w:bottom w:val="nil"/>
              <w:right w:val="nil"/>
            </w:tcBorders>
            <w:noWrap/>
            <w:vAlign w:val="bottom"/>
          </w:tcPr>
          <w:p>
            <w:pPr>
              <w:rPr>
                <w:rFonts w:ascii="Arial" w:hAnsi="Arial" w:cs="Arial"/>
                <w:color w:val="000000"/>
                <w:sz w:val="20"/>
                <w:szCs w:val="20"/>
              </w:rPr>
            </w:pPr>
          </w:p>
        </w:tc>
        <w:tc>
          <w:tcPr>
            <w:tcW w:w="1306" w:type="pct"/>
            <w:tcBorders>
              <w:top w:val="nil"/>
              <w:left w:val="nil"/>
              <w:bottom w:val="nil"/>
              <w:right w:val="nil"/>
            </w:tcBorders>
            <w:noWrap/>
            <w:vAlign w:val="bottom"/>
          </w:tcPr>
          <w:p>
            <w:pPr>
              <w:rPr>
                <w:rFonts w:ascii="Arial" w:hAnsi="Arial" w:cs="Arial"/>
                <w:color w:val="000000"/>
                <w:sz w:val="20"/>
                <w:szCs w:val="20"/>
              </w:rPr>
            </w:pPr>
          </w:p>
        </w:tc>
        <w:tc>
          <w:tcPr>
            <w:tcW w:w="396" w:type="pct"/>
            <w:tcBorders>
              <w:top w:val="nil"/>
              <w:left w:val="nil"/>
              <w:bottom w:val="nil"/>
              <w:right w:val="nil"/>
            </w:tcBorders>
            <w:noWrap/>
            <w:vAlign w:val="bottom"/>
          </w:tcPr>
          <w:p>
            <w:pPr>
              <w:rPr>
                <w:rFonts w:ascii="Arial" w:hAnsi="Arial" w:cs="Arial"/>
                <w:color w:val="000000"/>
                <w:sz w:val="20"/>
                <w:szCs w:val="20"/>
              </w:rPr>
            </w:pPr>
          </w:p>
        </w:tc>
        <w:tc>
          <w:tcPr>
            <w:tcW w:w="39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602"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1269" w:type="pct"/>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82" w:type="pct"/>
            <w:tcBorders>
              <w:top w:val="nil"/>
              <w:left w:val="nil"/>
              <w:bottom w:val="nil"/>
              <w:right w:val="nil"/>
            </w:tcBorders>
            <w:noWrap/>
            <w:vAlign w:val="bottom"/>
          </w:tcPr>
          <w:p>
            <w:pPr>
              <w:rPr>
                <w:rFonts w:ascii="Arial" w:hAnsi="Arial" w:cs="Arial"/>
                <w:color w:val="000000"/>
                <w:sz w:val="20"/>
                <w:szCs w:val="20"/>
              </w:rPr>
            </w:pPr>
          </w:p>
        </w:tc>
        <w:tc>
          <w:tcPr>
            <w:tcW w:w="82" w:type="pct"/>
            <w:tcBorders>
              <w:top w:val="nil"/>
              <w:left w:val="nil"/>
              <w:bottom w:val="nil"/>
              <w:right w:val="nil"/>
            </w:tcBorders>
            <w:noWrap/>
            <w:vAlign w:val="bottom"/>
          </w:tcPr>
          <w:p>
            <w:pPr>
              <w:rPr>
                <w:rFonts w:ascii="Arial" w:hAnsi="Arial" w:cs="Arial"/>
                <w:color w:val="000000"/>
                <w:sz w:val="20"/>
                <w:szCs w:val="20"/>
              </w:rPr>
            </w:pPr>
          </w:p>
        </w:tc>
        <w:tc>
          <w:tcPr>
            <w:tcW w:w="1306" w:type="pct"/>
            <w:tcBorders>
              <w:top w:val="nil"/>
              <w:left w:val="nil"/>
              <w:bottom w:val="nil"/>
              <w:right w:val="nil"/>
            </w:tcBorders>
            <w:noWrap/>
            <w:vAlign w:val="bottom"/>
          </w:tcPr>
          <w:p>
            <w:pPr>
              <w:rPr>
                <w:rFonts w:ascii="Arial" w:hAnsi="Arial" w:cs="Arial"/>
                <w:color w:val="000000"/>
                <w:sz w:val="20"/>
                <w:szCs w:val="20"/>
              </w:rPr>
            </w:pPr>
          </w:p>
        </w:tc>
        <w:tc>
          <w:tcPr>
            <w:tcW w:w="396" w:type="pct"/>
            <w:tcBorders>
              <w:top w:val="nil"/>
              <w:left w:val="nil"/>
              <w:bottom w:val="nil"/>
              <w:right w:val="nil"/>
            </w:tcBorders>
            <w:noWrap/>
            <w:vAlign w:val="bottom"/>
          </w:tcPr>
          <w:p>
            <w:pPr>
              <w:rPr>
                <w:rFonts w:ascii="Arial" w:hAnsi="Arial" w:cs="Arial"/>
                <w:color w:val="000000"/>
                <w:sz w:val="20"/>
                <w:szCs w:val="20"/>
              </w:rPr>
            </w:pPr>
          </w:p>
        </w:tc>
        <w:tc>
          <w:tcPr>
            <w:tcW w:w="39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216" w:type="pct"/>
            <w:tcBorders>
              <w:top w:val="nil"/>
              <w:left w:val="nil"/>
              <w:bottom w:val="nil"/>
              <w:right w:val="nil"/>
            </w:tcBorders>
            <w:noWrap/>
            <w:vAlign w:val="bottom"/>
          </w:tcPr>
          <w:p>
            <w:pPr>
              <w:rPr>
                <w:rFonts w:ascii="Arial" w:hAnsi="Arial" w:cs="Arial"/>
                <w:color w:val="000000"/>
                <w:sz w:val="20"/>
                <w:szCs w:val="20"/>
              </w:rPr>
            </w:pPr>
          </w:p>
        </w:tc>
        <w:tc>
          <w:tcPr>
            <w:tcW w:w="602"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40"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39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39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21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21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21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21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60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1433"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130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433"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06"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433"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06"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9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1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740"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39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9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1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1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1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1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602"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2740"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147.89</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147.89</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8.76</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8.76</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8.76</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8.76</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3.33</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3.33</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5.43</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5.43</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130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39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139.14</w:t>
            </w: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30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30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33"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30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1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本年度取得的各项收入情况。本表金额转换为万元时，因四舍五入可能存在尾差。</w:t>
            </w:r>
          </w:p>
        </w:tc>
      </w:tr>
    </w:tbl>
    <w:tbl>
      <w:tblPr>
        <w:tblStyle w:val="5"/>
        <w:tblpPr w:leftFromText="180" w:rightFromText="180" w:vertAnchor="text" w:horzAnchor="page" w:tblpX="1736" w:tblpY="175"/>
        <w:tblOverlap w:val="never"/>
        <w:tblW w:w="13250" w:type="dxa"/>
        <w:tblInd w:w="0" w:type="dxa"/>
        <w:tblLayout w:type="fixed"/>
        <w:tblCellMar>
          <w:top w:w="0" w:type="dxa"/>
          <w:left w:w="108" w:type="dxa"/>
          <w:bottom w:w="0" w:type="dxa"/>
          <w:right w:w="108" w:type="dxa"/>
        </w:tblCellMar>
      </w:tblPr>
      <w:tblGrid>
        <w:gridCol w:w="3416"/>
        <w:gridCol w:w="222"/>
        <w:gridCol w:w="222"/>
        <w:gridCol w:w="3956"/>
        <w:gridCol w:w="1051"/>
        <w:gridCol w:w="1216"/>
        <w:gridCol w:w="525"/>
        <w:gridCol w:w="454"/>
        <w:gridCol w:w="572"/>
        <w:gridCol w:w="1616"/>
      </w:tblGrid>
      <w:tr>
        <w:tblPrEx>
          <w:tblCellMar>
            <w:top w:w="0" w:type="dxa"/>
            <w:left w:w="108" w:type="dxa"/>
            <w:bottom w:w="0" w:type="dxa"/>
            <w:right w:w="108" w:type="dxa"/>
          </w:tblCellMar>
        </w:tblPrEx>
        <w:trPr>
          <w:trHeight w:val="390" w:hRule="atLeast"/>
        </w:trPr>
        <w:tc>
          <w:tcPr>
            <w:tcW w:w="1325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val="en-US" w:eastAsia="zh-CN"/>
              </w:rPr>
              <w:t>支出</w:t>
            </w:r>
            <w:r>
              <w:rPr>
                <w:rFonts w:hint="eastAsia" w:ascii="宋体" w:hAnsi="宋体" w:cs="宋体"/>
                <w:color w:val="000000"/>
                <w:kern w:val="0"/>
                <w:sz w:val="30"/>
                <w:szCs w:val="30"/>
              </w:rPr>
              <w:t>决算表</w:t>
            </w:r>
          </w:p>
        </w:tc>
      </w:tr>
      <w:tr>
        <w:tblPrEx>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051" w:type="dxa"/>
            <w:tcBorders>
              <w:top w:val="nil"/>
              <w:left w:val="nil"/>
              <w:bottom w:val="nil"/>
              <w:right w:val="nil"/>
            </w:tcBorders>
            <w:noWrap/>
            <w:vAlign w:val="bottom"/>
          </w:tcPr>
          <w:p>
            <w:pPr>
              <w:rPr>
                <w:rFonts w:ascii="Arial" w:hAnsi="Arial" w:cs="Arial"/>
                <w:color w:val="000000"/>
                <w:sz w:val="20"/>
                <w:szCs w:val="20"/>
              </w:rPr>
            </w:pPr>
          </w:p>
        </w:tc>
        <w:tc>
          <w:tcPr>
            <w:tcW w:w="1216" w:type="dxa"/>
            <w:tcBorders>
              <w:top w:val="nil"/>
              <w:left w:val="nil"/>
              <w:bottom w:val="nil"/>
              <w:right w:val="nil"/>
            </w:tcBorders>
            <w:noWrap/>
            <w:vAlign w:val="bottom"/>
          </w:tcPr>
          <w:p>
            <w:pPr>
              <w:rPr>
                <w:rFonts w:ascii="Arial" w:hAnsi="Arial" w:cs="Arial"/>
                <w:color w:val="000000"/>
                <w:sz w:val="20"/>
                <w:szCs w:val="20"/>
              </w:rPr>
            </w:pPr>
          </w:p>
        </w:tc>
        <w:tc>
          <w:tcPr>
            <w:tcW w:w="525" w:type="dxa"/>
            <w:tcBorders>
              <w:top w:val="nil"/>
              <w:left w:val="nil"/>
              <w:bottom w:val="nil"/>
              <w:right w:val="nil"/>
            </w:tcBorders>
            <w:noWrap/>
            <w:vAlign w:val="bottom"/>
          </w:tcPr>
          <w:p>
            <w:pPr>
              <w:rPr>
                <w:rFonts w:ascii="Arial" w:hAnsi="Arial" w:cs="Arial"/>
                <w:color w:val="000000"/>
                <w:sz w:val="20"/>
                <w:szCs w:val="20"/>
              </w:rPr>
            </w:pPr>
          </w:p>
        </w:tc>
        <w:tc>
          <w:tcPr>
            <w:tcW w:w="454" w:type="dxa"/>
            <w:tcBorders>
              <w:top w:val="nil"/>
              <w:left w:val="nil"/>
              <w:bottom w:val="nil"/>
              <w:right w:val="nil"/>
            </w:tcBorders>
            <w:noWrap/>
            <w:vAlign w:val="bottom"/>
          </w:tcPr>
          <w:p>
            <w:pPr>
              <w:rPr>
                <w:rFonts w:ascii="Arial" w:hAnsi="Arial" w:cs="Arial"/>
                <w:color w:val="000000"/>
                <w:sz w:val="20"/>
                <w:szCs w:val="20"/>
              </w:rPr>
            </w:pPr>
          </w:p>
        </w:tc>
        <w:tc>
          <w:tcPr>
            <w:tcW w:w="572" w:type="dxa"/>
            <w:tcBorders>
              <w:top w:val="nil"/>
              <w:left w:val="nil"/>
              <w:bottom w:val="nil"/>
              <w:right w:val="nil"/>
            </w:tcBorders>
            <w:noWrap/>
            <w:vAlign w:val="bottom"/>
          </w:tcPr>
          <w:p>
            <w:pPr>
              <w:rPr>
                <w:rFonts w:ascii="Arial" w:hAnsi="Arial" w:cs="Arial"/>
                <w:color w:val="000000"/>
                <w:sz w:val="20"/>
                <w:szCs w:val="20"/>
              </w:rPr>
            </w:pPr>
          </w:p>
        </w:tc>
        <w:tc>
          <w:tcPr>
            <w:tcW w:w="1616"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222" w:type="dxa"/>
            <w:tcBorders>
              <w:top w:val="nil"/>
              <w:left w:val="nil"/>
              <w:bottom w:val="nil"/>
              <w:right w:val="nil"/>
            </w:tcBorders>
            <w:noWrap/>
            <w:vAlign w:val="bottom"/>
          </w:tcPr>
          <w:p>
            <w:pPr>
              <w:rPr>
                <w:rFonts w:ascii="Arial" w:hAnsi="Arial" w:cs="Arial"/>
                <w:color w:val="000000"/>
                <w:sz w:val="20"/>
                <w:szCs w:val="20"/>
              </w:rPr>
            </w:pPr>
          </w:p>
        </w:tc>
        <w:tc>
          <w:tcPr>
            <w:tcW w:w="3956" w:type="dxa"/>
            <w:tcBorders>
              <w:top w:val="nil"/>
              <w:left w:val="nil"/>
              <w:bottom w:val="nil"/>
              <w:right w:val="nil"/>
            </w:tcBorders>
            <w:noWrap/>
            <w:vAlign w:val="bottom"/>
          </w:tcPr>
          <w:p>
            <w:pPr>
              <w:rPr>
                <w:rFonts w:ascii="Arial" w:hAnsi="Arial" w:cs="Arial"/>
                <w:color w:val="000000"/>
                <w:sz w:val="20"/>
                <w:szCs w:val="20"/>
              </w:rPr>
            </w:pPr>
          </w:p>
        </w:tc>
        <w:tc>
          <w:tcPr>
            <w:tcW w:w="1051" w:type="dxa"/>
            <w:tcBorders>
              <w:top w:val="nil"/>
              <w:left w:val="nil"/>
              <w:bottom w:val="nil"/>
              <w:right w:val="nil"/>
            </w:tcBorders>
            <w:noWrap/>
            <w:vAlign w:val="bottom"/>
          </w:tcPr>
          <w:p>
            <w:pPr>
              <w:rPr>
                <w:rFonts w:ascii="Arial" w:hAnsi="Arial" w:cs="Arial"/>
                <w:color w:val="000000"/>
                <w:sz w:val="20"/>
                <w:szCs w:val="20"/>
              </w:rPr>
            </w:pPr>
          </w:p>
        </w:tc>
        <w:tc>
          <w:tcPr>
            <w:tcW w:w="1216" w:type="dxa"/>
            <w:tcBorders>
              <w:top w:val="nil"/>
              <w:left w:val="nil"/>
              <w:bottom w:val="nil"/>
              <w:right w:val="nil"/>
            </w:tcBorders>
            <w:noWrap/>
            <w:vAlign w:val="bottom"/>
          </w:tcPr>
          <w:p>
            <w:pPr>
              <w:rPr>
                <w:rFonts w:ascii="Arial" w:hAnsi="Arial" w:cs="Arial"/>
                <w:color w:val="000000"/>
                <w:sz w:val="20"/>
                <w:szCs w:val="20"/>
              </w:rPr>
            </w:pPr>
          </w:p>
        </w:tc>
        <w:tc>
          <w:tcPr>
            <w:tcW w:w="525" w:type="dxa"/>
            <w:tcBorders>
              <w:top w:val="nil"/>
              <w:left w:val="nil"/>
              <w:bottom w:val="nil"/>
              <w:right w:val="nil"/>
            </w:tcBorders>
            <w:noWrap/>
            <w:vAlign w:val="bottom"/>
          </w:tcPr>
          <w:p>
            <w:pPr>
              <w:rPr>
                <w:rFonts w:ascii="Arial" w:hAnsi="Arial" w:cs="Arial"/>
                <w:color w:val="000000"/>
                <w:sz w:val="20"/>
                <w:szCs w:val="20"/>
              </w:rPr>
            </w:pPr>
          </w:p>
        </w:tc>
        <w:tc>
          <w:tcPr>
            <w:tcW w:w="454" w:type="dxa"/>
            <w:tcBorders>
              <w:top w:val="nil"/>
              <w:left w:val="nil"/>
              <w:bottom w:val="nil"/>
              <w:right w:val="nil"/>
            </w:tcBorders>
            <w:noWrap/>
            <w:vAlign w:val="bottom"/>
          </w:tcPr>
          <w:p>
            <w:pPr>
              <w:rPr>
                <w:rFonts w:ascii="Arial" w:hAnsi="Arial" w:cs="Arial"/>
                <w:color w:val="000000"/>
                <w:sz w:val="20"/>
                <w:szCs w:val="20"/>
              </w:rPr>
            </w:pPr>
          </w:p>
        </w:tc>
        <w:tc>
          <w:tcPr>
            <w:tcW w:w="572" w:type="dxa"/>
            <w:tcBorders>
              <w:top w:val="nil"/>
              <w:left w:val="nil"/>
              <w:bottom w:val="nil"/>
              <w:right w:val="nil"/>
            </w:tcBorders>
            <w:noWrap/>
            <w:vAlign w:val="bottom"/>
          </w:tcPr>
          <w:p>
            <w:pPr>
              <w:rPr>
                <w:rFonts w:ascii="Arial" w:hAnsi="Arial" w:cs="Arial"/>
                <w:color w:val="000000"/>
                <w:sz w:val="20"/>
                <w:szCs w:val="20"/>
              </w:rPr>
            </w:pPr>
          </w:p>
        </w:tc>
        <w:tc>
          <w:tcPr>
            <w:tcW w:w="1616"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5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2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5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4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57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8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5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5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5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5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5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1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5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45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572"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275.19</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275.19</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4.92</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4.92</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7.50</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7.50</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5.40</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5.40</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105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121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52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250" w:type="dxa"/>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40" w:type="dxa"/>
        <w:tblInd w:w="93" w:type="dxa"/>
        <w:tblLayout w:type="fixed"/>
        <w:tblCellMar>
          <w:top w:w="0" w:type="dxa"/>
          <w:left w:w="108" w:type="dxa"/>
          <w:bottom w:w="0" w:type="dxa"/>
          <w:right w:w="108" w:type="dxa"/>
        </w:tblCellMar>
      </w:tblPr>
      <w:tblGrid>
        <w:gridCol w:w="3502"/>
        <w:gridCol w:w="450"/>
        <w:gridCol w:w="963"/>
        <w:gridCol w:w="3912"/>
        <w:gridCol w:w="543"/>
        <w:gridCol w:w="919"/>
        <w:gridCol w:w="908"/>
        <w:gridCol w:w="986"/>
        <w:gridCol w:w="1457"/>
      </w:tblGrid>
      <w:tr>
        <w:tblPrEx>
          <w:tblCellMar>
            <w:top w:w="0" w:type="dxa"/>
            <w:left w:w="108" w:type="dxa"/>
            <w:bottom w:w="0" w:type="dxa"/>
            <w:right w:w="108" w:type="dxa"/>
          </w:tblCellMar>
        </w:tblPrEx>
        <w:trPr>
          <w:trHeight w:val="390" w:hRule="atLeast"/>
        </w:trPr>
        <w:tc>
          <w:tcPr>
            <w:tcW w:w="13640"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502" w:type="dxa"/>
            <w:tcBorders>
              <w:top w:val="nil"/>
              <w:left w:val="nil"/>
              <w:bottom w:val="nil"/>
              <w:right w:val="nil"/>
            </w:tcBorders>
            <w:noWrap/>
            <w:vAlign w:val="bottom"/>
          </w:tcPr>
          <w:p>
            <w:pPr>
              <w:rPr>
                <w:rFonts w:ascii="Arial" w:hAnsi="Arial" w:cs="Arial"/>
                <w:color w:val="000000"/>
                <w:sz w:val="20"/>
                <w:szCs w:val="20"/>
              </w:rPr>
            </w:pPr>
          </w:p>
        </w:tc>
        <w:tc>
          <w:tcPr>
            <w:tcW w:w="450" w:type="dxa"/>
            <w:tcBorders>
              <w:top w:val="nil"/>
              <w:left w:val="nil"/>
              <w:bottom w:val="nil"/>
              <w:right w:val="nil"/>
            </w:tcBorders>
            <w:noWrap/>
            <w:vAlign w:val="bottom"/>
          </w:tcPr>
          <w:p>
            <w:pPr>
              <w:rPr>
                <w:rFonts w:ascii="Arial" w:hAnsi="Arial" w:cs="Arial"/>
                <w:color w:val="000000"/>
                <w:sz w:val="20"/>
                <w:szCs w:val="20"/>
              </w:rPr>
            </w:pPr>
          </w:p>
        </w:tc>
        <w:tc>
          <w:tcPr>
            <w:tcW w:w="963" w:type="dxa"/>
            <w:tcBorders>
              <w:top w:val="nil"/>
              <w:left w:val="nil"/>
              <w:bottom w:val="nil"/>
              <w:right w:val="nil"/>
            </w:tcBorders>
            <w:noWrap/>
            <w:vAlign w:val="bottom"/>
          </w:tcPr>
          <w:p>
            <w:pPr>
              <w:rPr>
                <w:rFonts w:ascii="Arial" w:hAnsi="Arial" w:cs="Arial"/>
                <w:color w:val="000000"/>
                <w:sz w:val="20"/>
                <w:szCs w:val="20"/>
              </w:rPr>
            </w:pPr>
          </w:p>
        </w:tc>
        <w:tc>
          <w:tcPr>
            <w:tcW w:w="3912" w:type="dxa"/>
            <w:tcBorders>
              <w:top w:val="nil"/>
              <w:left w:val="nil"/>
              <w:bottom w:val="nil"/>
              <w:right w:val="nil"/>
            </w:tcBorders>
            <w:noWrap/>
            <w:vAlign w:val="bottom"/>
          </w:tcPr>
          <w:p>
            <w:pPr>
              <w:rPr>
                <w:rFonts w:ascii="Arial" w:hAnsi="Arial" w:cs="Arial"/>
                <w:color w:val="000000"/>
                <w:sz w:val="20"/>
                <w:szCs w:val="20"/>
              </w:rPr>
            </w:pPr>
          </w:p>
        </w:tc>
        <w:tc>
          <w:tcPr>
            <w:tcW w:w="543" w:type="dxa"/>
            <w:tcBorders>
              <w:top w:val="nil"/>
              <w:left w:val="nil"/>
              <w:bottom w:val="nil"/>
              <w:right w:val="nil"/>
            </w:tcBorders>
            <w:noWrap/>
            <w:vAlign w:val="bottom"/>
          </w:tcPr>
          <w:p>
            <w:pPr>
              <w:rPr>
                <w:rFonts w:ascii="Arial" w:hAnsi="Arial" w:cs="Arial"/>
                <w:color w:val="000000"/>
                <w:sz w:val="20"/>
                <w:szCs w:val="20"/>
              </w:rPr>
            </w:pPr>
          </w:p>
        </w:tc>
        <w:tc>
          <w:tcPr>
            <w:tcW w:w="919" w:type="dxa"/>
            <w:tcBorders>
              <w:top w:val="nil"/>
              <w:left w:val="nil"/>
              <w:bottom w:val="nil"/>
              <w:right w:val="nil"/>
            </w:tcBorders>
            <w:noWrap/>
            <w:vAlign w:val="bottom"/>
          </w:tcPr>
          <w:p>
            <w:pPr>
              <w:rPr>
                <w:rFonts w:ascii="Arial" w:hAnsi="Arial" w:cs="Arial"/>
                <w:color w:val="000000"/>
                <w:sz w:val="20"/>
                <w:szCs w:val="20"/>
              </w:rPr>
            </w:pPr>
          </w:p>
        </w:tc>
        <w:tc>
          <w:tcPr>
            <w:tcW w:w="908" w:type="dxa"/>
            <w:tcBorders>
              <w:top w:val="nil"/>
              <w:left w:val="nil"/>
              <w:bottom w:val="nil"/>
              <w:right w:val="nil"/>
            </w:tcBorders>
            <w:noWrap/>
            <w:vAlign w:val="bottom"/>
          </w:tcPr>
          <w:p>
            <w:pPr>
              <w:rPr>
                <w:rFonts w:ascii="Arial" w:hAnsi="Arial" w:cs="Arial"/>
                <w:color w:val="000000"/>
                <w:sz w:val="20"/>
                <w:szCs w:val="20"/>
              </w:rPr>
            </w:pPr>
          </w:p>
        </w:tc>
        <w:tc>
          <w:tcPr>
            <w:tcW w:w="986" w:type="dxa"/>
            <w:tcBorders>
              <w:top w:val="nil"/>
              <w:left w:val="nil"/>
              <w:bottom w:val="nil"/>
              <w:right w:val="nil"/>
            </w:tcBorders>
            <w:noWrap/>
            <w:vAlign w:val="bottom"/>
          </w:tcPr>
          <w:p>
            <w:pPr>
              <w:rPr>
                <w:rFonts w:ascii="Arial" w:hAnsi="Arial" w:cs="Arial"/>
                <w:color w:val="000000"/>
                <w:sz w:val="20"/>
                <w:szCs w:val="20"/>
              </w:rPr>
            </w:pPr>
          </w:p>
        </w:tc>
        <w:tc>
          <w:tcPr>
            <w:tcW w:w="1457"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3502" w:type="dxa"/>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450" w:type="dxa"/>
            <w:tcBorders>
              <w:top w:val="nil"/>
              <w:left w:val="nil"/>
              <w:bottom w:val="nil"/>
              <w:right w:val="nil"/>
            </w:tcBorders>
            <w:noWrap/>
            <w:vAlign w:val="bottom"/>
          </w:tcPr>
          <w:p>
            <w:pPr>
              <w:rPr>
                <w:rFonts w:ascii="Arial" w:hAnsi="Arial" w:cs="Arial"/>
                <w:color w:val="000000"/>
                <w:sz w:val="20"/>
                <w:szCs w:val="20"/>
              </w:rPr>
            </w:pPr>
          </w:p>
        </w:tc>
        <w:tc>
          <w:tcPr>
            <w:tcW w:w="963" w:type="dxa"/>
            <w:tcBorders>
              <w:top w:val="nil"/>
              <w:left w:val="nil"/>
              <w:bottom w:val="nil"/>
              <w:right w:val="nil"/>
            </w:tcBorders>
            <w:noWrap/>
            <w:vAlign w:val="bottom"/>
          </w:tcPr>
          <w:p>
            <w:pPr>
              <w:rPr>
                <w:rFonts w:ascii="Arial" w:hAnsi="Arial" w:cs="Arial"/>
                <w:color w:val="000000"/>
                <w:sz w:val="20"/>
                <w:szCs w:val="20"/>
              </w:rPr>
            </w:pPr>
          </w:p>
        </w:tc>
        <w:tc>
          <w:tcPr>
            <w:tcW w:w="3912" w:type="dxa"/>
            <w:tcBorders>
              <w:top w:val="nil"/>
              <w:left w:val="nil"/>
              <w:bottom w:val="nil"/>
              <w:right w:val="nil"/>
            </w:tcBorders>
            <w:noWrap/>
            <w:vAlign w:val="bottom"/>
          </w:tcPr>
          <w:p>
            <w:pPr>
              <w:rPr>
                <w:rFonts w:ascii="Arial" w:hAnsi="Arial" w:cs="Arial"/>
                <w:color w:val="000000"/>
                <w:sz w:val="20"/>
                <w:szCs w:val="20"/>
              </w:rPr>
            </w:pPr>
          </w:p>
        </w:tc>
        <w:tc>
          <w:tcPr>
            <w:tcW w:w="543" w:type="dxa"/>
            <w:tcBorders>
              <w:top w:val="nil"/>
              <w:left w:val="nil"/>
              <w:bottom w:val="nil"/>
              <w:right w:val="nil"/>
            </w:tcBorders>
            <w:noWrap/>
            <w:vAlign w:val="bottom"/>
          </w:tcPr>
          <w:p>
            <w:pPr>
              <w:rPr>
                <w:rFonts w:ascii="Arial" w:hAnsi="Arial" w:cs="Arial"/>
                <w:color w:val="000000"/>
                <w:sz w:val="20"/>
                <w:szCs w:val="20"/>
              </w:rPr>
            </w:pPr>
          </w:p>
        </w:tc>
        <w:tc>
          <w:tcPr>
            <w:tcW w:w="919" w:type="dxa"/>
            <w:tcBorders>
              <w:top w:val="nil"/>
              <w:left w:val="nil"/>
              <w:bottom w:val="nil"/>
              <w:right w:val="nil"/>
            </w:tcBorders>
            <w:noWrap/>
            <w:vAlign w:val="bottom"/>
          </w:tcPr>
          <w:p>
            <w:pPr>
              <w:rPr>
                <w:rFonts w:ascii="Arial" w:hAnsi="Arial" w:cs="Arial"/>
                <w:color w:val="000000"/>
                <w:sz w:val="20"/>
                <w:szCs w:val="20"/>
              </w:rPr>
            </w:pPr>
          </w:p>
        </w:tc>
        <w:tc>
          <w:tcPr>
            <w:tcW w:w="908" w:type="dxa"/>
            <w:tcBorders>
              <w:top w:val="nil"/>
              <w:left w:val="nil"/>
              <w:bottom w:val="nil"/>
              <w:right w:val="nil"/>
            </w:tcBorders>
            <w:noWrap/>
            <w:vAlign w:val="bottom"/>
          </w:tcPr>
          <w:p>
            <w:pPr>
              <w:rPr>
                <w:rFonts w:ascii="Arial" w:hAnsi="Arial" w:cs="Arial"/>
                <w:color w:val="000000"/>
                <w:sz w:val="20"/>
                <w:szCs w:val="20"/>
              </w:rPr>
            </w:pPr>
          </w:p>
        </w:tc>
        <w:tc>
          <w:tcPr>
            <w:tcW w:w="986" w:type="dxa"/>
            <w:tcBorders>
              <w:top w:val="nil"/>
              <w:left w:val="nil"/>
              <w:bottom w:val="nil"/>
              <w:right w:val="nil"/>
            </w:tcBorders>
            <w:noWrap/>
            <w:vAlign w:val="bottom"/>
          </w:tcPr>
          <w:p>
            <w:pPr>
              <w:rPr>
                <w:rFonts w:ascii="Arial" w:hAnsi="Arial" w:cs="Arial"/>
                <w:color w:val="000000"/>
                <w:sz w:val="20"/>
                <w:szCs w:val="20"/>
              </w:rPr>
            </w:pPr>
          </w:p>
        </w:tc>
        <w:tc>
          <w:tcPr>
            <w:tcW w:w="1457"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91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872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50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91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4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1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0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98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45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502"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6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91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4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1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08"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8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45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50"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91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43" w:type="dxa"/>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1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0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8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45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9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147.89</w:t>
            </w: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9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147.89</w:t>
            </w:r>
          </w:p>
        </w:tc>
        <w:tc>
          <w:tcPr>
            <w:tcW w:w="391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9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127.29</w:t>
            </w:r>
          </w:p>
        </w:tc>
        <w:tc>
          <w:tcPr>
            <w:tcW w:w="391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9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127.29</w:t>
            </w:r>
          </w:p>
        </w:tc>
        <w:tc>
          <w:tcPr>
            <w:tcW w:w="391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4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96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91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08"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50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450"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9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391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4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90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275.19</w:t>
            </w:r>
          </w:p>
        </w:tc>
        <w:tc>
          <w:tcPr>
            <w:tcW w:w="98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45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640"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179" w:right="0" w:bottom="669" w:left="873"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3376"/>
        <w:gridCol w:w="222"/>
        <w:gridCol w:w="222"/>
        <w:gridCol w:w="3956"/>
        <w:gridCol w:w="1019"/>
        <w:gridCol w:w="1019"/>
        <w:gridCol w:w="1857"/>
      </w:tblGrid>
      <w:tr>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275.19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275.19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4.92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245.69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5.40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240.29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236" w:right="0" w:bottom="1803" w:left="3118"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1116"/>
        <w:gridCol w:w="2767"/>
        <w:gridCol w:w="964"/>
        <w:gridCol w:w="1144"/>
        <w:gridCol w:w="1856"/>
        <w:gridCol w:w="919"/>
        <w:gridCol w:w="1125"/>
        <w:gridCol w:w="2500"/>
        <w:gridCol w:w="1690"/>
      </w:tblGrid>
      <w:tr>
        <w:tblPrEx>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116" w:type="dxa"/>
            <w:tcBorders>
              <w:top w:val="nil"/>
              <w:left w:val="nil"/>
              <w:bottom w:val="nil"/>
              <w:right w:val="nil"/>
            </w:tcBorders>
            <w:noWrap/>
            <w:vAlign w:val="bottom"/>
          </w:tcPr>
          <w:p>
            <w:pPr>
              <w:rPr>
                <w:rFonts w:ascii="Arial" w:hAnsi="Arial" w:cs="Arial"/>
                <w:color w:val="000000"/>
                <w:sz w:val="18"/>
                <w:szCs w:val="18"/>
              </w:rPr>
            </w:pPr>
          </w:p>
        </w:tc>
        <w:tc>
          <w:tcPr>
            <w:tcW w:w="2767" w:type="dxa"/>
            <w:tcBorders>
              <w:top w:val="nil"/>
              <w:left w:val="nil"/>
              <w:bottom w:val="nil"/>
              <w:right w:val="nil"/>
            </w:tcBorders>
            <w:noWrap/>
            <w:vAlign w:val="bottom"/>
          </w:tcPr>
          <w:p>
            <w:pPr>
              <w:rPr>
                <w:rFonts w:ascii="Arial" w:hAnsi="Arial" w:cs="Arial"/>
                <w:color w:val="000000"/>
                <w:sz w:val="20"/>
                <w:szCs w:val="20"/>
              </w:rPr>
            </w:pPr>
          </w:p>
        </w:tc>
        <w:tc>
          <w:tcPr>
            <w:tcW w:w="964" w:type="dxa"/>
            <w:tcBorders>
              <w:top w:val="nil"/>
              <w:left w:val="nil"/>
              <w:bottom w:val="nil"/>
              <w:right w:val="nil"/>
            </w:tcBorders>
            <w:noWrap/>
            <w:vAlign w:val="bottom"/>
          </w:tcPr>
          <w:p>
            <w:pPr>
              <w:rPr>
                <w:rFonts w:ascii="Arial" w:hAnsi="Arial" w:cs="Arial"/>
                <w:color w:val="000000"/>
                <w:sz w:val="20"/>
                <w:szCs w:val="20"/>
              </w:rPr>
            </w:pPr>
          </w:p>
        </w:tc>
        <w:tc>
          <w:tcPr>
            <w:tcW w:w="1144" w:type="dxa"/>
            <w:tcBorders>
              <w:top w:val="nil"/>
              <w:left w:val="nil"/>
              <w:bottom w:val="nil"/>
              <w:right w:val="nil"/>
            </w:tcBorders>
            <w:noWrap/>
            <w:vAlign w:val="bottom"/>
          </w:tcPr>
          <w:p>
            <w:pPr>
              <w:rPr>
                <w:rFonts w:ascii="Arial" w:hAnsi="Arial" w:cs="Arial"/>
                <w:color w:val="000000"/>
                <w:sz w:val="20"/>
                <w:szCs w:val="20"/>
              </w:rPr>
            </w:pPr>
          </w:p>
        </w:tc>
        <w:tc>
          <w:tcPr>
            <w:tcW w:w="1856" w:type="dxa"/>
            <w:tcBorders>
              <w:top w:val="nil"/>
              <w:left w:val="nil"/>
              <w:bottom w:val="nil"/>
              <w:right w:val="nil"/>
            </w:tcBorders>
            <w:noWrap/>
            <w:vAlign w:val="bottom"/>
          </w:tcPr>
          <w:p>
            <w:pPr>
              <w:rPr>
                <w:rFonts w:ascii="Arial" w:hAnsi="Arial" w:cs="Arial"/>
                <w:color w:val="000000"/>
                <w:sz w:val="20"/>
                <w:szCs w:val="20"/>
              </w:rPr>
            </w:pPr>
          </w:p>
        </w:tc>
        <w:tc>
          <w:tcPr>
            <w:tcW w:w="919" w:type="dxa"/>
            <w:tcBorders>
              <w:top w:val="nil"/>
              <w:left w:val="nil"/>
              <w:bottom w:val="nil"/>
              <w:right w:val="nil"/>
            </w:tcBorders>
            <w:noWrap/>
            <w:vAlign w:val="bottom"/>
          </w:tcPr>
          <w:p>
            <w:pPr>
              <w:rPr>
                <w:rFonts w:ascii="Arial" w:hAnsi="Arial" w:cs="Arial"/>
                <w:color w:val="000000"/>
                <w:sz w:val="20"/>
                <w:szCs w:val="20"/>
              </w:rPr>
            </w:pPr>
          </w:p>
        </w:tc>
        <w:tc>
          <w:tcPr>
            <w:tcW w:w="1125" w:type="dxa"/>
            <w:tcBorders>
              <w:top w:val="nil"/>
              <w:left w:val="nil"/>
              <w:bottom w:val="nil"/>
              <w:right w:val="nil"/>
            </w:tcBorders>
            <w:noWrap/>
            <w:vAlign w:val="bottom"/>
          </w:tcPr>
          <w:p>
            <w:pPr>
              <w:rPr>
                <w:rFonts w:ascii="Arial" w:hAnsi="Arial" w:cs="Arial"/>
                <w:color w:val="000000"/>
                <w:sz w:val="20"/>
                <w:szCs w:val="20"/>
              </w:rPr>
            </w:pPr>
          </w:p>
        </w:tc>
        <w:tc>
          <w:tcPr>
            <w:tcW w:w="2500" w:type="dxa"/>
            <w:tcBorders>
              <w:top w:val="nil"/>
              <w:left w:val="nil"/>
              <w:bottom w:val="nil"/>
              <w:right w:val="nil"/>
            </w:tcBorders>
            <w:noWrap/>
            <w:vAlign w:val="bottom"/>
          </w:tcPr>
          <w:p>
            <w:pPr>
              <w:rPr>
                <w:rFonts w:ascii="Arial" w:hAnsi="Arial" w:cs="Arial"/>
                <w:color w:val="000000"/>
                <w:sz w:val="20"/>
                <w:szCs w:val="20"/>
              </w:rPr>
            </w:pPr>
          </w:p>
        </w:tc>
        <w:tc>
          <w:tcPr>
            <w:tcW w:w="169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108" w:type="dxa"/>
            <w:bottom w:w="0" w:type="dxa"/>
            <w:right w:w="108" w:type="dxa"/>
          </w:tblCellMar>
        </w:tblPrEx>
        <w:trPr>
          <w:trHeight w:val="255" w:hRule="atLeast"/>
        </w:trPr>
        <w:tc>
          <w:tcPr>
            <w:tcW w:w="3883"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964" w:type="dxa"/>
            <w:tcBorders>
              <w:top w:val="nil"/>
              <w:left w:val="nil"/>
              <w:bottom w:val="nil"/>
              <w:right w:val="nil"/>
            </w:tcBorders>
            <w:noWrap/>
            <w:vAlign w:val="bottom"/>
          </w:tcPr>
          <w:p>
            <w:pPr>
              <w:rPr>
                <w:rFonts w:ascii="Arial" w:hAnsi="Arial" w:cs="Arial"/>
                <w:color w:val="000000"/>
                <w:sz w:val="20"/>
                <w:szCs w:val="20"/>
              </w:rPr>
            </w:pPr>
          </w:p>
        </w:tc>
        <w:tc>
          <w:tcPr>
            <w:tcW w:w="1144" w:type="dxa"/>
            <w:tcBorders>
              <w:top w:val="nil"/>
              <w:left w:val="nil"/>
              <w:bottom w:val="nil"/>
              <w:right w:val="nil"/>
            </w:tcBorders>
            <w:noWrap/>
            <w:vAlign w:val="bottom"/>
          </w:tcPr>
          <w:p>
            <w:pPr>
              <w:rPr>
                <w:rFonts w:ascii="Arial" w:hAnsi="Arial" w:cs="Arial"/>
                <w:color w:val="000000"/>
                <w:sz w:val="20"/>
                <w:szCs w:val="20"/>
              </w:rPr>
            </w:pPr>
          </w:p>
        </w:tc>
        <w:tc>
          <w:tcPr>
            <w:tcW w:w="1856" w:type="dxa"/>
            <w:tcBorders>
              <w:top w:val="nil"/>
              <w:left w:val="nil"/>
              <w:bottom w:val="nil"/>
              <w:right w:val="nil"/>
            </w:tcBorders>
            <w:noWrap/>
            <w:vAlign w:val="bottom"/>
          </w:tcPr>
          <w:p>
            <w:pPr>
              <w:rPr>
                <w:rFonts w:ascii="Arial" w:hAnsi="Arial" w:cs="Arial"/>
                <w:color w:val="000000"/>
                <w:sz w:val="20"/>
                <w:szCs w:val="20"/>
              </w:rPr>
            </w:pPr>
          </w:p>
        </w:tc>
        <w:tc>
          <w:tcPr>
            <w:tcW w:w="919" w:type="dxa"/>
            <w:tcBorders>
              <w:top w:val="nil"/>
              <w:left w:val="nil"/>
              <w:bottom w:val="nil"/>
              <w:right w:val="nil"/>
            </w:tcBorders>
            <w:noWrap/>
            <w:vAlign w:val="bottom"/>
          </w:tcPr>
          <w:p>
            <w:pPr>
              <w:rPr>
                <w:rFonts w:ascii="Arial" w:hAnsi="Arial" w:cs="Arial"/>
                <w:color w:val="000000"/>
                <w:sz w:val="20"/>
                <w:szCs w:val="20"/>
              </w:rPr>
            </w:pPr>
          </w:p>
        </w:tc>
        <w:tc>
          <w:tcPr>
            <w:tcW w:w="1125" w:type="dxa"/>
            <w:tcBorders>
              <w:top w:val="nil"/>
              <w:left w:val="nil"/>
              <w:bottom w:val="nil"/>
              <w:right w:val="nil"/>
            </w:tcBorders>
            <w:noWrap/>
            <w:vAlign w:val="bottom"/>
          </w:tcPr>
          <w:p>
            <w:pPr>
              <w:rPr>
                <w:rFonts w:ascii="Arial" w:hAnsi="Arial" w:cs="Arial"/>
                <w:color w:val="000000"/>
                <w:sz w:val="20"/>
                <w:szCs w:val="20"/>
              </w:rPr>
            </w:pPr>
          </w:p>
        </w:tc>
        <w:tc>
          <w:tcPr>
            <w:tcW w:w="2500" w:type="dxa"/>
            <w:tcBorders>
              <w:top w:val="nil"/>
              <w:left w:val="nil"/>
              <w:bottom w:val="nil"/>
              <w:right w:val="nil"/>
            </w:tcBorders>
            <w:noWrap/>
            <w:vAlign w:val="bottom"/>
          </w:tcPr>
          <w:p>
            <w:pPr>
              <w:rPr>
                <w:rFonts w:ascii="Arial" w:hAnsi="Arial" w:cs="Arial"/>
                <w:color w:val="000000"/>
                <w:sz w:val="20"/>
                <w:szCs w:val="20"/>
              </w:rPr>
            </w:pPr>
          </w:p>
        </w:tc>
        <w:tc>
          <w:tcPr>
            <w:tcW w:w="1690" w:type="dxa"/>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484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234"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11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76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6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4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85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1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5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9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111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76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6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4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85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1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5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69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256.28</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12.05</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43.07</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0.88</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9.35</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17.58</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0.40</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33.79</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28.49</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20.64</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12.74</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6.74</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信息网络及软件购置更新</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2.35</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1.02</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34.79</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46.74</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地上附着物和青苗补偿</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5.54</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6.86</w:t>
            </w: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1.30</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1.38</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0.03</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91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0.70</w:t>
            </w:r>
          </w:p>
        </w:tc>
        <w:tc>
          <w:tcPr>
            <w:tcW w:w="112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50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0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76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0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76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64"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8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91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12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0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6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883"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96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263.14</w:t>
            </w:r>
          </w:p>
        </w:tc>
        <w:tc>
          <w:tcPr>
            <w:tcW w:w="7544"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6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12.05</w:t>
            </w:r>
          </w:p>
        </w:tc>
      </w:tr>
      <w:tr>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725"/>
        <w:gridCol w:w="1150"/>
        <w:gridCol w:w="876"/>
        <w:gridCol w:w="599"/>
        <w:gridCol w:w="876"/>
        <w:gridCol w:w="604"/>
        <w:gridCol w:w="876"/>
        <w:gridCol w:w="1150"/>
        <w:gridCol w:w="876"/>
        <w:gridCol w:w="599"/>
        <w:gridCol w:w="876"/>
        <w:gridCol w:w="1786"/>
      </w:tblGrid>
      <w:tr>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331" w:type="pct"/>
            <w:tcBorders>
              <w:top w:val="nil"/>
              <w:left w:val="nil"/>
              <w:bottom w:val="nil"/>
              <w:right w:val="nil"/>
            </w:tcBorders>
            <w:noWrap/>
            <w:vAlign w:val="bottom"/>
          </w:tcPr>
          <w:p>
            <w:pPr>
              <w:rPr>
                <w:rFonts w:ascii="Arial" w:hAnsi="Arial" w:cs="Arial"/>
                <w:color w:val="000000"/>
                <w:sz w:val="20"/>
                <w:szCs w:val="20"/>
              </w:rPr>
            </w:pPr>
          </w:p>
        </w:tc>
        <w:tc>
          <w:tcPr>
            <w:tcW w:w="411"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411"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636"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1331" w:type="pct"/>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18"/>
                <w:szCs w:val="18"/>
              </w:rPr>
              <w:t>单位</w:t>
            </w:r>
            <w:r>
              <w:rPr>
                <w:rFonts w:hint="eastAsia" w:ascii="宋体" w:hAnsi="宋体" w:cs="宋体"/>
                <w:color w:val="000000"/>
                <w:kern w:val="0"/>
                <w:sz w:val="20"/>
                <w:szCs w:val="20"/>
              </w:rPr>
              <w:t>：许昌市安全生产宣传教育中心</w:t>
            </w:r>
          </w:p>
        </w:tc>
        <w:tc>
          <w:tcPr>
            <w:tcW w:w="411"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411"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214" w:type="pct"/>
            <w:tcBorders>
              <w:top w:val="nil"/>
              <w:left w:val="nil"/>
              <w:bottom w:val="nil"/>
              <w:right w:val="nil"/>
            </w:tcBorders>
            <w:noWrap/>
            <w:vAlign w:val="bottom"/>
          </w:tcPr>
          <w:p>
            <w:pPr>
              <w:rPr>
                <w:rFonts w:ascii="Arial" w:hAnsi="Arial" w:cs="Arial"/>
                <w:color w:val="000000"/>
                <w:sz w:val="20"/>
                <w:szCs w:val="20"/>
              </w:rPr>
            </w:pPr>
          </w:p>
        </w:tc>
        <w:tc>
          <w:tcPr>
            <w:tcW w:w="313" w:type="pct"/>
            <w:tcBorders>
              <w:top w:val="nil"/>
              <w:left w:val="nil"/>
              <w:bottom w:val="nil"/>
              <w:right w:val="nil"/>
            </w:tcBorders>
            <w:noWrap/>
            <w:vAlign w:val="bottom"/>
          </w:tcPr>
          <w:p>
            <w:pPr>
              <w:rPr>
                <w:rFonts w:ascii="Arial" w:hAnsi="Arial" w:cs="Arial"/>
                <w:color w:val="000000"/>
                <w:sz w:val="20"/>
                <w:szCs w:val="20"/>
              </w:rPr>
            </w:pPr>
          </w:p>
        </w:tc>
        <w:tc>
          <w:tcPr>
            <w:tcW w:w="636"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98"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2201" w:type="pct"/>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331"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1"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840" w:type="pct"/>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214"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313"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11"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840" w:type="pct"/>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636"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331"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11"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1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214"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13"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11"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1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6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31" w:type="pc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411"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21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1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411"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21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1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636"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1331" w:type="pct"/>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c>
          <w:tcPr>
            <w:tcW w:w="41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1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c>
          <w:tcPr>
            <w:tcW w:w="21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1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c>
          <w:tcPr>
            <w:tcW w:w="21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1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0.70</w:t>
            </w:r>
          </w:p>
        </w:tc>
        <w:tc>
          <w:tcPr>
            <w:tcW w:w="41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1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0.70</w:t>
            </w:r>
          </w:p>
        </w:tc>
        <w:tc>
          <w:tcPr>
            <w:tcW w:w="21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1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0.70</w:t>
            </w:r>
          </w:p>
        </w:tc>
        <w:tc>
          <w:tcPr>
            <w:tcW w:w="6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322"/>
        <w:gridCol w:w="235"/>
        <w:gridCol w:w="241"/>
        <w:gridCol w:w="1179"/>
        <w:gridCol w:w="1519"/>
        <w:gridCol w:w="1519"/>
        <w:gridCol w:w="1519"/>
        <w:gridCol w:w="1520"/>
        <w:gridCol w:w="1523"/>
        <w:gridCol w:w="1597"/>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1172" w:type="pct"/>
            <w:tcBorders>
              <w:top w:val="nil"/>
              <w:left w:val="nil"/>
              <w:bottom w:val="nil"/>
              <w:right w:val="nil"/>
            </w:tcBorders>
            <w:noWrap/>
            <w:vAlign w:val="bottom"/>
          </w:tcPr>
          <w:p>
            <w:pPr>
              <w:rPr>
                <w:rFonts w:ascii="Arial" w:hAnsi="Arial" w:cs="Arial"/>
                <w:color w:val="000000"/>
                <w:sz w:val="18"/>
                <w:szCs w:val="18"/>
              </w:rPr>
            </w:pPr>
          </w:p>
        </w:tc>
        <w:tc>
          <w:tcPr>
            <w:tcW w:w="83" w:type="pct"/>
            <w:tcBorders>
              <w:top w:val="nil"/>
              <w:left w:val="nil"/>
              <w:bottom w:val="nil"/>
              <w:right w:val="nil"/>
            </w:tcBorders>
            <w:noWrap/>
            <w:vAlign w:val="bottom"/>
          </w:tcPr>
          <w:p>
            <w:pPr>
              <w:rPr>
                <w:rFonts w:ascii="Arial" w:hAnsi="Arial" w:cs="Arial"/>
                <w:color w:val="000000"/>
                <w:sz w:val="18"/>
                <w:szCs w:val="18"/>
              </w:rPr>
            </w:pPr>
          </w:p>
        </w:tc>
        <w:tc>
          <w:tcPr>
            <w:tcW w:w="83" w:type="pct"/>
            <w:tcBorders>
              <w:top w:val="nil"/>
              <w:left w:val="nil"/>
              <w:bottom w:val="nil"/>
              <w:right w:val="nil"/>
            </w:tcBorders>
            <w:noWrap/>
            <w:vAlign w:val="bottom"/>
          </w:tcPr>
          <w:p>
            <w:pPr>
              <w:rPr>
                <w:rFonts w:ascii="Arial" w:hAnsi="Arial" w:cs="Arial"/>
                <w:color w:val="000000"/>
                <w:sz w:val="18"/>
                <w:szCs w:val="18"/>
              </w:rPr>
            </w:pPr>
          </w:p>
        </w:tc>
        <w:tc>
          <w:tcPr>
            <w:tcW w:w="415"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61" w:type="pct"/>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108" w:type="dxa"/>
            <w:bottom w:w="0" w:type="dxa"/>
            <w:right w:w="108" w:type="dxa"/>
          </w:tblCellMar>
        </w:tblPrEx>
        <w:trPr>
          <w:trHeight w:val="255" w:hRule="atLeast"/>
        </w:trPr>
        <w:tc>
          <w:tcPr>
            <w:tcW w:w="1172" w:type="pct"/>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单位：许昌市安全生产宣传教育中心</w:t>
            </w:r>
          </w:p>
        </w:tc>
        <w:tc>
          <w:tcPr>
            <w:tcW w:w="83" w:type="pct"/>
            <w:tcBorders>
              <w:top w:val="nil"/>
              <w:left w:val="nil"/>
              <w:bottom w:val="nil"/>
              <w:right w:val="nil"/>
            </w:tcBorders>
            <w:noWrap/>
            <w:vAlign w:val="bottom"/>
          </w:tcPr>
          <w:p>
            <w:pPr>
              <w:rPr>
                <w:rFonts w:ascii="Arial" w:hAnsi="Arial" w:cs="Arial"/>
                <w:color w:val="000000"/>
                <w:sz w:val="18"/>
                <w:szCs w:val="18"/>
              </w:rPr>
            </w:pPr>
          </w:p>
        </w:tc>
        <w:tc>
          <w:tcPr>
            <w:tcW w:w="83" w:type="pct"/>
            <w:tcBorders>
              <w:top w:val="nil"/>
              <w:left w:val="nil"/>
              <w:bottom w:val="nil"/>
              <w:right w:val="nil"/>
            </w:tcBorders>
            <w:noWrap/>
            <w:vAlign w:val="bottom"/>
          </w:tcPr>
          <w:p>
            <w:pPr>
              <w:rPr>
                <w:rFonts w:ascii="Arial" w:hAnsi="Arial" w:cs="Arial"/>
                <w:color w:val="000000"/>
                <w:sz w:val="18"/>
                <w:szCs w:val="18"/>
              </w:rPr>
            </w:pPr>
          </w:p>
        </w:tc>
        <w:tc>
          <w:tcPr>
            <w:tcW w:w="415"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36" w:type="pct"/>
            <w:tcBorders>
              <w:top w:val="nil"/>
              <w:left w:val="nil"/>
              <w:bottom w:val="nil"/>
              <w:right w:val="nil"/>
            </w:tcBorders>
            <w:noWrap/>
            <w:vAlign w:val="bottom"/>
          </w:tcPr>
          <w:p>
            <w:pPr>
              <w:rPr>
                <w:rFonts w:ascii="Arial" w:hAnsi="Arial" w:cs="Arial"/>
                <w:color w:val="000000"/>
                <w:sz w:val="18"/>
                <w:szCs w:val="18"/>
              </w:rPr>
            </w:pPr>
          </w:p>
        </w:tc>
        <w:tc>
          <w:tcPr>
            <w:tcW w:w="561" w:type="pct"/>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756"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3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536"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1609" w:type="pct"/>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561"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1340"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1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536"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536"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56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340"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1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6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340"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1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3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61"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756"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3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53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53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53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53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56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1756"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40" w:type="pct"/>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3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6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说明：我单位</w:t>
      </w:r>
      <w:r>
        <w:rPr>
          <w:rFonts w:hint="eastAsia" w:ascii="宋体" w:hAnsi="宋体" w:cs="宋体"/>
          <w:color w:val="000000"/>
          <w:sz w:val="24"/>
          <w:szCs w:val="24"/>
          <w:lang w:val="en-US" w:eastAsia="zh-CN"/>
        </w:rPr>
        <w:t>没有政府性基金收入，也没有使用政府性基金安排的支出，故本</w:t>
      </w:r>
      <w:r>
        <w:rPr>
          <w:rFonts w:hint="eastAsia" w:ascii="宋体" w:hAnsi="宋体" w:cs="宋体"/>
          <w:color w:val="000000"/>
          <w:sz w:val="24"/>
          <w:szCs w:val="24"/>
        </w:rPr>
        <w:t>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年度收、支总计均为275.19万元。与上年度相比，收、支总计各减少61.67万元，下降18.31%。主要原因是我单位退休职工人数增加,2020年省级文明奖取消。</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年度收入合计147.89万元，其中：财政拨款收入147.89万元，占100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%；上级补助收入0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万元，占0.00%；事业收入0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万元，占0.00%；经营收入0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万元，占0.00%；附属单位上缴收入0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万元，占0.00%；其他收入0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年度支出合计275.19万元，其中：基本支出275.19万元，占100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%；项目支出0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万元，占0.00%；上缴上级支出0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万元，占0.00%；经营支出0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万元，占0.00%；对附属单位补助支出0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年度财政拨款收、支总计均为275.19万元。与上年度相比，财政拨款收、支总计各减少61.67万元，下降18.31%。主要原因是我单位退休职工人数增加,2020年省级文明奖取消。</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年度一般公共预算财政拨款支出275.19万元，占支出合计的100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%。与上年度相比，一般公共预算财政拨款支出增加66.23万元，增长31.70%。主要原因是用上年度结余资金列支当年</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275.19万元，主要用于以下方面：一般公共服务（类）支出1.38万元，占0.50%；社会和保障就业（类）支出26.55万元，占9.65%；卫生健康（类）支出1.56万元，占0.57%；灾害防治及应急管理（类）支出245.70万元，占89.28%。</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年度一般公共预算财政拨款支出年初预算为253.82万元，支出决算为275.19万元，完成年初预算的108.42%。其中：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年初预算为1.32万元，支出决算为1.38万元，完成年初预算的104.55%。决算数与年初预算数存在差异的主要原因是用上年度结余资金列支当年。</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年初预算为4.88万元，支出决算为4.92万元，完成年初预算的100.82%。决算数与年初预算数存在差异的主要原因是上年度结余资金列支当年。</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年初预算为13.61万元，支出决算为7.50万元，完成年初预算的55.11%。决算数与年初预算数存在差异的主要原因是人员经费不足，部分社保未及时支付。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4．社会保障和就业支出（类）行政事业单位养老支出（款）机关事业单位职业年金缴费支出（项）。</w:t>
      </w:r>
      <w:r>
        <w:rPr>
          <w:rFonts w:hint="eastAsia" w:ascii="仿宋_GB2312" w:hAnsi="仿宋_GB2312" w:eastAsia="仿宋_GB2312" w:cs="仿宋_GB2312"/>
          <w:sz w:val="32"/>
          <w:szCs w:val="32"/>
        </w:rPr>
        <w:t>年初预算为8.21万元，支出决算为14.13万元，完成年初预算的172.11%。决算数与年初预算数存在差异的主要原因是补缴以前年度职业年金。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5．卫生健康支出（类）行政事业单位医疗支出（款）事业单位医疗支出（项）。</w:t>
      </w:r>
      <w:r>
        <w:rPr>
          <w:rFonts w:hint="eastAsia" w:ascii="仿宋_GB2312" w:hAnsi="仿宋_GB2312" w:eastAsia="仿宋_GB2312" w:cs="仿宋_GB2312"/>
          <w:sz w:val="32"/>
          <w:szCs w:val="32"/>
        </w:rPr>
        <w:t>年初预算为7.51万元，支出决算为1.56万元，完成年初预算的20.77%。决算数与年初预算数存在差异的主要原因是人员经费不足，部分社保未及时支付。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6．灾害防治及应急管理支出（类）应急管理事务（款）事事业运行（项）。</w:t>
      </w:r>
      <w:r>
        <w:rPr>
          <w:rFonts w:hint="eastAsia" w:ascii="仿宋_GB2312" w:hAnsi="仿宋_GB2312" w:eastAsia="仿宋_GB2312" w:cs="仿宋_GB2312"/>
          <w:sz w:val="32"/>
          <w:szCs w:val="32"/>
        </w:rPr>
        <w:t>年初预算为5.5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万元，支出决算为5.4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万元，完成年初预算的98.18%。决算数与年初预算数存在差异的主要原因是</w:t>
      </w:r>
      <w:r>
        <w:rPr>
          <w:rFonts w:hint="eastAsia" w:ascii="仿宋_GB2312" w:hAnsi="仿宋_GB2312" w:eastAsia="仿宋_GB2312" w:cs="仿宋_GB2312"/>
          <w:sz w:val="32"/>
          <w:szCs w:val="32"/>
          <w:lang w:val="en-US" w:eastAsia="zh-CN"/>
        </w:rPr>
        <w:t>货币单位在转换时</w:t>
      </w:r>
      <w:r>
        <w:rPr>
          <w:rFonts w:hint="eastAsia" w:ascii="仿宋_GB2312" w:hAnsi="仿宋_GB2312" w:eastAsia="仿宋_GB2312" w:cs="仿宋_GB2312"/>
          <w:sz w:val="32"/>
          <w:szCs w:val="32"/>
        </w:rPr>
        <w:t>因四舍五入</w:t>
      </w:r>
      <w:r>
        <w:rPr>
          <w:rFonts w:hint="eastAsia" w:ascii="仿宋_GB2312" w:hAnsi="仿宋_GB2312" w:eastAsia="仿宋_GB2312" w:cs="仿宋_GB2312"/>
          <w:sz w:val="32"/>
          <w:szCs w:val="32"/>
          <w:lang w:val="en-US" w:eastAsia="zh-CN"/>
        </w:rPr>
        <w:t>造成的</w:t>
      </w:r>
      <w:r>
        <w:rPr>
          <w:rFonts w:hint="eastAsia" w:ascii="仿宋_GB2312" w:hAnsi="仿宋_GB2312" w:eastAsia="仿宋_GB2312" w:cs="仿宋_GB2312"/>
          <w:sz w:val="32"/>
          <w:szCs w:val="32"/>
        </w:rPr>
        <w:t>尾差。</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7．灾害防治及应急管理支出（类）应急管理事务（款）其他应急管理支出（项）。</w:t>
      </w:r>
      <w:r>
        <w:rPr>
          <w:rFonts w:hint="eastAsia" w:ascii="仿宋_GB2312" w:hAnsi="仿宋_GB2312" w:eastAsia="仿宋_GB2312" w:cs="仿宋_GB2312"/>
          <w:sz w:val="32"/>
          <w:szCs w:val="32"/>
        </w:rPr>
        <w:t>年初预算为233.39万元，支出决算为240.29万元，完成年初预算的102.96%。决算数与年初预算数存在差异的主要原</w:t>
      </w:r>
      <w:r>
        <w:rPr>
          <w:rFonts w:hint="eastAsia" w:ascii="仿宋_GB2312" w:hAnsi="仿宋_GB2312" w:eastAsia="仿宋_GB2312" w:cs="仿宋_GB2312"/>
          <w:color w:val="auto"/>
          <w:sz w:val="32"/>
          <w:szCs w:val="32"/>
        </w:rPr>
        <w:t>因是</w:t>
      </w:r>
      <w:r>
        <w:rPr>
          <w:rFonts w:hint="eastAsia" w:ascii="仿宋_GB2312" w:hAnsi="仿宋_GB2312" w:eastAsia="仿宋_GB2312" w:cs="仿宋_GB2312"/>
          <w:color w:val="auto"/>
          <w:sz w:val="32"/>
          <w:szCs w:val="32"/>
          <w:lang w:val="en-US" w:eastAsia="zh-CN"/>
        </w:rPr>
        <w:t>在职及退休人员补发各项津贴</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年度一般公共预算财政拨款基本支出275.19万元。其中：人员经费263.14万元，主要包括：基本工资、津贴补贴、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职业年金缴费、其他社会保障缴费、其他工资福利支出、退休费、住房公积金、对个人和家庭的补助支出；公用经费12.05万元，主要包括：办公费、咨询费、邮电费、差旅费、培训费、劳务费、工会经费、福利费、公务用车运行维护费等。</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年度“三公”经费财政拨款支出预算为0.80万元，支出决算为0.70万元，完成预算的87.5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年度“三公”经费支出决算数与预算数存在差异的主要原因是我单位严格把控三公经费支出。</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年度“三公”经费财政拨款支出决算中，因公出国（境）费支出决算0.00万元；公务用车购置及运行费支出决算0.70万元，完成预算的87.5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%，占87.5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万元，支出决算为0.7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万元，完成预算的87.5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%。决算数与预算数存在差异的主要原因是我单位严格把控公务用车开支。其中：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万元。主要用于车辆油修、保险等。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度，我单位以绩效目标实现为导向，进一步加强组织建设，提升自评质量，为提高预算绩效管理水平成效奠定了组织基础。我单位成立了绩效自评工作小组，主要工作任务：加强绩效目标管理，全面设置绩效目标；实施绩效监控管理，跟踪强化过程监控并强化评价结果应用，对发现的问题及时改进，加强评价结果与项目资金安排对接；组织深入开展绩效评价管理活动，加强收集整理预算项目绩效完成信息，将自评结果应用于申报项目需求。按照《许昌市市级部门预算绩效管理办法》要求，建立健全了包括目标管理、运行监控、绩效自评、信息公开操作细则，为预算绩效管理工作的开展提供了工作指南，确保每一个程序、每一个环节、每一个要素的科学化、规范化、合理化、高效化。为提高我单位相关工作人员的绩效管理的理念意识，我单位积极参加市财政局组织的预算编制培训会，并向上级部门请教交流工作中遇到的难题。此外，我单位还积极与此项工作开展得较好的部门学习交流，借鉴其经验和做法，对预算绩效管理工作开展以来遇到的瓶颈和短板进行梳理。使得我单位绩效评价工作认识及能力逐步提升，为进一步开展绩效评价工作奠定坚实基础。</w:t>
      </w:r>
    </w:p>
    <w:p>
      <w:pPr>
        <w:widowControl/>
        <w:spacing w:line="360" w:lineRule="auto"/>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2021年我单位纳入预算绩效管理的支出总额为275.19万元，其中：基本支出275.19万元；支出项目0个，支出金额0.00万元。开展项目绩效自评项目0个，自评金额0.00万元；纳入重点绩效评价0个，评价金额0.00万元。纳入重点绩效评价0个，评价金额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分。其中：0个项目评价等级为“优”、0个项目评价等级为“良”、0个项目评价等级为“差”。一是单位整体绩效自评情况为优。二是项目绩效自评情况。我单位共有0个项目批复了绩效目标。</w:t>
      </w:r>
    </w:p>
    <w:p>
      <w:pPr>
        <w:widowControl/>
        <w:spacing w:line="360" w:lineRule="auto"/>
        <w:ind w:firstLine="481"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黑体" w:hAnsi="黑体" w:eastAsia="黑体" w:cs="黑体"/>
          <w:sz w:val="48"/>
          <w:szCs w:val="48"/>
        </w:rPr>
      </w:pPr>
      <w:r>
        <w:rPr>
          <w:rFonts w:hint="eastAsia" w:ascii="仿宋_GB2312" w:hAnsi="仿宋_GB2312" w:eastAsia="仿宋_GB2312" w:cs="仿宋_GB2312"/>
          <w:sz w:val="32"/>
          <w:szCs w:val="32"/>
        </w:rPr>
        <w:t>2021年度我单位没有开展重点绩效评价的项目。</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4578EB8A"/>
    <w:multiLevelType w:val="singleLevel"/>
    <w:tmpl w:val="4578EB8A"/>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DhlMDBmM2U3OTRlNTI5YmU2N2U4MDYzOWFlYjcwMGEifQ=="/>
  </w:docVars>
  <w:rsids>
    <w:rsidRoot w:val="00172A27"/>
    <w:rsid w:val="00006EFF"/>
    <w:rsid w:val="00121C9B"/>
    <w:rsid w:val="00172A27"/>
    <w:rsid w:val="00185ED6"/>
    <w:rsid w:val="001F59E1"/>
    <w:rsid w:val="002E69A5"/>
    <w:rsid w:val="00476F84"/>
    <w:rsid w:val="004A3840"/>
    <w:rsid w:val="005C1B86"/>
    <w:rsid w:val="006538D4"/>
    <w:rsid w:val="00831117"/>
    <w:rsid w:val="00891D5E"/>
    <w:rsid w:val="008B1433"/>
    <w:rsid w:val="008C3DC4"/>
    <w:rsid w:val="0091208D"/>
    <w:rsid w:val="009539EA"/>
    <w:rsid w:val="00964C59"/>
    <w:rsid w:val="00987641"/>
    <w:rsid w:val="00B95D1E"/>
    <w:rsid w:val="00BA269A"/>
    <w:rsid w:val="00BB262D"/>
    <w:rsid w:val="00DA7804"/>
    <w:rsid w:val="00FD1B91"/>
    <w:rsid w:val="00FD1D2E"/>
    <w:rsid w:val="03690D99"/>
    <w:rsid w:val="079C4B8C"/>
    <w:rsid w:val="07F817E1"/>
    <w:rsid w:val="082B76BA"/>
    <w:rsid w:val="09DD2FF5"/>
    <w:rsid w:val="0ADB7197"/>
    <w:rsid w:val="15157FFF"/>
    <w:rsid w:val="163942C3"/>
    <w:rsid w:val="18A42C47"/>
    <w:rsid w:val="1B656D35"/>
    <w:rsid w:val="1B6738F7"/>
    <w:rsid w:val="1DAB1D8F"/>
    <w:rsid w:val="202C5B97"/>
    <w:rsid w:val="2ED40002"/>
    <w:rsid w:val="3AD969A0"/>
    <w:rsid w:val="3B0B3A80"/>
    <w:rsid w:val="3BA078CF"/>
    <w:rsid w:val="3ECC31C3"/>
    <w:rsid w:val="42D22EEA"/>
    <w:rsid w:val="48036E0A"/>
    <w:rsid w:val="4D606F16"/>
    <w:rsid w:val="543D2654"/>
    <w:rsid w:val="5AE90D57"/>
    <w:rsid w:val="5C6A5252"/>
    <w:rsid w:val="5D6C7ED7"/>
    <w:rsid w:val="603E6335"/>
    <w:rsid w:val="6507645D"/>
    <w:rsid w:val="6ABE0C43"/>
    <w:rsid w:val="6B4C2BB7"/>
    <w:rsid w:val="6D0C4C8D"/>
    <w:rsid w:val="6E095596"/>
    <w:rsid w:val="6ED26AF4"/>
    <w:rsid w:val="733F2B3D"/>
    <w:rsid w:val="75DF4BF8"/>
    <w:rsid w:val="7C5E2BFE"/>
    <w:rsid w:val="7CBC64AA"/>
    <w:rsid w:val="7E204832"/>
    <w:rsid w:val="B7FF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w:link w:val="2"/>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8229</Words>
  <Characters>9853</Characters>
  <Lines>84</Lines>
  <Paragraphs>23</Paragraphs>
  <TotalTime>3</TotalTime>
  <ScaleCrop>false</ScaleCrop>
  <LinksUpToDate>false</LinksUpToDate>
  <CharactersWithSpaces>10062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李阳</cp:lastModifiedBy>
  <cp:lastPrinted>2023-02-22T16:27:00Z</cp:lastPrinted>
  <dcterms:modified xsi:type="dcterms:W3CDTF">2023-05-22T15:55:00Z</dcterms:modified>
  <dc:title>2021年度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107AE672A184475E98BF924C4CE698C4</vt:lpwstr>
  </property>
</Properties>
</file>